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Calibri" w:hAnsi="Calibri" w:eastAsia="Calibri"/>
          <w:b/>
          <w:color w:val="0B2545"/>
          <w:sz w:val="46"/>
        </w:rPr>
        <w:t>01 — CASA SYSTEM MASTER</w:t>
      </w:r>
    </w:p>
    <w:p>
      <w:pPr>
        <w:spacing w:after="280"/>
      </w:pPr>
      <w:r>
        <w:rPr>
          <w:rFonts w:ascii="Calibri" w:hAnsi="Calibri" w:eastAsia="Calibri"/>
          <w:color w:val="667085"/>
          <w:sz w:val="26"/>
        </w:rPr>
        <w:t>Три ядра вторичного рынка: оценка, показы и Комната сделки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Версия: </w:t>
      </w:r>
      <w:r>
        <w:rPr>
          <w:rFonts w:ascii="Calibri" w:hAnsi="Calibri" w:eastAsia="Calibri"/>
          <w:color w:val="000000"/>
          <w:sz w:val="20"/>
        </w:rPr>
        <w:t>v2.0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Статус: </w:t>
      </w:r>
      <w:r>
        <w:rPr>
          <w:rFonts w:ascii="Calibri" w:hAnsi="Calibri" w:eastAsia="Calibri"/>
          <w:color w:val="000000"/>
          <w:sz w:val="20"/>
        </w:rPr>
        <w:t>Developer handoff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Дата: </w:t>
      </w:r>
      <w:r>
        <w:rPr>
          <w:rFonts w:ascii="Calibri" w:hAnsi="Calibri" w:eastAsia="Calibri"/>
          <w:color w:val="000000"/>
          <w:sz w:val="20"/>
        </w:rPr>
        <w:t>01.08.2026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Владелец решений: </w:t>
      </w:r>
      <w:r>
        <w:rPr>
          <w:rFonts w:ascii="Calibri" w:hAnsi="Calibri" w:eastAsia="Calibri"/>
          <w:color w:val="000000"/>
          <w:sz w:val="20"/>
        </w:rPr>
        <w:t>Алибек / CEO</w:t>
      </w:r>
    </w:p>
    <w:p>
      <w:pPr>
        <w:spacing w:after="40"/>
      </w:pPr>
      <w:r>
        <w:rPr>
          <w:rFonts w:ascii="Calibri" w:hAnsi="Calibri" w:eastAsia="Calibri"/>
          <w:b/>
          <w:color w:val="000000"/>
          <w:sz w:val="20"/>
        </w:rPr>
        <w:t xml:space="preserve">Пилот: </w:t>
      </w:r>
      <w:r>
        <w:rPr>
          <w:rFonts w:ascii="Calibri" w:hAnsi="Calibri" w:eastAsia="Calibri"/>
          <w:color w:val="000000"/>
          <w:sz w:val="20"/>
        </w:rPr>
        <w:t>Алматы; архитектура multi-city</w:t>
      </w:r>
    </w:p>
    <w:p>
      <w:pPr>
        <w:spacing w:after="40"/>
      </w:pPr>
    </w:p>
    <w:p>
      <w:pPr>
        <w:pStyle w:val="Heading1"/>
      </w:pPr>
      <w:r>
        <w:t>1. Source of truth и приоритет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Этот документ задаёт сквозной процесс и границы модулей.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Специализированная спецификация модуля имеет приоритет внутри своего домена.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05_CASA_Data_API_Security определяет канонические имена сущностей, API и правила доступа.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Юридические, банковские и нотариальные решения подтверждаются профильным человеком; продуктовая конфигурация утверждается CEO.</w:t>
      </w:r>
    </w:p>
    <w:p>
      <w:pPr>
        <w:pStyle w:val="Heading1"/>
      </w:pPr>
      <w:r>
        <w:t>2. Продуктовая модель</w:t>
      </w:r>
    </w:p>
    <w:p>
      <w:r>
        <w:rPr>
          <w:rFonts w:ascii="Calibri" w:hAnsi="Calibri" w:eastAsia="Calibri"/>
          <w:i w:val="0"/>
          <w:color w:val="000000"/>
          <w:sz w:val="22"/>
        </w:rPr>
        <w:t>CASA.kz принимает заявку собственника. После модерации проверенный объект появляется в закрытом CASA Pro. Брокер создаёт клиента, фиксирует интерес, запрашивает показ, получает feedback и формирует оффер. Первый формальный оффер открывает внутреннюю Комнату сделки. Сделка проходит проверки и закрывается статусом sold или failed.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CASA.kz seller form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moderation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active SecondaryProperty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ClientPropertyInterest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Viewing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ViewingFeedback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Offer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Deal Room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pre-check / Green 1 / Green 2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deposit / booking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payment route / notary</w:t>
      </w:r>
      <w:r>
        <w:br/>
      </w:r>
      <w:r>
        <w:rPr>
          <w:rFonts w:ascii="Consolas" w:hAnsi="Consolas" w:eastAsia="Consolas"/>
          <w:color w:val="0B2545"/>
          <w:sz w:val="18"/>
        </w:rPr>
        <w:t xml:space="preserve">  → sold | failed</w:t>
      </w:r>
    </w:p>
    <w:p>
      <w:pPr>
        <w:pStyle w:val="Heading1"/>
      </w:pPr>
      <w:r>
        <w:t>3. Границы трёх ядер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2300"/>
        <w:gridCol w:w="2300"/>
        <w:gridCol w:w="31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Ядро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Начинается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Завершается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Не делает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Valuation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Заявка собственника и данные объекта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Подтверждённый диапазон + решение по объекту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является официальным отчётом и не гарантирует продажу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Viewings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Активный объект + клиентский интерес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Feedback + следующий шаг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создаёт оффер, бронь или сделку автоматически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Deal Room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Первый формальный оффер по объекту и покупателю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sold / failed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принимает задаток и не заменяет банк/юриста/нотариуса</w:t>
            </w:r>
          </w:p>
        </w:tc>
      </w:tr>
    </w:tbl>
    <w:p>
      <w:pPr>
        <w:spacing w:after="0"/>
      </w:pPr>
    </w:p>
    <w:p>
      <w:pPr>
        <w:pStyle w:val="Heading1"/>
      </w:pPr>
      <w:r>
        <w:t>4. Канонические различия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5960"/>
      </w:tblGrid>
      <w:tr>
        <w:trPr>
          <w:tblHeader w:val="true"/>
        </w:trP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Сущность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Не равна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SellerSubmission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договору или принятию объекта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PreliminaryValuation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ConfirmedValuation или официальному отчёту оценщика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ClientPropertyInterest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Viewing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Feedback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Feedback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Offer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Offer / counteroffer / price_agreed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Booking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Green 1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разрешению на договор задатка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Green 2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активной брони</w:t>
            </w:r>
          </w:p>
        </w:tc>
      </w:tr>
      <w:tr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deposit_signed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booking_active без подтверждения передачи и проверки координатора</w:t>
            </w:r>
          </w:p>
        </w:tc>
      </w:tr>
    </w:tbl>
    <w:p>
      <w:pPr>
        <w:spacing w:after="0"/>
      </w:pPr>
    </w:p>
    <w:p>
      <w:pPr>
        <w:pStyle w:val="Heading1"/>
      </w:pPr>
      <w:r>
        <w:t>5. Роли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4360"/>
        <w:gridCol w:w="340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Роль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Основные полномочия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7"/>
              </w:rPr>
              <w:t>Запрет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Owner / seller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Подаёт форму, фото и согласие; взаимодействует через команду CASA.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Нет доступа к CASA Pro и внутренним заметкам.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Partner broker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Создаёт своих клиентов, интерес, запрос показа, feedback и offer.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видит чужих клиентов и не подтверждает критические решения.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Operator / moderator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Проверяет заявки и объекты, актуальность и ручные подтверждения.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обходит обязательные причины, согласия и аудит.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Showing manager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Ведёт расписание, назначение, явку и первичный feedback.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создаёт коммерческое согласие от имени сторон.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Coordinator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Ведёт Deal Room, pre-check, Green 1/2, задачи и закрытие.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даёт юридических или банковских гарантий.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Mortgage specialist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Проверяет ипотечный маршрут и подтверждения банка.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заменяет юриста и нотариуса.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Admin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Роли, справочники, настройки, аудит.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Критические действия без AuditLog запрещены.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AI system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Извлекает, объясняет, резюмирует, напоминает, предлагает.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7"/>
              </w:rPr>
              <w:t>Не меняет Green, deposit, booking, notary, sold/failed и официальные решения.</w:t>
            </w:r>
          </w:p>
        </w:tc>
      </w:tr>
    </w:tbl>
    <w:p>
      <w:pPr>
        <w:spacing w:after="0"/>
      </w:pPr>
    </w:p>
    <w:p>
      <w:pPr>
        <w:pStyle w:val="Heading1"/>
      </w:pPr>
      <w:r>
        <w:t>6. Общие правила данных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Единая реляционная база и постоянные UUID; сущности не дублируются между модулями.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Город, район, ЖК, валюта и часовой пояс — справочники; пилотный город не зашивается.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Критические статусы, цены, согласия, подтверждения и изменения полей версионируются или аудируются.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Файлы хранятся в закрытом хранилище; публичные бессрочные URL запрещены.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Деньги — Decimal или integer minor units; float запрещён.</w:t>
      </w:r>
    </w:p>
    <w:p>
      <w:pPr>
        <w:pStyle w:val="ListBullet"/>
      </w:pPr>
      <w:r>
        <w:rPr>
          <w:rFonts w:ascii="Calibri" w:hAnsi="Calibri" w:eastAsia="Calibri"/>
          <w:color w:val="000000"/>
          <w:sz w:val="22"/>
        </w:rPr>
        <w:t>Критические команды идемпотентны и требуют reason при ручном override.</w:t>
      </w:r>
    </w:p>
    <w:p>
      <w:pPr>
        <w:pStyle w:val="Heading1"/>
      </w:pPr>
      <w:r>
        <w:t>7. Release 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4680"/>
        <w:gridCol w:w="4680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Входит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color w:val="0B2545"/>
                <w:sz w:val="18"/>
              </w:rPr>
              <w:t>Не входит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Внутренние экраны CASA Pro для оценки, показов, оффера и Deal Room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Публичный маркетплейс и кабинеты продавца/покупателя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Ручные аналоги Krisha и проверяемый расчёт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Парсинг Krisha, ML-оценка и автоматическая цена без человека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In-app уведомления и интерфейс подключаемых каналов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Телефония, массовые рассылки и автономный CRM AI Agent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Статусы и контроль документов/брони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Calibri" w:hAnsi="Calibri" w:eastAsia="Calibri"/>
                <w:color w:val="000000"/>
                <w:sz w:val="18"/>
              </w:rPr>
              <w:t>ЭЦП, приём денег CASA и полностью цифровая нотариальная сделка</w:t>
            </w:r>
          </w:p>
        </w:tc>
      </w:tr>
    </w:tbl>
    <w:p>
      <w:pPr>
        <w:spacing w:after="0"/>
      </w:pPr>
    </w:p>
    <w:p>
      <w:pPr>
        <w:pStyle w:val="Heading1"/>
      </w:pPr>
      <w:r>
        <w:t>8. События интеграции</w:t>
      </w:r>
    </w:p>
    <w:p>
      <w:pPr>
        <w:keepLines/>
        <w:shd w:fill="F7F8FA"/>
        <w:spacing w:before="60" w:after="140" w:line="240" w:lineRule="auto"/>
        <w:ind w:left="115" w:right="115"/>
      </w:pPr>
      <w:r>
        <w:rPr>
          <w:rFonts w:ascii="Consolas" w:hAnsi="Consolas" w:eastAsia="Consolas"/>
          <w:color w:val="0B2545"/>
          <w:sz w:val="18"/>
        </w:rPr>
        <w:t>valuation.submitted</w:t>
      </w:r>
      <w:r>
        <w:br/>
      </w:r>
      <w:r>
        <w:rPr>
          <w:rFonts w:ascii="Consolas" w:hAnsi="Consolas" w:eastAsia="Consolas"/>
          <w:color w:val="0B2545"/>
          <w:sz w:val="18"/>
        </w:rPr>
        <w:t>valuation.preliminary_ready</w:t>
      </w:r>
      <w:r>
        <w:br/>
      </w:r>
      <w:r>
        <w:rPr>
          <w:rFonts w:ascii="Consolas" w:hAnsi="Consolas" w:eastAsia="Consolas"/>
          <w:color w:val="0B2545"/>
          <w:sz w:val="18"/>
        </w:rPr>
        <w:t>valuation.confirmed</w:t>
      </w:r>
      <w:r>
        <w:br/>
      </w:r>
      <w:r>
        <w:rPr>
          <w:rFonts w:ascii="Consolas" w:hAnsi="Consolas" w:eastAsia="Consolas"/>
          <w:color w:val="0B2545"/>
          <w:sz w:val="18"/>
        </w:rPr>
        <w:t>property.activated</w:t>
      </w:r>
      <w:r>
        <w:br/>
      </w:r>
      <w:r>
        <w:rPr>
          <w:rFonts w:ascii="Consolas" w:hAnsi="Consolas" w:eastAsia="Consolas"/>
          <w:color w:val="0B2545"/>
          <w:sz w:val="18"/>
        </w:rPr>
        <w:t>viewing.requested</w:t>
      </w:r>
      <w:r>
        <w:br/>
      </w:r>
      <w:r>
        <w:rPr>
          <w:rFonts w:ascii="Consolas" w:hAnsi="Consolas" w:eastAsia="Consolas"/>
          <w:color w:val="0B2545"/>
          <w:sz w:val="18"/>
        </w:rPr>
        <w:t>viewing.confirmed</w:t>
      </w:r>
      <w:r>
        <w:br/>
      </w:r>
      <w:r>
        <w:rPr>
          <w:rFonts w:ascii="Consolas" w:hAnsi="Consolas" w:eastAsia="Consolas"/>
          <w:color w:val="0B2545"/>
          <w:sz w:val="18"/>
        </w:rPr>
        <w:t>viewing.completed</w:t>
      </w:r>
      <w:r>
        <w:br/>
      </w:r>
      <w:r>
        <w:rPr>
          <w:rFonts w:ascii="Consolas" w:hAnsi="Consolas" w:eastAsia="Consolas"/>
          <w:color w:val="0B2545"/>
          <w:sz w:val="18"/>
        </w:rPr>
        <w:t>viewing.feedback_received</w:t>
      </w:r>
      <w:r>
        <w:br/>
      </w:r>
      <w:r>
        <w:rPr>
          <w:rFonts w:ascii="Consolas" w:hAnsi="Consolas" w:eastAsia="Consolas"/>
          <w:color w:val="0B2545"/>
          <w:sz w:val="18"/>
        </w:rPr>
        <w:t>offer.submitted</w:t>
      </w:r>
      <w:r>
        <w:br/>
      </w:r>
      <w:r>
        <w:rPr>
          <w:rFonts w:ascii="Consolas" w:hAnsi="Consolas" w:eastAsia="Consolas"/>
          <w:color w:val="0B2545"/>
          <w:sz w:val="18"/>
        </w:rPr>
        <w:t>deal.opened</w:t>
      </w:r>
      <w:r>
        <w:br/>
      </w:r>
      <w:r>
        <w:rPr>
          <w:rFonts w:ascii="Consolas" w:hAnsi="Consolas" w:eastAsia="Consolas"/>
          <w:color w:val="0B2545"/>
          <w:sz w:val="18"/>
        </w:rPr>
        <w:t>deal.green_1</w:t>
      </w:r>
      <w:r>
        <w:br/>
      </w:r>
      <w:r>
        <w:rPr>
          <w:rFonts w:ascii="Consolas" w:hAnsi="Consolas" w:eastAsia="Consolas"/>
          <w:color w:val="0B2545"/>
          <w:sz w:val="18"/>
        </w:rPr>
        <w:t>deal.green_2</w:t>
      </w:r>
      <w:r>
        <w:br/>
      </w:r>
      <w:r>
        <w:rPr>
          <w:rFonts w:ascii="Consolas" w:hAnsi="Consolas" w:eastAsia="Consolas"/>
          <w:color w:val="0B2545"/>
          <w:sz w:val="18"/>
        </w:rPr>
        <w:t>deposit.signed</w:t>
      </w:r>
      <w:r>
        <w:br/>
      </w:r>
      <w:r>
        <w:rPr>
          <w:rFonts w:ascii="Consolas" w:hAnsi="Consolas" w:eastAsia="Consolas"/>
          <w:color w:val="0B2545"/>
          <w:sz w:val="18"/>
        </w:rPr>
        <w:t>booking.activated</w:t>
      </w:r>
      <w:r>
        <w:br/>
      </w:r>
      <w:r>
        <w:rPr>
          <w:rFonts w:ascii="Consolas" w:hAnsi="Consolas" w:eastAsia="Consolas"/>
          <w:color w:val="0B2545"/>
          <w:sz w:val="18"/>
        </w:rPr>
        <w:t>deal.ready_for_notary</w:t>
      </w:r>
      <w:r>
        <w:br/>
      </w:r>
      <w:r>
        <w:rPr>
          <w:rFonts w:ascii="Consolas" w:hAnsi="Consolas" w:eastAsia="Consolas"/>
          <w:color w:val="0B2545"/>
          <w:sz w:val="18"/>
        </w:rPr>
        <w:t>deal.sold</w:t>
      </w:r>
      <w:r>
        <w:br/>
      </w:r>
      <w:r>
        <w:rPr>
          <w:rFonts w:ascii="Consolas" w:hAnsi="Consolas" w:eastAsia="Consolas"/>
          <w:color w:val="0B2545"/>
          <w:sz w:val="18"/>
        </w:rPr>
        <w:t>deal.failed</w:t>
      </w:r>
    </w:p>
    <w:p>
      <w:pPr>
        <w:pStyle w:val="Heading1"/>
      </w:pPr>
      <w:r>
        <w:t>9. Общие критерии приёмки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Сквозной тест от seller form до sold проходит на обезличенных данных.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Все ошибочные переходы блокируются сервером, а не только UI.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Ролевые тесты доказывают отсутствие доступа к чужим клиентам и внутренним данным.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История критических изменений полна и содержит actor, timestamp, old/new, reason, request_id.</w:t>
      </w:r>
    </w:p>
    <w:p>
      <w:pPr>
        <w:pStyle w:val="ListNumber"/>
      </w:pPr>
      <w:r>
        <w:rPr>
          <w:rFonts w:ascii="Calibri" w:hAnsi="Calibri" w:eastAsia="Calibri"/>
          <w:color w:val="000000"/>
          <w:sz w:val="22"/>
        </w:rPr>
        <w:t>Мобильный web не ломает ключевые действия, таблицы и статусы.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01 — CASA System Master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67085"/>
        <w:sz w:val="17"/>
      </w:rPr>
      <w:t>CASA • DEVELOPER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