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eastAsia="Calibri"/>
          <w:b/>
          <w:color w:val="0B2545"/>
          <w:sz w:val="46"/>
        </w:rPr>
        <w:t>06 — CASA RELEASE &amp; QA PLAN</w:t>
      </w:r>
    </w:p>
    <w:p>
      <w:pPr>
        <w:spacing w:after="280"/>
      </w:pPr>
      <w:r>
        <w:rPr>
          <w:rFonts w:ascii="Calibri" w:hAnsi="Calibri" w:eastAsia="Calibri"/>
          <w:color w:val="667085"/>
          <w:sz w:val="26"/>
        </w:rPr>
        <w:t>Порядок разработки, миграция, тестирование и передача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Версия: </w:t>
      </w:r>
      <w:r>
        <w:rPr>
          <w:rFonts w:ascii="Calibri" w:hAnsi="Calibri" w:eastAsia="Calibri"/>
          <w:color w:val="000000"/>
          <w:sz w:val="20"/>
        </w:rPr>
        <w:t>v2.0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Статус: </w:t>
      </w:r>
      <w:r>
        <w:rPr>
          <w:rFonts w:ascii="Calibri" w:hAnsi="Calibri" w:eastAsia="Calibri"/>
          <w:color w:val="000000"/>
          <w:sz w:val="20"/>
        </w:rPr>
        <w:t>Developer handoff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Дата: </w:t>
      </w:r>
      <w:r>
        <w:rPr>
          <w:rFonts w:ascii="Calibri" w:hAnsi="Calibri" w:eastAsia="Calibri"/>
          <w:color w:val="000000"/>
          <w:sz w:val="20"/>
        </w:rPr>
        <w:t>01.08.2026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Владелец решений: </w:t>
      </w:r>
      <w:r>
        <w:rPr>
          <w:rFonts w:ascii="Calibri" w:hAnsi="Calibri" w:eastAsia="Calibri"/>
          <w:color w:val="000000"/>
          <w:sz w:val="20"/>
        </w:rPr>
        <w:t>Алибек / CEO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Пилот: </w:t>
      </w:r>
      <w:r>
        <w:rPr>
          <w:rFonts w:ascii="Calibri" w:hAnsi="Calibri" w:eastAsia="Calibri"/>
          <w:color w:val="000000"/>
          <w:sz w:val="20"/>
        </w:rPr>
        <w:t>Алматы; архитектура multi-city</w:t>
      </w:r>
    </w:p>
    <w:p>
      <w:pPr>
        <w:spacing w:after="40"/>
      </w:pPr>
    </w:p>
    <w:p>
      <w:pPr>
        <w:pStyle w:val="Heading1"/>
      </w:pPr>
      <w:r>
        <w:t>1. Стратегия</w:t>
      </w:r>
    </w:p>
    <w:p>
      <w:r>
        <w:rPr>
          <w:rFonts w:ascii="Calibri" w:hAnsi="Calibri" w:eastAsia="Calibri"/>
          <w:i w:val="0"/>
          <w:color w:val="000000"/>
          <w:sz w:val="22"/>
        </w:rPr>
        <w:t>Разработка идёт вертикальными срезами и начинается с gap-аудита существующего каркаса. Полезный код сохраняется. Старые сущности и статусы не удаляются до сопоставления и миграционного решения.</w:t>
      </w:r>
    </w:p>
    <w:p>
      <w:pPr>
        <w:pStyle w:val="Heading1"/>
      </w:pPr>
      <w:r>
        <w:t>2. Этапы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5060"/>
        <w:gridCol w:w="260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Этап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Результат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Выходной gate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0. Gap audit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Карта сохранить / исправить / создать / скрыть; инвентарь БД/API/UI.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Утверждены mappings и migration plan.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1. Foundation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Identity, RBAC, AuditLog, Config, FileAsset, dictionaries.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Ролевые и audit tests проходят.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2. Valuation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Seller form → preliminary/manual → comparables → confirmed decision.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Нет выдуманной цены; versioning и guards работают.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3. Showings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Interest → request → confirm → reminder → complete → feedback.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Конфликты, права и feedback E2E проходят.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4. Deal Room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Offer → Green → deposit/booking → notary → sold/failed.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Все critical negative tests проходят.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5. Pilot hardening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Monitoring, backup, operational dashboards, training data.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UAT и incident rollback готовы.</w:t>
            </w:r>
          </w:p>
        </w:tc>
      </w:tr>
    </w:tbl>
    <w:p>
      <w:pPr>
        <w:spacing w:after="0"/>
      </w:pPr>
    </w:p>
    <w:p>
      <w:pPr>
        <w:pStyle w:val="Heading1"/>
      </w:pPr>
      <w:r>
        <w:t>3. Решённые конфликты старых версий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Конфликт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Каноническое решение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Астана в CASA_11 vs Алматы в Product Master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Пилот Алматы; city configurable. Астанинские ориентиры не копируются.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Standard/Exclusive/Plus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В коде нет выбора старого пакета. Модули являются внутренним контуром CASA Pro.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Deal Room по кнопке «Создать бронь»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Открывается на первом formal offer, до Green и брони.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Seller/buyer кабинеты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Future. Release 1 — внутренний CASA Pro; external-safe classification сохраняется.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Автоматическая оценка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Только при валидном market reference; иначе manual review.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AI принимает решения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Запрещено для critical statuses и внешних решений.</w:t>
            </w:r>
          </w:p>
        </w:tc>
      </w:tr>
    </w:tbl>
    <w:p>
      <w:pPr>
        <w:spacing w:after="0"/>
      </w:pPr>
    </w:p>
    <w:p>
      <w:pPr>
        <w:pStyle w:val="Heading1"/>
      </w:pPr>
      <w:r>
        <w:t>4. Config keys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700"/>
        <w:gridCol w:w="1700"/>
        <w:gridCol w:w="3960"/>
      </w:tblGrid>
      <w:tr>
        <w:trPr>
          <w:tblHeader w:val="true"/>
        </w:trP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Key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Default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Назначение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pilot.city_id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Алматы ID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Текущий город без hardcode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showings.buffer_minutes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30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Буфер конфликтов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showings.reminder_minutes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120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Обязательное напоминание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valuation.reference_max_age_days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CEO config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Срок свежести рыночной базы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valuation.min_confirmed_comparables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5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Минимум для confirmed без override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booking.cash_days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3–7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Операционный диапазон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booking.bvu_days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10–14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Стандарт; extension permission отдельно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booking.otbasy_days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14–30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Стандартный диапазон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notifications.channels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in_app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Внешние каналы подключаемые</w:t>
            </w:r>
          </w:p>
        </w:tc>
      </w:tr>
    </w:tbl>
    <w:p>
      <w:pPr>
        <w:spacing w:after="0"/>
      </w:pPr>
    </w:p>
    <w:p>
      <w:pPr>
        <w:pStyle w:val="Heading1"/>
      </w:pPr>
      <w:r>
        <w:t>5. Обязательные E2E-сценарии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Seller form → manual valuation → accepted property → client interest → confirmed viewing → feedback → offer → cash deal → sold.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Seller form без valid market reference → manual_review_required без цены.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Viewing conflict → 409 schedule_conflict; корректный reschedule сохраняет историю.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Completed viewing без feedback → задача и reminder; offer не создаётся автоматически.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Deal с open blocker → Green 2 запрещён.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deposit signed без transfer proof → booking_active запрещён.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BVU/Otbasy/mixed с недостаточным подтверждением → Green 2 запрещён.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Broker пытается открыть чужого клиента/файл → 403 и audit security event.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Повтор команды с тем же Idempotency-Key → один результат, без дубля.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sold/failed закрывает активные задачи, но сохраняет полную историю.</w:t>
      </w:r>
    </w:p>
    <w:p>
      <w:pPr>
        <w:pStyle w:val="Heading1"/>
      </w:pPr>
      <w:r>
        <w:t>6. QA-матрица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Тип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Минимальное покрытие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Unit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Валидация, вычисления без точных рыночных процентов, state guards, permission predicates.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Integration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DB constraints, idempotency, optimistic locking, files, notification jobs.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RBAC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Каждая роль × read/create/update/transition/export по чувствительным сущностям.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E2E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Happy path и обязательные негативные сценарии раздела 5.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Security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Object-level authorization, signed URLs, PII logs, upload validation, rate limit.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UX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Loading, empty, validation, permission denied, conflict, offline/retry, mobile web.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Migration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Backfill, enum mapping, rollback/forward plan, duplicate detection.</w:t>
            </w:r>
          </w:p>
        </w:tc>
      </w:tr>
    </w:tbl>
    <w:p>
      <w:pPr>
        <w:spacing w:after="0"/>
      </w:pPr>
    </w:p>
    <w:p>
      <w:pPr>
        <w:pStyle w:val="Heading1"/>
      </w:pPr>
      <w:r>
        <w:t>7. Definition of Ready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Определены пользователь, цель, входные данные, permissions и ownership.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Зафиксированы статусы, allowed transitions, guards, ошибки и audit events.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Есть макеты loading/empty/error/forbidden/conflict/mobile states.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API schema, migration, тестовые данные и acceptance criteria согласованы.</w:t>
      </w:r>
    </w:p>
    <w:p>
      <w:pPr>
        <w:pStyle w:val="Heading1"/>
      </w:pPr>
      <w:r>
        <w:t>8. Definition of Done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Основной и ошибочные сценарии реализованы серверно и в UI.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Автоматические, ролевые и сквозные тесты зелёные.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Миграции применены на staging; backup/rollback проверены.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Документация API и словарь данных обновлены.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Monitoring, alerts, AuditLog и operational dashboard доступны.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Product/QA приняли релиз по критериям специализированного документа.</w:t>
      </w:r>
    </w:p>
    <w:p>
      <w:pPr>
        <w:pStyle w:val="Heading1"/>
      </w:pPr>
      <w:r>
        <w:t>9. Stop conditions</w:t>
      </w:r>
    </w:p>
    <w:p>
      <w:pPr>
        <w:keepLines/>
        <w:shd w:fill="FDECEC"/>
        <w:spacing w:before="60" w:after="140" w:line="264" w:lineRule="auto"/>
        <w:ind w:left="115" w:right="115"/>
      </w:pPr>
      <w:r>
        <w:rPr>
          <w:rFonts w:ascii="Calibri" w:hAnsi="Calibri" w:eastAsia="Calibri"/>
          <w:b/>
          <w:color w:val="0B2545"/>
          <w:sz w:val="22"/>
        </w:rPr>
        <w:t>NO-GO</w:t>
      </w:r>
      <w:r>
        <w:br/>
      </w:r>
      <w:r>
        <w:rPr>
          <w:rFonts w:ascii="Calibri" w:hAnsi="Calibri" w:eastAsia="Calibri"/>
          <w:color w:val="000000"/>
          <w:sz w:val="22"/>
        </w:rPr>
        <w:t>Production запрещён, если не пройдены object-level authorization, booking/Green negative tests, backup restore или юридическая проверка используемого договора задатка.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7085"/>
        <w:sz w:val="17"/>
      </w:rPr>
      <w:t xml:space="preserve">06 — CASA Release &amp; QA Plan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667085"/>
        <w:sz w:val="17"/>
      </w:rPr>
      <w:t>CASA • DEVELOPER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