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0F766E"/>
          <w:sz w:val="17"/>
        </w:rPr>
        <w:t>НЕЗАВИСИМАЯ КОМИССИЯ • 6 ДИСЦИПЛИН</w:t>
      </w:r>
    </w:p>
    <w:p>
      <w:pPr>
        <w:pStyle w:val="Title"/>
        <w:keepNext/>
      </w:pPr>
      <w:r>
        <w:t>Независимый аудит CASA Mortgage Pre‑Score v1.0</w:t>
      </w:r>
    </w:p>
    <w:p>
      <w:pPr>
        <w:spacing w:after="280"/>
      </w:pPr>
      <w:r>
        <w:rPr>
          <w:rFonts w:ascii="Arial" w:hAnsi="Arial"/>
          <w:color w:val="52606D"/>
          <w:sz w:val="24"/>
        </w:rPr>
        <w:t>Source of Truth, ипотечный андеррайтинг, MRM, архитектура, BA/QA, privacy &amp; security — Казахстан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Контроль документа"/>
        <w:tblDescription w:val="Версия, статус, дата и область действия документа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4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  <w:trHeight w:hRule="auto"/>
        </w:trPr>
        <w:tc>
          <w:tcPr>
            <w:tcW w:type="dxa" w:w="25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Аудируемые материалы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CASA Developer Handoff v2.1 FINAL + Mortgage Pre‑Score Spec v1.0</w:t>
            </w:r>
          </w:p>
        </w:tc>
      </w:tr>
      <w:tr>
        <w:trPr>
          <w:cantSplit/>
          <w:trHeight w:hRule="auto"/>
        </w:trPr>
        <w:tc>
          <w:tcPr>
            <w:tcW w:type="dxa" w:w="252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Дата нормативной проверки</w:t>
            </w:r>
          </w:p>
        </w:tc>
        <w:tc>
          <w:tcPr>
            <w:tcW w:type="dxa" w:w="68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02.08.2026</w:t>
            </w:r>
          </w:p>
        </w:tc>
      </w:tr>
      <w:tr>
        <w:trPr>
          <w:cantSplit/>
          <w:trHeight w:hRule="auto"/>
        </w:trPr>
        <w:tc>
          <w:tcPr>
            <w:tcW w:type="dxa" w:w="25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Вердикт исходного документа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NOT READY</w:t>
            </w:r>
          </w:p>
        </w:tc>
      </w:tr>
      <w:tr>
        <w:trPr>
          <w:cantSplit/>
          <w:trHeight w:hRule="auto"/>
        </w:trPr>
        <w:tc>
          <w:tcPr>
            <w:tcW w:type="dxa" w:w="252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Вердикт исправленной версии</w:t>
            </w:r>
          </w:p>
        </w:tc>
        <w:tc>
          <w:tcPr>
            <w:tcW w:type="dxa" w:w="68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READY WITH BLOCKING DECISIONS BEFORE PILOT</w:t>
            </w:r>
          </w:p>
        </w:tc>
      </w:tr>
      <w:tr>
        <w:trPr>
          <w:cantSplit/>
          <w:trHeight w:hRule="auto"/>
        </w:trPr>
        <w:tc>
          <w:tcPr>
            <w:tcW w:type="dxa" w:w="25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Source of Truth</w:t>
            </w:r>
          </w:p>
        </w:tc>
        <w:tc>
          <w:tcPr>
            <w:tcW w:type="dxa" w:w="68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7"/>
              </w:rPr>
              <w:t>01_Source_of_Truth_CASA_Product_Master_v1.1.docx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B42318"/>
              </w:rPr>
              <w:t xml:space="preserve">КРИТИЧЕСКИЙ ВЫВОД  </w:t>
            </w:r>
            <w:r>
              <w:t>Исходная v1.0 не является исполняемым developer handoff: ипотечные OpenAPI/schema/status fixtures отсутствуют, финансовые ограничения неполны, а privacy, consent и regulatory applicability не закрыты. Исправленная v1.1 снимает дефекты спецификации, но непубличные правила банков и юридические параметры должны быть утверждены до пилота.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224" w:right="1440" w:bottom="1152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Матрица аудита</w:t>
      </w:r>
    </w:p>
    <w:p>
      <w:pPr>
        <w:pStyle w:val="Small"/>
      </w:pPr>
      <w:r>
        <w:t>Первая содержательная таблица фиксирует coverage, статус, критичность, проблему и требуемое исправление. Blocker в колонке критичности относится к исходной v1.0; после внесения изменений такие пункты переведены в release gates или blocking decisions до пилота.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Полная матрица независимого аудита"/>
        <w:tblDescription w:val="Идентификатор, раздел, требование, источник, покрытие, статус, критичность, проблема и исправление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648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ID</w:t>
            </w:r>
          </w:p>
        </w:tc>
        <w:tc>
          <w:tcPr>
            <w:tcW w:type="dxa" w:w="979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Раздел</w:t>
            </w:r>
          </w:p>
        </w:tc>
        <w:tc>
          <w:tcPr>
            <w:tcW w:type="dxa" w:w="180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Требование</w:t>
            </w:r>
          </w:p>
        </w:tc>
        <w:tc>
          <w:tcPr>
            <w:tcW w:type="dxa" w:w="1296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Источник</w:t>
            </w:r>
          </w:p>
        </w:tc>
        <w:tc>
          <w:tcPr>
            <w:tcW w:type="dxa" w:w="79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Покрытие</w:t>
            </w:r>
          </w:p>
        </w:tc>
        <w:tc>
          <w:tcPr>
            <w:tcW w:type="dxa" w:w="132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Статус</w:t>
            </w:r>
          </w:p>
        </w:tc>
        <w:tc>
          <w:tcPr>
            <w:tcW w:type="dxa" w:w="89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Критичность</w:t>
            </w:r>
          </w:p>
        </w:tc>
        <w:tc>
          <w:tcPr>
            <w:tcW w:type="dxa" w:w="288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Проблема</w:t>
            </w:r>
          </w:p>
        </w:tc>
        <w:tc>
          <w:tcPr>
            <w:tcW w:type="dxa" w:w="3931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1"/>
              </w:rPr>
              <w:t>Исправление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AUD-001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Иерархия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Единый Source of Truth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README; Product Master v1.1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CORRECT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Blocker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Product Master v1.1 прямо назначен единственным Source of Truth.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Сохранить; Mortgage Spec объявить Level 3 domain spec.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AUD-002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Иерархия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Место Mortgage Pre-Score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SOT §9; Addendum §1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Спецификация согласуется с SOT по смыслу, но отсутствует в manifest/contract-пакете v2.1.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Добавить в реестр документов и отдельные mortgage contracts; secondary contracts не менять.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AUD-003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Scope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Предварительность результата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SOT §9.1, §18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CORRECT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Документ запрещает выдавать результат за решение банка.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Сохранить disclaimer во всех API/UI/export.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AUD-004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Scope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«Замена брокера»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§2; SOT §3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CONTRADICTS_SOURCE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Фраза о замене ипотечного брокера расширяет R1: SOT сохраняет роль ипотечного брокера для проверки и исключений.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Переименовать в автоматизацию предварительного андеррайтинга; human owner обязателен.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AUD-005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Scope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Клиентская роль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§19; SOT §3, §7.2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CONTRADICTS_SOURCE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вводит Client как роль CASA Pro; SOT разрешает клиенту только защищённую подборку, без кабинета.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R1: ExternalViewerToken без account/RBAC role; кабинет клиента — R2.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AUD-006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Release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R1/R2 границы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SOT §17; MPS §22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Интеграции и ML отнесены в R2, но внешняя передача и client role не разделены release gates.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Ввести явную матрицу R1/R2 и feature flags default-off.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AUD-007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Входы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Идентификация и возраст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§4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 задана дата окончания кредита, алгоритм возраста, timezone и mismatch с документом.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DOB из verified identity; age_at_application/at_maturity; unresolved mismatch блокирует расчёт.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AUD-008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Входы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Семейный статус/иждивенцы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§4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Поля перечислены без правового статуса, источника, nullable и влияния.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Добавить data dictionary и bank-rule applicability; отсутствие = UNKNOWN, если правило обязательное.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AUD-009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Доход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Типы занятости и стаж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§4, §7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испытательного срока, смен работодателя, payer concentration и строгих правил пропусков/выбросов.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Добавить поля, детекторы, review policy и reason codes.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AUD-010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Доход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Пенсионный-derived income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§7; eGov/ЕНПФ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UNVERIFIED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Универсальное contribution/rate не учитывает тип взноса, плательщика, предел базы, льготы и OPVR 3,5% в 2026.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Хранить contribution_type/category/rule version; результат = ESTIMATED, cross-check; не смешивать OPV и OPVR.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AUD-011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Доход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3/6/12 месяцев, медиана и тренд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§7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Метрики названы, но нет точных окон, minimum months и формул spike/missing month.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Определить календарные месяцы, completeness ratio, median, CV, slope и пороги в policy version.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AUD-012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Доход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Недопущение double count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§7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детерминированного ключа и приоритета источников; ручная дедупликация невоспроизводима.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IncomeEvidenceLink + payer/period/amount fingerprint; same economic event counted once; review conflict.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AUD-013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Созаёмщик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Объединение доходов/обязательств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Простая сумма может дважды учесть совместный займ и доход; не задано согласие каждого участника.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Party-level eligibility/consent; facility identity dedup; program-defined aggregation; trace per party.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AUD-014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Кредит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Действующие займы и платежи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§6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Поля есть, но нет порядка при конфликте report/client/statement и даты актуальности.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CreditFacility revision; conservative precedence; stale threshold per rule; review before calculate.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AUD-015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Кредит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Кредитные карты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§6, §8; НБК №52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UNVERIFIED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Текст смешивает использованный лимит, 10% и иной коэффициент без отделения КДН от КДД.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Отдельный RegulatoryMetricRule по типу метрики и применимости; activation only after Legal sign-off.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AUD-016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Кредит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Просрочки DPD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§6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DPD 30/60/90+ названы, но нет event model, окна, disputed flag и текущей/исторической семантики.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DelinquencyEpisode(start/end/max_dpd/status/disputed/source); rules consume explicit windows.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AUD-017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Кредит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Запросы/новые займы/debt velocity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§6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окон и reason codes для кредитного поведения.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Версионировать 30/90/180-day metrics; применять как risk axis, не как bank hard rule без источника.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AUD-018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Сделка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Первоначальный взнос и источник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§4, §8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 доказаны доступность средств, source-of-funds и резерв после сделки.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DownPaymentSource + verified amount/date/encumbrance; post-close reserve отдельно; UNKNOWN при отсутствии.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AUD-019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Сделка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Оценка/LTV/appraisal gap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§8, §12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LTV формально есть, но max property price игнорирует appraisal gap и одновременные ограничения.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Candidate-specific required_down и min(purchase, appraisal) по правилу программы.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AUD-020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Объект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Совместимость квартиры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§12; SOT §6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CONTRADICTS_SOURCE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`unit.active=true` не совпадает с каноническими status/freshness; secondary/new-build различаются.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Использовать canonical Unit/SecondaryProperty status + inventory/property revision and as_of.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AUD-021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Архитектура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Граница AI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§3, §20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CORRECT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LLM ограничен extraction/classification/explanation; денежные решения детерминированы.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Закрепить enforcement: no raw PII to external model unless approved.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AUD-022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Doc Intelligence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Provenance поля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§5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Источник/страница/bbox/confidence заявлены, но нет schema, coordinate system и immutable raw value.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ExtractedField revision: document/page/bbox unit/raw/normalized/model/version/hash/confidence.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AUD-023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Human review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Review gate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§5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 определены пороги, конфликты, SLA и права подтверждения критических полей.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ReviewPolicy version; critical fields always dual-source or human verified; events FIELD_CONFIRMED/REJECTED.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AUD-024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Regulatory vs CASA affordability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Один allowed_debt_ratio смешивает закон, банк и внутренний буфер CASA.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Считать regulatory KDN, program affordability и CASA safety overlay раздельно; отдельные labels/traces.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AUD-025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Available payment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§8; SOT §9.4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Формула верна только после строгого определения eligible income, obligations и applicable ratio.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max(0, ratio×income−load); все входы versioned; zero/negative income =&gt; INSUFFICIENT_DATA/FAIL, не divide.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AUD-026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Аннуитет/max loan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 описана ветка нулевой ставки, payment method, rate conversion, rounding и комиссии/страхование.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i=0: M=P/n, P=M×n; nominal rate only; product-specific calendar; Decimal; fee schedule separately.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AUD-027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Max property price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`max_loan + down_payment` завышает бюджет при min down/LTV/cap/appraisal constraints.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Abstract cap=min(program cap,D+Lmax,D/d,D/(1−L)); финальное решение только candidate-specific.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AUD-028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Residual income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UNVERIFIED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household_minimum не имеет источника, состава и применимости.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Отдельная ProgramResidualIncomeRule; UNKNOWN, если банк не публикует/не подтверждает.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AUD-029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Payment shock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§10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Знаменатель и no-current-payment не определены; порог может ложно отказать.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Определить ratio/delta variants; null при base=0; risk signal only unless sourced bank rule.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AUD-030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Формулы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Trace/повторяемость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§8, §20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Заявлена Decimal, но нет scale, rounding stage, timezone, effective_at, input hash и formula registry.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CalculationTrace с exact decimals, currency, rounding, formula/rule versions, snapshots and hash.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AUD-031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Правила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Версионированная карточка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§9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полного набора author/approver/source hash/validity/overlap/rollback/test evidence/unknown fields.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Расширить ProgramRuleVersion; four-eyes activation; immutable active version; test gate.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AUD-032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Правила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Закрытые параметры банка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Офиц. страницы банков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BLOCKING_DECISION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Blocker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Публично отсутствуют точные credit-history, income-share, residual-income и object exception rules.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Owner: Mortgage Policy Lead; получить partner-approved cards до pilot T−10; иначе assessment UNKNOWN.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AUD-033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Результат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Независимые оси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§10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Оси перечислены, но eligibility/affordability используют несогласованные шкалы; overall composition не задан.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Точная шкала и deterministic readiness matrix; no average score.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AUD-034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Результат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PASS/CONDITIONAL/FAIL/UNKNOWN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§9–10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исчерпывающих правил; UNKNOWN может исчезнуть при ranking.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Каждый assessment хранит status, reason_code, inputs, versions, missing data, action; UNKNOWN never PASS.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AUD-035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Результат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Reason codes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§16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контролируемого справочника severity/dimension/blocking/message key.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Создать immutable ReasonCodeRegistry; неизвестный код отклоняет publish.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AUD-036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Результат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Probability of approval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§10, §20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CORRECT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Вероятность запрещена без labels/calibration/validation/governance.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Сохранить; feature flag off; separate MRM approval required.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AUD-037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Matching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FAIL/UNKNOWN/CONDITIONAL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§11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FAIL исключается, но точная выдача UNKNOWN и действия CONDITIONAL не формализованы в API.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Matched only PASS/CONDITIONAL; unresolved section for UNKNOWN; conditional_action required.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AUD-038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Matching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Комиссия CASA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§11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Формулировка «не основной фактор» допускает влияние на клиентское ранжирование.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Комиссия имеет нулевой вес и не участвует в клиентском order; отдельная internal analytics only.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AUD-039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Matching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Freshness квартиры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§12; SOT §6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TTL по источнику, reservation race и snapshot inventory version.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FreshnessPolicy + checked_at + inventory revision; stale/sold/reserved excluded atomically.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AUD-040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Scenarios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Расчёт на копии snapshot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§13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Намерение есть, но нет immutability, delta schema и ограничения realistic actions.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ScenarioRun references base snapshot; overrides separate; exact delta; no side effects/promises.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AUD-041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Data model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Совместимость сущностей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§17; CASA_SCHEMA v2.1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CONTRADICTS_SOURCE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ConsentGrant, PreScoreRun и BorrowerParty не сопоставлены с ClientConsent, PreScoreResult, Client.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Canonical mapping; child revisions/link entities, не parallel aggregates.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AUD-042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Data model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Nullability/constraints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§17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типов, required/nullable, unique/FK/check constraints, PII class и retention class.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Полный entity dictionary и migration contract.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AUD-043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API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Machine-readable mortgage contract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CASA_API v2.1; MPS §18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Blocker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Mortgage endpoints существуют только в prose и отсутствуют в OpenAPI/YAML/status fixtures.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 coding создать mortgage OpenAPI/schema/status/reason/test fixtures, совместимые с `/api/v1`.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AUD-044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API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HTTP error model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§18; Tech Contract §6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CONTRADICTS_SOURCE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428 используется для domain missing consent; archive convention использует 409/422 и expected_version.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422 domain validation; 409 state/version; 428 только для отсутствующего conditional header, если принят.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AUD-045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API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Idempotency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scope, body hash, TTL и поведения повторов/mismatch.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Key=(actor,operation,key); same hash returns original; different hash=409; audit all replays.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AUD-046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API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Concurrency/revisions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§18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точной optimistic locking семантики и immutable invalidation.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expected_version/ETag; 409 VERSION_CONFLICT; never mutate verified/calculated revision.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AUD-047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API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Upload/finalize/scan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Одношаговый upload не описывает private object session, completion, checksum и scan state.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CreateUpload→PUT private→Complete→SCAN_PENDING/CLEAN/REJECTED; no processing before CLEAN.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AUD-048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Consent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Версия/цель/операции/получатели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SOT §9.2; MPS §19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Generic recipients array недостаточен; нет field categories и отдельного grant на банк/застройщика.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ClientConsent + immutable ConsentRevision/RecipientGrant per legal entity, purpose, operation, field set.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AUD-049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Consent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Отзыв и удаление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Закон №94-V; Rules №21498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Отзыв не всегда означает немедленное удаление; не описаны stop-sharing, jobs, links, legal hold/backup.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Revoke token/jobs/sharing immediately; retention decision with legal basis; delete/anonymize when permitted.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AUD-050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Privacy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Хранение в РК/трансграничность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Rules №21498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Blocker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data residency и запрета неутверждённой внешней LLM-обработки сырых документов.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Primary/backup DB and object store in RK; DPO/security gate for processor, transfer, retention and no-training.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AUD-051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Security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PII logs/download audit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SOT §15; MPS §19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Запрет PII logs заявлен, но нет технической redaction policy, content rules и download event schema.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Allow-list logs; masked IDs; never document text; immutable access/download events with object/actor/purpose.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AUD-052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Security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RBAC + object-level access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§19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Role matrix без ABAC ownership, transfer, break-glass, service principals и external token scope.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Deny-by-default RBAC+ABAC; object owner/team scope; time-limited break-glass and signed external links.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AUD-053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Resilience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Backup/restore/monitoring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§19–22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 RPO/RTO, restore drill, alert SLO, DLQ/retry и degraded-mode rules.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NFR registry; quarterly restore test; safe failure to UNKNOWN/REVIEW_REQUIRED, never stale PASS.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AUD-054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Testing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Тестовый набор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§21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20 high-level tests не задают input/steps/audit events и пропускают contract/concurrency/security/stale/scenario cases.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Ввести executable test catalog + golden fixtures; минимум набор из §12 отчёта.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AUD-055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Bank facts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Публичные условия банков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§14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UNVERIFIED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Источники S9–S14 не сведены в fact registry: statement/applicability/checked_at/storage classification.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OfficialFact registry; dated URL; product-specific applicability; refresh owner/TTL.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AUD-056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Governance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Migration/rollback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§22; Gap Audit v2.1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Частичное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PARTIAL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Critical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Gap audit указан как задача, но нет фактического mapping/migration plan для mortgage entities.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Repository-level gap audit before implementation; migration dry-run/rollback; owner Tech Lead.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AUD-057</w:t>
            </w:r>
          </w:p>
        </w:tc>
        <w:tc>
          <w:tcPr>
            <w:tcW w:type="dxa" w:w="979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Quality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Changelog/decision log</w:t>
            </w:r>
          </w:p>
        </w:tc>
        <w:tc>
          <w:tcPr>
            <w:tcW w:type="dxa" w:w="12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v1.0</w:t>
            </w:r>
          </w:p>
        </w:tc>
        <w:tc>
          <w:tcPr>
            <w:tcW w:type="dxa" w:w="7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MISSING</w:t>
            </w:r>
          </w:p>
        </w:tc>
        <w:tc>
          <w:tcPr>
            <w:tcW w:type="dxa" w:w="89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Major</w:t>
            </w:r>
          </w:p>
        </w:tc>
        <w:tc>
          <w:tcPr>
            <w:tcW w:type="dxa" w:w="28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Документ не имеет полного changelog, resolved/unresolved decisions и trace до требований.</w:t>
            </w:r>
          </w:p>
        </w:tc>
        <w:tc>
          <w:tcPr>
            <w:tcW w:type="dxa" w:w="393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Добавить document control, requirement IDs, changelog and blocking-decision register.</w:t>
            </w:r>
          </w:p>
        </w:tc>
      </w:tr>
      <w:tr>
        <w:trPr>
          <w:cantSplit/>
          <w:trHeight w:hRule="auto"/>
        </w:trPr>
        <w:tc>
          <w:tcPr>
            <w:tcW w:type="dxa" w:w="6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AUD-058</w:t>
            </w:r>
          </w:p>
        </w:tc>
        <w:tc>
          <w:tcPr>
            <w:tcW w:type="dxa" w:w="979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Лишнее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Маркетинговые SLA банков</w:t>
            </w:r>
          </w:p>
        </w:tc>
        <w:tc>
          <w:tcPr>
            <w:tcW w:type="dxa" w:w="12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MPS §14</w:t>
            </w:r>
          </w:p>
        </w:tc>
        <w:tc>
          <w:tcPr>
            <w:tcW w:type="dxa" w:w="7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Нет</w:t>
            </w:r>
          </w:p>
        </w:tc>
        <w:tc>
          <w:tcPr>
            <w:tcW w:type="dxa" w:w="13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UNNECESSARY</w:t>
            </w:r>
          </w:p>
        </w:tc>
        <w:tc>
          <w:tcPr>
            <w:tcW w:type="dxa" w:w="89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Minor</w:t>
            </w:r>
          </w:p>
        </w:tc>
        <w:tc>
          <w:tcPr>
            <w:tcW w:type="dxa" w:w="28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Маркетинговое «решение за N минут» не является банковским правилом CASA и создаёт ложное ожидание.</w:t>
            </w:r>
          </w:p>
        </w:tc>
        <w:tc>
          <w:tcPr>
            <w:tcW w:type="dxa" w:w="393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1"/>
              </w:rPr>
              <w:t>Удалить из rule logic; при необходимости оставить только как non-binding source note.</w:t>
            </w:r>
          </w:p>
        </w:tc>
      </w:tr>
    </w:tbl>
    <w:p>
      <w:pPr>
        <w:spacing w:after="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1037" w:right="648" w:bottom="979" w:left="648" w:header="504" w:footer="504" w:gutter="0"/>
          <w:cols w:space="720"/>
          <w:docGrid w:linePitch="360"/>
        </w:sectPr>
      </w:pPr>
    </w:p>
    <w:p>
      <w:pPr>
        <w:pStyle w:val="Heading1"/>
      </w:pPr>
      <w:r>
        <w:t>1. Краткий объективный вердикт</w:t>
      </w:r>
    </w:p>
    <w:p>
      <w:r>
        <w:t>Исходная спецификация получила 64/100 по среднему 16 критериев и вердикт NOT READY. Она правильно задаёт направление — доказуемый pre-underwriting, а не банковский scoring, — но оставляет критические решения разработчику: применимость нормативной формулы, дедупликацию дохода, ко-заёмщика, appraisal gap, статусы, API semantics, immutable revisions, privacy lifecycle и исполняемые тесты. Разработка по v1.0 создаст несовместимый с handoff v2.1 mortgage-контур и риск ложного PASS.</w:t>
      </w:r>
    </w:p>
    <w:p>
      <w:r>
        <w:t>Исправленная v1.1 получает 96/100 (округлённое среднее) и вердикт READY WITH BLOCKING DECISIONS BEFORE PILOT. Это не 100/100: точные непубличные банковские политики, окончательная legal/DPO retention matrix, инфраструктурная локализация и repository-level gap audit должны быть утверждены до пилота. Ни одно неизвестное значение не подменяется предположением.</w:t>
      </w:r>
    </w:p>
    <w:p>
      <w:pPr>
        <w:pStyle w:val="Heading1"/>
      </w:pPr>
      <w:r>
        <w:t>2. Что сделано правильно</w:t>
      </w:r>
    </w:p>
    <w:p>
      <w:pPr>
        <w:pStyle w:val="ListBullet"/>
      </w:pPr>
      <w:r>
        <w:t>Source of Truth признан верхнеуровневым документом; результат CASA назван предварительным.</w:t>
      </w:r>
    </w:p>
    <w:p>
      <w:pPr>
        <w:pStyle w:val="ListBullet"/>
      </w:pPr>
      <w:r>
        <w:t>AI отделён от deterministic financial/rules engines; вероятность одобрения запрещена без Model Risk governance.</w:t>
      </w:r>
    </w:p>
    <w:p>
      <w:pPr>
        <w:pStyle w:val="ListBullet"/>
      </w:pPr>
      <w:r>
        <w:t>Заложены provenance полей, human review, versioned program rules и multi-axis result.</w:t>
      </w:r>
    </w:p>
    <w:p>
      <w:pPr>
        <w:pStyle w:val="ListBullet"/>
      </w:pPr>
      <w:r>
        <w:t>FAIL исключается из подходящих программ; сценарии не должны обещать одобрение.</w:t>
      </w:r>
    </w:p>
    <w:p>
      <w:pPr>
        <w:pStyle w:val="ListBullet"/>
      </w:pPr>
      <w:r>
        <w:t>Direct credit-bureau integration отложена до отдельного права и договора.</w:t>
      </w:r>
    </w:p>
    <w:p>
      <w:pPr>
        <w:pStyle w:val="Heading1"/>
      </w:pPr>
      <w:r>
        <w:t>3. Что забыто</w:t>
      </w:r>
    </w:p>
    <w:p>
      <w:pPr>
        <w:pStyle w:val="ListBullet"/>
      </w:pPr>
      <w:r>
        <w:t>Machine-readable ипотечные schema/OpenAPI/status/reason-code/test fixtures и mapping к существующим сущностям.</w:t>
      </w:r>
    </w:p>
    <w:p>
      <w:pPr>
        <w:pStyle w:val="ListBullet"/>
      </w:pPr>
      <w:r>
        <w:t>Полный data dictionary: required/nullable, source, validation, computation effect, missing-data status и PII class.</w:t>
      </w:r>
    </w:p>
    <w:p>
      <w:pPr>
        <w:pStyle w:val="ListBullet"/>
      </w:pPr>
      <w:r>
        <w:t>Отдельные consent grants на каждого получателя/цель/набор полей и полная revocation orchestration.</w:t>
      </w:r>
    </w:p>
    <w:p>
      <w:pPr>
        <w:pStyle w:val="ListBullet"/>
      </w:pPr>
      <w:r>
        <w:t>Appraisal gap, reserve after closing, source-of-funds, joint-facility dedup и program-specific residual income.</w:t>
      </w:r>
    </w:p>
    <w:p>
      <w:pPr>
        <w:pStyle w:val="ListBullet"/>
      </w:pPr>
      <w:r>
        <w:t>Idempotency hash semantics, optimistic locking, upload finalize/scan states, retention/legal hold/backup deletion.</w:t>
      </w:r>
    </w:p>
    <w:p>
      <w:pPr>
        <w:pStyle w:val="Heading1"/>
      </w:pPr>
      <w:r>
        <w:t>4. Что неправильно</w:t>
      </w:r>
    </w:p>
    <w:p>
      <w:pPr>
        <w:pStyle w:val="ListBullet"/>
      </w:pPr>
      <w:r>
        <w:t>Один allowed_debt_ratio смешивает регуляторный КДН, банковскую affordability policy и CASA safety margin.</w:t>
      </w:r>
    </w:p>
    <w:p>
      <w:pPr>
        <w:pStyle w:val="ListBullet"/>
      </w:pPr>
      <w:r>
        <w:t>Max property price = max loan + down payment неверно при min down, LTV, cap и appraisal gap.</w:t>
      </w:r>
    </w:p>
    <w:p>
      <w:pPr>
        <w:pStyle w:val="ListBullet"/>
      </w:pPr>
      <w:r>
        <w:t>Contribution/rate не является универсальной формулой подтверждённого дохода.</w:t>
      </w:r>
    </w:p>
    <w:p>
      <w:pPr>
        <w:pStyle w:val="ListBullet"/>
      </w:pPr>
      <w:r>
        <w:t>`unit.active=true` и R1 Client role противоречат каноническим статусам/ролям Source of Truth.</w:t>
      </w:r>
    </w:p>
    <w:p>
      <w:pPr>
        <w:pStyle w:val="ListBullet"/>
      </w:pPr>
      <w:r>
        <w:t>HTTP 428 применён как domain validation вместо условного запроса; это расходится с контрактом архива.</w:t>
      </w:r>
    </w:p>
    <w:p>
      <w:pPr>
        <w:pStyle w:val="Heading1"/>
      </w:pPr>
      <w:r>
        <w:t>5. Что недостаточно определено</w:t>
      </w:r>
    </w:p>
    <w:p>
      <w:pPr>
        <w:pStyle w:val="ListBullet"/>
      </w:pPr>
      <w:r>
        <w:t>Календарные окна, median/mean/trend/spike/missing month и eligibility каждого источника дохода.</w:t>
      </w:r>
    </w:p>
    <w:p>
      <w:pPr>
        <w:pStyle w:val="ListBullet"/>
      </w:pPr>
      <w:r>
        <w:t>Точная status taxonomy и deterministic composition Overall Readiness.</w:t>
      </w:r>
    </w:p>
    <w:p>
      <w:pPr>
        <w:pStyle w:val="ListBullet"/>
      </w:pPr>
      <w:r>
        <w:t>Rule version lifecycle, four-eyes activation, overlap detection, rollback и stale behavior.</w:t>
      </w:r>
    </w:p>
    <w:p>
      <w:pPr>
        <w:pStyle w:val="ListBullet"/>
      </w:pPr>
      <w:r>
        <w:t>Payment method, nominal-rate conversion, rounding stage, day-count/payment calendar, fees/insurance.</w:t>
      </w:r>
    </w:p>
    <w:p>
      <w:pPr>
        <w:pStyle w:val="ListBullet"/>
      </w:pPr>
      <w:r>
        <w:t>Human review policy, OCR coordinate system, conflict precedence и critical-field thresholds.</w:t>
      </w:r>
    </w:p>
    <w:p>
      <w:pPr>
        <w:pStyle w:val="Heading1"/>
      </w:pPr>
      <w:r>
        <w:t>6. Что является лишним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Кандидаты на удаление или перенос"/>
        <w:tblDescription w:val="Лишние либо вводящие в заблуждение элементы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951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Почему лишний/опасный</w:t>
            </w:r>
          </w:p>
        </w:tc>
        <w:tc>
          <w:tcPr>
            <w:tcW w:type="dxa" w:w="2376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94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Последствие удаления</w:t>
            </w:r>
          </w:p>
        </w:tc>
      </w:tr>
      <w:tr>
        <w:trPr>
          <w:cantSplit/>
          <w:trHeight w:hRule="auto"/>
        </w:trPr>
        <w:tc>
          <w:tcPr>
            <w:tcW w:type="dxa" w:w="208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Маркетинговые сроки «одобрения за N минут»</w:t>
            </w:r>
          </w:p>
        </w:tc>
        <w:tc>
          <w:tcPr>
            <w:tcW w:type="dxa" w:w="295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являются rule input CASA и создают ожидание bank approval.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Удалить из логики; при необходимости оставить как non-binding note.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Никакой потери функциональности.</w:t>
            </w:r>
          </w:p>
        </w:tc>
      </w:tr>
      <w:tr>
        <w:trPr>
          <w:cantSplit/>
          <w:trHeight w:hRule="auto"/>
        </w:trPr>
        <w:tc>
          <w:tcPr>
            <w:tcW w:type="dxa" w:w="208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Client как CASA Pro role в R1</w:t>
            </w:r>
          </w:p>
        </w:tc>
        <w:tc>
          <w:tcPr>
            <w:tcW w:type="dxa" w:w="295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SOT не предусматривает клиентский кабинет.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Перенести в R2; R1 — защищённая ссылка.</w:t>
            </w:r>
          </w:p>
        </w:tc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Снижение attack surface и scope.</w:t>
            </w:r>
          </w:p>
        </w:tc>
      </w:tr>
      <w:tr>
        <w:trPr>
          <w:cantSplit/>
          <w:trHeight w:hRule="auto"/>
        </w:trPr>
        <w:tc>
          <w:tcPr>
            <w:tcW w:type="dxa" w:w="208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CASA commission как ranking factor</w:t>
            </w:r>
          </w:p>
        </w:tc>
        <w:tc>
          <w:tcPr>
            <w:tcW w:type="dxa" w:w="295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Конфликт интересов и не соответствует клиентскому best fit.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Нулевой вес; internal analytics отдельно.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Ранжирование становится объяснимым.</w:t>
            </w:r>
          </w:p>
        </w:tc>
      </w:tr>
      <w:tr>
        <w:trPr>
          <w:cantSplit/>
          <w:trHeight w:hRule="auto"/>
        </w:trPr>
        <w:tc>
          <w:tcPr>
            <w:tcW w:type="dxa" w:w="208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Общее рассуждение о «замене брокера»</w:t>
            </w:r>
          </w:p>
        </w:tc>
        <w:tc>
          <w:tcPr>
            <w:tcW w:type="dxa" w:w="295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тестируемо и противоречит human review.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Заменить acceptance criteria автоматизации.</w:t>
            </w:r>
          </w:p>
        </w:tc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Ясная ответственность.</w:t>
            </w:r>
          </w:p>
        </w:tc>
      </w:tr>
    </w:tbl>
    <w:p>
      <w:pPr>
        <w:spacing w:after="0"/>
      </w:pPr>
    </w:p>
    <w:p>
      <w:pPr>
        <w:pStyle w:val="Heading1"/>
      </w:pPr>
      <w:r>
        <w:t>7. Противоречия с Source of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Реестр конфликтов Source of Truth"/>
        <w:tblDescription w:val="Конфликты, владельцы решений и способы устранения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4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Конфликт</w:t>
            </w:r>
          </w:p>
        </w:tc>
        <w:tc>
          <w:tcPr>
            <w:tcW w:type="dxa" w:w="223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Файлы/разделы</w:t>
            </w:r>
          </w:p>
        </w:tc>
        <w:tc>
          <w:tcPr>
            <w:tcW w:type="dxa" w:w="108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Критичность</w:t>
            </w:r>
          </w:p>
        </w:tc>
        <w:tc>
          <w:tcPr>
            <w:tcW w:type="dxa" w:w="1655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2448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Устранение</w:t>
            </w:r>
          </w:p>
        </w:tc>
      </w:tr>
      <w:tr>
        <w:trPr>
          <w:cantSplit/>
          <w:trHeight w:hRule="auto"/>
        </w:trPr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Client role vs protected shortlist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MPS §19 ↔ SOT §3, §7.2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Major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CPO</w:t>
            </w:r>
          </w:p>
        </w:tc>
        <w:tc>
          <w:tcPr>
            <w:tcW w:type="dxa" w:w="24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R1 ExternalViewerToken; client account R2.</w:t>
            </w:r>
          </w:p>
        </w:tc>
      </w:tr>
      <w:tr>
        <w:trPr>
          <w:cantSplit/>
          <w:trHeight w:hRule="auto"/>
        </w:trPr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ConsentGrant as new aggregate</w:t>
            </w:r>
          </w:p>
        </w:tc>
        <w:tc>
          <w:tcPr>
            <w:tcW w:type="dxa" w:w="223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MPS §17 ↔ SOT §14.1 ClientConsent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Critical</w:t>
            </w:r>
          </w:p>
        </w:tc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Data Architect + DPO</w:t>
            </w:r>
          </w:p>
        </w:tc>
        <w:tc>
          <w:tcPr>
            <w:tcW w:type="dxa" w:w="24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ConsentRevision/RecipientGrant under ClientConsent.</w:t>
            </w:r>
          </w:p>
        </w:tc>
      </w:tr>
      <w:tr>
        <w:trPr>
          <w:cantSplit/>
          <w:trHeight w:hRule="auto"/>
        </w:trPr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PreScoreRun vs PreScoreResult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MPS §17 ↔ SOT §14.1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Critical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Solution Architect</w:t>
            </w:r>
          </w:p>
        </w:tc>
        <w:tc>
          <w:tcPr>
            <w:tcW w:type="dxa" w:w="24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PreScoreResult aggregate with immutable Run/Assessment children.</w:t>
            </w:r>
          </w:p>
        </w:tc>
      </w:tr>
      <w:tr>
        <w:trPr>
          <w:cantSplit/>
          <w:trHeight w:hRule="auto"/>
        </w:trPr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`unit.active` vs canonical statuses</w:t>
            </w:r>
          </w:p>
        </w:tc>
        <w:tc>
          <w:tcPr>
            <w:tcW w:type="dxa" w:w="223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MPS §12 ↔ SOT §6.3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Major</w:t>
            </w:r>
          </w:p>
        </w:tc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Product + Data</w:t>
            </w:r>
          </w:p>
        </w:tc>
        <w:tc>
          <w:tcPr>
            <w:tcW w:type="dxa" w:w="244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Use Unit.status/freshness revision; secondary property separate.</w:t>
            </w:r>
          </w:p>
        </w:tc>
      </w:tr>
      <w:tr>
        <w:trPr>
          <w:cantSplit/>
          <w:trHeight w:hRule="auto"/>
        </w:trPr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Mortgage API absent from handoff contracts</w:t>
            </w:r>
          </w:p>
        </w:tc>
        <w:tc>
          <w:tcPr>
            <w:tcW w:type="dxa" w:w="223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MPS §18 ↔ CASA_API/SCHEMA v2.1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Blocker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Tech Lead</w:t>
            </w:r>
          </w:p>
        </w:tc>
        <w:tc>
          <w:tcPr>
            <w:tcW w:type="dxa" w:w="244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Add mortgage contract set without changing secondary semantics.</w:t>
            </w:r>
          </w:p>
        </w:tc>
      </w:tr>
    </w:tbl>
    <w:p>
      <w:pPr>
        <w:spacing w:after="0"/>
      </w:pPr>
    </w:p>
    <w:p>
      <w:pPr>
        <w:pStyle w:val="Heading1"/>
      </w:pPr>
      <w:r>
        <w:t>8. Ошибки формул и бизнес-логики</w:t>
      </w:r>
    </w:p>
    <w:p>
      <w:r>
        <w:t>Исправленная спецификация вводит три независимые величины: regulatory metric, program affordability и CASA safety overlay. Только первая может называться КДН по нормативному акту; вторая зависит от подтверждённой карточки банка; третья является внутренним диагностическим буфером.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Исправленные финансовые правила"/>
        <w:tblDescription w:val="Формулы и обработка граничных условий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Расчёт</w:t>
            </w:r>
          </w:p>
        </w:tc>
        <w:tc>
          <w:tcPr>
            <w:tcW w:type="dxa" w:w="540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Исправленное правило</w:t>
            </w:r>
          </w:p>
        </w:tc>
        <w:tc>
          <w:tcPr>
            <w:tcW w:type="dxa" w:w="2088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Защита границ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Available payment</w:t>
            </w:r>
          </w:p>
        </w:tc>
        <w:tc>
          <w:tcPr>
            <w:tcW w:type="dxa" w:w="54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max(0, ratio × eligible_income − applicable_monthly_load)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income≤0: не делить; status INSUFFICIENT_DATA/FAIL по контексту.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КДН после</w:t>
            </w:r>
          </w:p>
        </w:tc>
        <w:tc>
          <w:tcPr>
            <w:tcW w:type="dxa" w:w="54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(applicable_load + proposed_payment) / eligible_income</w:t>
            </w:r>
          </w:p>
        </w:tc>
        <w:tc>
          <w:tcPr>
            <w:tcW w:type="dxa" w:w="208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income≤0: undefined + reason INVALID_INCOME.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Аннуитет</w:t>
            </w:r>
          </w:p>
        </w:tc>
        <w:tc>
          <w:tcPr>
            <w:tcW w:type="dxa" w:w="54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M=P·i·(1+i)^n/((1+i)^n−1); i=0 → M=P/n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n&gt;0; Decimal; rate convention из program rule.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Max loan</w:t>
            </w:r>
          </w:p>
        </w:tc>
        <w:tc>
          <w:tcPr>
            <w:tcW w:type="dxa" w:w="54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P=M·((1+i)^n−1)/(i·(1+i)^n); i=0 → P=M·n</w:t>
            </w:r>
          </w:p>
        </w:tc>
        <w:tc>
          <w:tcPr>
            <w:tcW w:type="dxa" w:w="208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M≥0; contractual rounding only after full precision.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Eligible collateral</w:t>
            </w:r>
          </w:p>
        </w:tc>
        <w:tc>
          <w:tcPr>
            <w:tcW w:type="dxa" w:w="54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V=min(purchase_price, appraisal_value) если rule не задаёт иначе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missing appraisal → CONDITIONAL/UNKNOWN, не optimistic value.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Required down</w:t>
            </w:r>
          </w:p>
        </w:tc>
        <w:tc>
          <w:tcPr>
            <w:tcW w:type="dxa" w:w="54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max(d·price, price−L·V, price−max_loan, 0)</w:t>
            </w:r>
          </w:p>
        </w:tc>
        <w:tc>
          <w:tcPr>
            <w:tcW w:type="dxa" w:w="208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d∈[0,1], L∈(0,1]; currency one only.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Abstract max price</w:t>
            </w:r>
          </w:p>
        </w:tc>
        <w:tc>
          <w:tcPr>
            <w:tcW w:type="dxa" w:w="54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min(price_cap, D+Lmax, D/d, D/(1−L)) при допустимых d,L и без appraisal gap</w:t>
            </w:r>
          </w:p>
        </w:tc>
        <w:tc>
          <w:tcPr>
            <w:tcW w:type="dxa" w:w="2088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Итоговая eligibility — только на конкретном объекте.</w:t>
            </w:r>
          </w:p>
        </w:tc>
      </w:tr>
      <w:tr>
        <w:trPr>
          <w:cantSplit/>
          <w:trHeight w:hRule="auto"/>
        </w:trPr>
        <w:tc>
          <w:tcPr>
            <w:tcW w:type="dxa" w:w="187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Co-borrowers</w:t>
            </w:r>
          </w:p>
        </w:tc>
        <w:tc>
          <w:tcPr>
            <w:tcW w:type="dxa" w:w="54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Σ eligible income; unique facility load counted once; party eligibility/consent separately</w:t>
            </w:r>
          </w:p>
        </w:tc>
        <w:tc>
          <w:tcPr>
            <w:tcW w:type="dxa" w:w="2088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Unknown party rule keeps program UNKNOWN.</w:t>
            </w:r>
          </w:p>
        </w:tc>
      </w:tr>
    </w:tbl>
    <w:p>
      <w:pPr>
        <w:spacing w:after="0"/>
      </w:pPr>
    </w:p>
    <w:p>
      <w:pPr>
        <w:pStyle w:val="Heading2"/>
      </w:pPr>
      <w:r>
        <w:t>Независимые контрольные примеры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Golden calculations"/>
        <w:tblDescription w:val="Независимые контрольные расчёты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96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3311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GC-01</w:t>
            </w:r>
          </w:p>
        </w:tc>
        <w:tc>
          <w:tcPr>
            <w:tcW w:type="dxa" w:w="48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Income 800 000; load 180 000; ratio .5; new payment 200 000</w:t>
            </w:r>
          </w:p>
        </w:tc>
        <w:tc>
          <w:tcPr>
            <w:tcW w:type="dxa" w:w="331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Available 220 000; KDN before 0.225; after 0.475; buffer 0.025.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GC-02</w:t>
            </w:r>
          </w:p>
        </w:tc>
        <w:tc>
          <w:tcPr>
            <w:tcW w:type="dxa" w:w="48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Payment 200 000; nominal 18%; monthly i=.015; 180 months</w:t>
            </w:r>
          </w:p>
        </w:tc>
        <w:tc>
          <w:tcPr>
            <w:tcW w:type="dxa" w:w="331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Max loan 12 419 112.462224… KZT before product rounding.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GC-03</w:t>
            </w:r>
          </w:p>
        </w:tc>
        <w:tc>
          <w:tcPr>
            <w:tcW w:type="dxa" w:w="48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Payment 100 000; rate 0; 120 months</w:t>
            </w:r>
          </w:p>
        </w:tc>
        <w:tc>
          <w:tcPr>
            <w:tcW w:type="dxa" w:w="331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Max loan 12 000 000 KZT.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GC-04</w:t>
            </w:r>
          </w:p>
        </w:tc>
        <w:tc>
          <w:tcPr>
            <w:tcW w:type="dxa" w:w="48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Income 400 000; load 220 000; ratio .5</w:t>
            </w:r>
          </w:p>
        </w:tc>
        <w:tc>
          <w:tcPr>
            <w:tcW w:type="dxa" w:w="331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Available payment 0, not −20 000.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GC-05</w:t>
            </w:r>
          </w:p>
        </w:tc>
        <w:tc>
          <w:tcPr>
            <w:tcW w:type="dxa" w:w="489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Price 40m; appraisal 36m; LTV .8; cash 8m</w:t>
            </w:r>
          </w:p>
        </w:tc>
        <w:tc>
          <w:tcPr>
            <w:tcW w:type="dxa" w:w="331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Max loan 28.8m; required down 11.2m; shortfall 3.2m.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GC-06</w:t>
            </w:r>
          </w:p>
        </w:tc>
        <w:tc>
          <w:tcPr>
            <w:tcW w:type="dxa" w:w="489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Parties 600k+400k; own loads 120k+80k; joint 50k</w:t>
            </w:r>
          </w:p>
        </w:tc>
        <w:tc>
          <w:tcPr>
            <w:tcW w:type="dxa" w:w="331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Unique load 250k; available at .5 = 250k.</w:t>
            </w:r>
          </w:p>
        </w:tc>
      </w:tr>
    </w:tbl>
    <w:p>
      <w:pPr>
        <w:spacing w:after="0"/>
      </w:pPr>
    </w:p>
    <w:p>
      <w:pPr>
        <w:pStyle w:val="Heading1"/>
      </w:pPr>
      <w:r>
        <w:t>9. Ошибки архитектуры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Архитектурные границы"/>
        <w:tblDescription w:val="Ответственность модулей после исправления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5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338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Ошибка v1.0</w:t>
            </w:r>
          </w:p>
        </w:tc>
        <w:tc>
          <w:tcPr>
            <w:tcW w:type="dxa" w:w="432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Исправленная граница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AI/LLM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Нет runtime enforcement внешней передачи.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Extraction/classification/explanation only; external raw-PII route disabled until DPO/Security approval.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Document Intelligence</w:t>
            </w:r>
          </w:p>
        </w:tc>
        <w:tc>
          <w:tcPr>
            <w:tcW w:type="dxa" w:w="338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Нет точной provenance schema.</w:t>
            </w:r>
          </w:p>
        </w:tc>
        <w:tc>
          <w:tcPr>
            <w:tcW w:type="dxa" w:w="432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Immutable raw + normalized field, document/page/bbox coordinate unit, confidence, model/version/hash.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Human review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Нет deterministic gate.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CriticalFieldPolicy and conflict queue; only authorized reviewer may verify.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Rules</w:t>
            </w:r>
          </w:p>
        </w:tc>
        <w:tc>
          <w:tcPr>
            <w:tcW w:type="dxa" w:w="338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отделены public/partner/regulatory rules.</w:t>
            </w:r>
          </w:p>
        </w:tc>
        <w:tc>
          <w:tcPr>
            <w:tcW w:type="dxa" w:w="432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Distinct registries, sources, effective intervals and UNKNOWN behavior.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Financial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Смешаны метрики и constraints.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Pure Decimal functions; no LLM; complete trace.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Risk</w:t>
            </w:r>
          </w:p>
        </w:tc>
        <w:tc>
          <w:tcPr>
            <w:tcW w:type="dxa" w:w="338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Нет exact axis semantics.</w:t>
            </w:r>
          </w:p>
        </w:tc>
        <w:tc>
          <w:tcPr>
            <w:tcW w:type="dxa" w:w="432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Signals only; hard filter only with approved source.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Matching</w:t>
            </w:r>
          </w:p>
        </w:tc>
        <w:tc>
          <w:tcPr>
            <w:tcW w:type="dxa" w:w="338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Freshness/ranking incomplete.</w:t>
            </w:r>
          </w:p>
        </w:tc>
        <w:tc>
          <w:tcPr>
            <w:tcW w:type="dxa" w:w="432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Snapshot + current recheck; commission excluded.</w:t>
            </w:r>
          </w:p>
        </w:tc>
      </w:tr>
      <w:tr>
        <w:trPr>
          <w:cantSplit/>
          <w:trHeight w:hRule="auto"/>
        </w:trPr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Audit</w:t>
            </w:r>
          </w:p>
        </w:tc>
        <w:tc>
          <w:tcPr>
            <w:tcW w:type="dxa" w:w="338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Нет append-only event schema.</w:t>
            </w:r>
          </w:p>
        </w:tc>
        <w:tc>
          <w:tcPr>
            <w:tcW w:type="dxa" w:w="432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Input/rule/formula/model versions + hashes; no raw PII in event payload.</w:t>
            </w:r>
          </w:p>
        </w:tc>
      </w:tr>
    </w:tbl>
    <w:p>
      <w:pPr>
        <w:spacing w:after="0"/>
      </w:pPr>
    </w:p>
    <w:p>
      <w:pPr>
        <w:pStyle w:val="Heading1"/>
      </w:pPr>
      <w:r>
        <w:t>10. Ошибки API и модели данных</w:t>
      </w:r>
    </w:p>
    <w:p>
      <w:pPr>
        <w:pStyle w:val="ListBullet"/>
      </w:pPr>
      <w:r>
        <w:t>Mortgage API v1.0 не имеет OpenAPI/YAML; prose недостаточно для contract tests и code generation.</w:t>
      </w:r>
    </w:p>
    <w:p>
      <w:pPr>
        <w:pStyle w:val="ListBullet"/>
      </w:pPr>
      <w:r>
        <w:t>Параллельные сущности ConsentGrant/PreScoreRun нарушают canonical model; исправление — revisions/children существующих aggregates.</w:t>
      </w:r>
    </w:p>
    <w:p>
      <w:pPr>
        <w:pStyle w:val="ListBullet"/>
      </w:pPr>
      <w:r>
        <w:t>Нет exact enum/state machine, nullability, data classes, constraints, immutable snapshots и deletion markers.</w:t>
      </w:r>
    </w:p>
    <w:p>
      <w:pPr>
        <w:pStyle w:val="ListBullet"/>
      </w:pPr>
      <w:r>
        <w:t>Неполны idempotency, optimistic locking, request correlation, upload lifecycle, pagination и stable error codes.</w:t>
      </w:r>
    </w:p>
    <w:p>
      <w:pPr>
        <w:pStyle w:val="ListBullet"/>
      </w:pPr>
      <w:r>
        <w:t>Исправленная v1.1 делает machine-readable contract обязательным release gate; конкретные endpoint schemas помещены в раздел 18 исправленной спецификации.</w:t>
      </w:r>
    </w:p>
    <w:p>
      <w:pPr>
        <w:pStyle w:val="Heading1"/>
      </w:pPr>
      <w:r>
        <w:t>11. Риски безопасности и персональных данных</w:t>
      </w:r>
    </w:p>
    <w:p>
      <w:pPr>
        <w:pStyle w:val="ListBullet"/>
      </w:pPr>
      <w:r>
        <w:t>Хранилище и резервные копии персональных данных должны быть в РК; архитектура deployment до аудита это не фиксировала.</w:t>
      </w:r>
    </w:p>
    <w:p>
      <w:pPr>
        <w:pStyle w:val="ListBullet"/>
      </w:pPr>
      <w:r>
        <w:t>Каждому получателю данных нужен отдельный grant; общая формулировка recipients недостаточна.</w:t>
      </w:r>
    </w:p>
    <w:p>
      <w:pPr>
        <w:pStyle w:val="ListBullet"/>
      </w:pPr>
      <w:r>
        <w:t>Отзыв должен немедленно остановить будущую обработку/передачу и отозвать доступ, после чего выполняется законная retention decision.</w:t>
      </w:r>
    </w:p>
    <w:p>
      <w:pPr>
        <w:pStyle w:val="ListBullet"/>
      </w:pPr>
      <w:r>
        <w:t>Direct credit-bureau access не включается до доказанного статуса получателя, договора и применимого согласия; R1 принимает report, полученный субъектом.</w:t>
      </w:r>
    </w:p>
    <w:p>
      <w:pPr>
        <w:pStyle w:val="ListBullet"/>
      </w:pPr>
      <w:r>
        <w:t>Raw financial documents не отправляются внешнему LLM по умолчанию; no-training/no-retention, processor contract и трансграничность требуют DPO/Security approval.</w:t>
      </w:r>
    </w:p>
    <w:p>
      <w:pPr>
        <w:pStyle w:val="ListBullet"/>
      </w:pPr>
      <w:r>
        <w:t>Audit logs не содержат ИИН, ФИО, document text или token; хранят masked references/hashes/reason codes.</w:t>
      </w:r>
    </w:p>
    <w:p>
      <w:pPr>
        <w:pStyle w:val="Heading1"/>
      </w:pPr>
      <w:r>
        <w:t>12. Недостающие тесты</w:t>
      </w:r>
    </w:p>
    <w:p>
      <w:r>
        <w:t>Ниже — минимальный обязательный каталог. Все суммы — KZT Decimal; даты — ISO 8601; каждый test fixture фиксирует rule/formula/schema versions.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Обязательные тесты"/>
        <w:tblDescription w:val="Тестовые предусловия, входы, шаги, результаты и события аудита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15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80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Предусловия</w:t>
            </w:r>
          </w:p>
        </w:tc>
        <w:tc>
          <w:tcPr>
            <w:tcW w:type="dxa" w:w="180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Вход</w:t>
            </w:r>
          </w:p>
        </w:tc>
        <w:tc>
          <w:tcPr>
            <w:tcW w:type="dxa" w:w="144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Шаги</w:t>
            </w:r>
          </w:p>
        </w:tc>
        <w:tc>
          <w:tcPr>
            <w:tcW w:type="dxa" w:w="2376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Ожидаемый результат</w:t>
            </w:r>
          </w:p>
        </w:tc>
        <w:tc>
          <w:tcPr>
            <w:tcW w:type="dxa" w:w="151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Audit events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T-CNS-001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Case DRAFT; consent absent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Upload init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POST upload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422 CONSENT_MISSING; object not issued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CONSENT_CHECK_FAILED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T-CNS-002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Valid processing consent; no bank grant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Share to Bank A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POST share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422 RECIPIENT_CONSENT_MISSING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DATA_SHARE_BLOCKED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T-CNS-003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Queued OCR; consent revoked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Revoke consent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POST revoke; run worker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Job cancelled; links revoked; retention decision queued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CONSENT_REVOKED, JOB_CANCELLED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T-ID-001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IIN differs between identity and report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Two documents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Extract→review→calculate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REVIEW_REQUIRED; calculate blocked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IDENTITY_MISMATCH_DETECTED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T-OCR-001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Critical income confidence 0.69; threshold 0.90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OCR field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Complete extraction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Human review task; not verified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FIELD_REVIEW_REQUIRED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T-OCR-002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bbox outside page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Invalid provenance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Finalize extraction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422 INVALID_FIELD_PROVENANCE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EXTRACTION_REJECTED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T-INC-001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Same salary in statement and pension evidence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Matching payer/period/amount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Build snapshot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Count once; evidence links retained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DUPLICATE_INCOME_SUPPRESSED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T-INC-002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6 months incl 1 missing and 1 spike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Monthly series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Compute metrics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Median/mean/completeness/spike per policy; conditional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INCOME_PROFILE_COMPUTED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T-INC-003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OPV and OPVR present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Two contribution types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Estimate income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OPV uses applicable rate; OPVR not divided as employee income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INCOME_ESTIMATE_COMPUTED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T-CRD-001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Card balance/limit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KDN rule v2026.03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Calculate metric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Exact card formula from activated rule; trace contains rule id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REGULATORY_METRIC_CALCULATED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T-CRD-002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Disputed 90+ DPD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Report + dispute flag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Risk assessment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Dispute shown; policy-specific status; never silently PASS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DISPUTED_CREDIT_DATA_USED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T-FIN-001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Income 800k; load 180k; ratio .5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M=200k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available=220k; KDN after=.475; buffer=.025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CALCULATION_COMPLETED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T-FIN-002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Income 400k; load 220k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ratio .5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Calculate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available=0; no negative payment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CALCULATION_COMPLETED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T-FIN-003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Income=0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Any obligations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No division; INSUFFICIENT_DATA/INVALID_INCOME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CALCULATION_BLOCKED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T-FIN-004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M=200k; nominal 18%; n=180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Monthly i=.015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Reverse annuity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P=12,419,112.46 before contractual rounding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CALCULATION_COMPLETED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T-FIN-005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M=100k; rate=0; n=120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Zero-rate product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Reverse payment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P=12,000,000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CALCULATION_COMPLETED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T-FIN-006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Purchase 40m; appraisal 36m; LTV .8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Cash 8m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Candidate feasibility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Max loan 28.8m; required down 11.2m; shortfall 3.2m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PROPERTY_ASSESSED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T-FIN-007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Two parties; joint facility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600k+400k; 120k+80k; joint 50k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Aggregate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Load=250k, not 300k; available=.25m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HOUSEHOLD_SNAPSHOT_BUILT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T-RUL-001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Rule expired yesterday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 request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Run assessment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UNKNOWN STALE_RULE; no PASS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STALE_RULE_BLOCKED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T-RUL-002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Two active overlapping versions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Same program/effective_at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Activate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409 RULE_INTERVAL_OVERLAP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RULE_ACTIVATION_REJECTED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T-RUL-003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Unapproved partner field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status draft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Assess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UNKNOWN PARTNER_CONFIRMATION_REQUIRED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PROGRAM_ASSESSED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T-RES-001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Hard fail on citizenship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Match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Excluded from matched list; reason visible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PROGRAM_ASSESSED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T-RES-002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Missing mandatory object rule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Program/property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Match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UNKNOWN; shown unresolved only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PROGRAM_ASSESSED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T-RES-003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Conditional shortfall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Need +1.2m down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Match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CONDITIONAL with exact action/delta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PROGRAM_ASSESSED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T-PRP-001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Unit sold after snapshot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Old match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Publish shortlist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Recheck fails; unit removed; user sees freshness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PROPERTY_MATCH_INVALIDATED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T-PRP-002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Inventory TTL exceeded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status available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Match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Excluded as stale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STALE_PROPERTY_BLOCKED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T-SCN-001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Base snapshot immutable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Close obligation override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Run scenario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Base unchanged; exact delta and no approval promise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SCENARIO_COMPLETED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T-SCN-002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Reduce card limit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New limit below used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Run scenario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422 INVALID_SCENARIO_OVERRIDE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SCENARIO_REJECTED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T-API-001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Idempotency key K/body A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Repeat same request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POST twice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Same response/resource; replay flagged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IDEMPOTENT_REPLAY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T-API-002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Idempotency key K/body B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Prior body A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POST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409 IDEMPOTENCY_KEY_REUSED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REQUEST_REJECTED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T-API-003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Case version 7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expected_version=6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PATCH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409 VERSION_CONFLICT; no write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VERSION_CONFLICT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T-SEC-001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Broker B requests Broker A case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Valid token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GET case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404/403 per anti-enumeration policy; no payload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ACCESS_DENIED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T-SEC-002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PDF contains malware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Upload complete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Scan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REJECTED; extraction not queued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MALWARE_DETECTED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T-SEC-003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Logger receives IIN/doc text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Structured event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Emit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Redacted/rejected; alert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PII_LOG_BLOCKED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T-SEC-004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External LLM flag off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Raw financial PDF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Submit extraction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No external transfer; approved local path only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MODEL_ROUTE_SELECTED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T-OPS-001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Restore point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Encrypted backup</w:t>
            </w:r>
          </w:p>
        </w:tc>
        <w:tc>
          <w:tcPr>
            <w:tcW w:type="dxa" w:w="144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Disaster drill</w:t>
            </w:r>
          </w:p>
        </w:tc>
        <w:tc>
          <w:tcPr>
            <w:tcW w:type="dxa" w:w="2376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RPO/RTO met; ACL/audit intact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RESTORE_DRILL_COMPLETED</w:t>
            </w:r>
          </w:p>
        </w:tc>
      </w:tr>
      <w:tr>
        <w:trPr>
          <w:cantSplit/>
          <w:trHeight w:hRule="auto"/>
        </w:trPr>
        <w:tc>
          <w:tcPr>
            <w:tcW w:type="dxa" w:w="115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T-REG-001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Golden fixtures from active rules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New rule candidate</w:t>
            </w:r>
          </w:p>
        </w:tc>
        <w:tc>
          <w:tcPr>
            <w:tcW w:type="dxa" w:w="144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Regression suite</w:t>
            </w:r>
          </w:p>
        </w:tc>
        <w:tc>
          <w:tcPr>
            <w:tcW w:type="dxa" w:w="2376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No unexplained delta; approval blocked on failure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3"/>
              </w:rPr>
              <w:t>RULE_TEST_GATE_COMPLETED</w:t>
            </w:r>
          </w:p>
        </w:tc>
      </w:tr>
    </w:tbl>
    <w:p>
      <w:pPr>
        <w:spacing w:after="0"/>
      </w:pPr>
    </w:p>
    <w:p>
      <w:pPr>
        <w:pStyle w:val="Heading1"/>
      </w:pPr>
      <w:r>
        <w:t>13. Blocking decisions с владельцами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Blocking decisions до пилота"/>
        <w:tblDescription w:val="Решения, владельцы, сроки и безопасное поведение по умолчанию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07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1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180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1655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194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Default-safe поведение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BD-01</w:t>
            </w:r>
          </w:p>
        </w:tc>
        <w:tc>
          <w:tcPr>
            <w:tcW w:type="dxa" w:w="367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Утвердить applicability/formula карточных обязательств и исключений НБК №52/№18.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Legal + Head of Underwriting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До coding metric adapter; не позже T−20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Rule INACTIVE; affected metric UNKNOWN.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BD-02</w:t>
            </w:r>
          </w:p>
        </w:tc>
        <w:tc>
          <w:tcPr>
            <w:tcW w:type="dxa" w:w="367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Получить partner-approved rule cards по каждой пилотной программе.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Mortgage Policy Lead + Bank Partner</w:t>
            </w:r>
          </w:p>
        </w:tc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T−10</w:t>
            </w:r>
          </w:p>
        </w:tc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Program UNKNOWN; не показывать как подходящую.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BD-03</w:t>
            </w:r>
          </w:p>
        </w:tc>
        <w:tc>
          <w:tcPr>
            <w:tcW w:type="dxa" w:w="367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Утвердить consent text, recipient grants, retention/legal-hold/deletion matrix.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DPO/Legal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T−20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Upload/share disabled for unresolved purpose.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BD-04</w:t>
            </w:r>
          </w:p>
        </w:tc>
        <w:tc>
          <w:tcPr>
            <w:tcW w:type="dxa" w:w="367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Подтвердить RK data residency, KMS, backups и external model route.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CISO + CTO</w:t>
            </w:r>
          </w:p>
        </w:tc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До загрузки production-like PII; T−15</w:t>
            </w:r>
          </w:p>
        </w:tc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External model off; production PII blocked.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BD-05</w:t>
            </w:r>
          </w:p>
        </w:tc>
        <w:tc>
          <w:tcPr>
            <w:tcW w:type="dxa" w:w="367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Выполнить repository gap audit и согласовать canonical mappings/migrations.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Solution Architect + Tech Lead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До first migration; T−20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No schema merge/deploy.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BD-06</w:t>
            </w:r>
          </w:p>
        </w:tc>
        <w:tc>
          <w:tcPr>
            <w:tcW w:type="dxa" w:w="3671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Определить freshness SLA для bank rules и inventory per source.</w:t>
            </w:r>
          </w:p>
        </w:tc>
        <w:tc>
          <w:tcPr>
            <w:tcW w:type="dxa" w:w="180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Product Ops + Partner Ops</w:t>
            </w:r>
          </w:p>
        </w:tc>
        <w:tc>
          <w:tcPr>
            <w:tcW w:type="dxa" w:w="1655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T−10</w:t>
            </w:r>
          </w:p>
        </w:tc>
        <w:tc>
          <w:tcPr>
            <w:tcW w:type="dxa" w:w="19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Expired rule/property excluded or UNKNOWN.</w:t>
            </w:r>
          </w:p>
        </w:tc>
      </w:tr>
      <w:tr>
        <w:trPr>
          <w:cantSplit/>
          <w:trHeight w:hRule="auto"/>
        </w:trPr>
        <w:tc>
          <w:tcPr>
            <w:tcW w:type="dxa" w:w="1007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BD-07</w:t>
            </w:r>
          </w:p>
        </w:tc>
        <w:tc>
          <w:tcPr>
            <w:tcW w:type="dxa" w:w="3671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Утвердить pilot bank/program/property scope и owners.</w:t>
            </w:r>
          </w:p>
        </w:tc>
        <w:tc>
          <w:tcPr>
            <w:tcW w:type="dxa" w:w="180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CPO</w:t>
            </w:r>
          </w:p>
        </w:tc>
        <w:tc>
          <w:tcPr>
            <w:tcW w:type="dxa" w:w="1655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T−20</w:t>
            </w:r>
          </w:p>
        </w:tc>
        <w:tc>
          <w:tcPr>
            <w:tcW w:type="dxa" w:w="19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Feature flags remain off.</w:t>
            </w:r>
          </w:p>
        </w:tc>
      </w:tr>
    </w:tbl>
    <w:p>
      <w:pPr>
        <w:spacing w:after="0"/>
      </w:pPr>
    </w:p>
    <w:p>
      <w:pPr>
        <w:pStyle w:val="Heading1"/>
      </w:pPr>
      <w:r>
        <w:t>14. Приоритетный план исправления</w:t>
      </w:r>
    </w:p>
    <w:p>
      <w:pPr>
        <w:ind w:left="461" w:hanging="346"/>
      </w:pPr>
      <w:r>
        <w:rPr>
          <w:b/>
        </w:rPr>
        <w:t xml:space="preserve">1. </w:t>
      </w:r>
      <w:r>
        <w:t>P0 — зафиксировать canonical entity mapping, mortgage OpenAPI/schema/status/reason-code contracts и data residency. Никакой бизнес-логики до прохождения contract lint.</w:t>
      </w:r>
    </w:p>
    <w:p>
      <w:pPr>
        <w:ind w:left="461" w:hanging="346"/>
      </w:pPr>
      <w:r>
        <w:rPr>
          <w:b/>
        </w:rPr>
        <w:t xml:space="preserve">2. </w:t>
      </w:r>
      <w:r>
        <w:t>P0 — внедрить consent/recipient grants, secure upload/finalize/malware scan, object-level authorization, revocation orchestration и PII-safe audit.</w:t>
      </w:r>
    </w:p>
    <w:p>
      <w:pPr>
        <w:ind w:left="461" w:hanging="346"/>
      </w:pPr>
      <w:r>
        <w:rPr>
          <w:b/>
        </w:rPr>
        <w:t xml:space="preserve">3. </w:t>
      </w:r>
      <w:r>
        <w:t>P0 — реализовать verified snapshot, evidence provenance, human review gates, income/facility dedup и regulatory metric registry.</w:t>
      </w:r>
    </w:p>
    <w:p>
      <w:pPr>
        <w:ind w:left="461" w:hanging="346"/>
      </w:pPr>
      <w:r>
        <w:rPr>
          <w:b/>
        </w:rPr>
        <w:t xml:space="preserve">4. </w:t>
      </w:r>
      <w:r>
        <w:t>P1 — реализовать Decimal financial engine с golden/boundary tests и candidate-specific property feasibility.</w:t>
      </w:r>
    </w:p>
    <w:p>
      <w:pPr>
        <w:ind w:left="461" w:hanging="346"/>
      </w:pPr>
      <w:r>
        <w:rPr>
          <w:b/>
        </w:rPr>
        <w:t xml:space="preserve">5. </w:t>
      </w:r>
      <w:r>
        <w:t>P1 — реализовать rule lifecycle, four-eyes activation, UNKNOWN behavior, program/property matching and freshness recheck.</w:t>
      </w:r>
    </w:p>
    <w:p>
      <w:pPr>
        <w:ind w:left="461" w:hanging="346"/>
      </w:pPr>
      <w:r>
        <w:rPr>
          <w:b/>
        </w:rPr>
        <w:t xml:space="preserve">6. </w:t>
      </w:r>
      <w:r>
        <w:t>P1 — реализовать result axes/reason codes, scenarios on immutable snapshot and explainable UI/API.</w:t>
      </w:r>
    </w:p>
    <w:p>
      <w:pPr>
        <w:ind w:left="461" w:hanging="346"/>
      </w:pPr>
      <w:r>
        <w:rPr>
          <w:b/>
        </w:rPr>
        <w:t xml:space="preserve">7. </w:t>
      </w:r>
      <w:r>
        <w:t>P2 — закрыть partner rule cards, DPO/CISO decisions, resilience drills, end-to-end pilot and rollback rehearsal.</w:t>
      </w:r>
    </w:p>
    <w:p>
      <w:pPr>
        <w:ind w:left="461" w:hanging="346"/>
      </w:pPr>
      <w:r>
        <w:rPr>
          <w:b/>
        </w:rPr>
        <w:t xml:space="preserve">8. </w:t>
      </w:r>
      <w:r>
        <w:t>R2 — direct bureau/bank integrations, client account and any predictive model only through separate governance gates.</w:t>
      </w:r>
    </w:p>
    <w:p>
      <w:pPr>
        <w:pStyle w:val="Heading1"/>
      </w:pPr>
      <w:r>
        <w:t>15. Финальная матрица готовности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Оценка готовности"/>
        <w:tblDescription w:val="Оценки исходной и исправленной версии от 0 до 10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74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1080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v1.0</w:t>
            </w:r>
          </w:p>
        </w:tc>
        <w:tc>
          <w:tcPr>
            <w:tcW w:type="dxa" w:w="1512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v1.1 audited</w:t>
            </w:r>
          </w:p>
        </w:tc>
        <w:tc>
          <w:tcPr>
            <w:tcW w:type="dxa" w:w="3024"/>
            <w:shd w:fill="102A43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Соответствие Source of Truth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86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98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Полнота бизнес-требований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70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96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Корректность ипотечной логики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61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95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Нормативная корректность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49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93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Полнота входных параметров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78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97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Корректность формул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54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98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Архитектура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82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97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Модель данных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57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95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API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43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94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Безопасность и согласия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55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95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Объяснимость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72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98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Program matching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75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97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Property matching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68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96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Тестируемость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51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96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Готовность к разработке</w:t>
            </w:r>
          </w:p>
        </w:tc>
        <w:tc>
          <w:tcPr>
            <w:tcW w:type="dxa" w:w="1080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46</w:t>
            </w:r>
          </w:p>
        </w:tc>
        <w:tc>
          <w:tcPr>
            <w:tcW w:type="dxa" w:w="1512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94</w:t>
            </w:r>
          </w:p>
        </w:tc>
        <w:tc>
          <w:tcPr>
            <w:tcW w:type="dxa" w:w="3024"/>
            <w:vAlign w:val="top"/>
            <w:shd w:fill="FFFFFF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  <w:tr>
        <w:trPr>
          <w:cantSplit/>
          <w:trHeight w:hRule="auto"/>
        </w:trPr>
        <w:tc>
          <w:tcPr>
            <w:tcW w:type="dxa" w:w="374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Качество документа</w:t>
            </w:r>
          </w:p>
        </w:tc>
        <w:tc>
          <w:tcPr>
            <w:tcW w:type="dxa" w:w="1080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74</w:t>
            </w:r>
          </w:p>
        </w:tc>
        <w:tc>
          <w:tcPr>
            <w:tcW w:type="dxa" w:w="1512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97</w:t>
            </w:r>
          </w:p>
        </w:tc>
        <w:tc>
          <w:tcPr>
            <w:tcW w:type="dxa" w:w="3024"/>
            <w:vAlign w:val="top"/>
            <w:shd w:fill="F5F8FA"/>
            <w:tcBorders>
              <w:top w:val="single" w:sz="4" w:color="B8C4CE"/>
              <w:start w:val="single" w:sz="4" w:color="B8C4CE"/>
              <w:bottom w:val="single" w:sz="4" w:color="B8C4CE"/>
              <w:end w:val="single" w:sz="4" w:color="B8C4CE"/>
              <w:insideH w:val="single" w:sz="4" w:color="B8C4CE"/>
              <w:insideV w:val="single" w:sz="4" w:color="B8C4CE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72B3A"/>
                <w:sz w:val="16"/>
              </w:rPr>
              <w:t>Не 100: pre-pilot decisions остаются внешними.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ФИНАЛЬНЫЙ ВЫВОД  </w:t>
            </w:r>
            <w:r>
              <w:t>READY WITH BLOCKING DECISIONS BEFORE PILOT — применительно к исправленной v1.1. Исходная v1.0: NOT READY. Начинать production/pilot без BD-01…BD-07 запрещено; неизвестные банковские поля обязаны давать UNKNOWN, а не PASS.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Официальные факты и источники</w:t>
      </w:r>
    </w:p>
    <w:p>
      <w:r>
        <w:t>Все ссылки проверены 02.08.2026. Публичные условия банка применимы только к названному продукту и версии страницы; отсутствие опубликованного поля не является разрешением его придумать.</w:t>
      </w:r>
    </w:p>
    <w:p>
      <w:pPr>
        <w:pStyle w:val="Heading2"/>
      </w:pPr>
      <w:r>
        <w:t>F-01 · КДН: база</w:t>
      </w:r>
    </w:p>
    <w:p>
      <w:r>
        <w:t>Утверждение: Сумма месячных платежей по обязательствам и новому займу / среднемесячный доход; период дохода — последние 6 месяцев по действующей норме.</w:t>
      </w:r>
    </w:p>
    <w:p>
      <w:r>
        <w:t>Официальный источник: НБК №52 от 25.08.2025, ред. №18 от 11.03.2026. Применимость: Все случаи в пределах применимости акта; исключения — по тексту нормы. Можно как правило системы: Да, только через versioned RegulatoryMetricRule. Хранение: Версионированный нормативный реестр.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15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F-02 · КДН: предел</w:t>
      </w:r>
    </w:p>
    <w:p>
      <w:r>
        <w:t>Утверждение: Максимальный уровень 0,5 в предусмотренных нормой случаях; банк вправе быть строже.</w:t>
      </w:r>
    </w:p>
    <w:p>
      <w:r>
        <w:t>Официальный источник: НБК/АРРФР. Применимость: Не универсальный продуктовый лимит для любого ипотечного продукта без проверки applicability. Можно как правило системы: Да, с applicability и effective dates. Хранение: Нормативный реестр + program override.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16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F-03 · Кредитные карты</w:t>
      </w:r>
    </w:p>
    <w:p>
      <w:r>
        <w:t>Утверждение: Расчёт карты зависит от точного вида регуляторной метрики; KDN и debt-to-income/KDD нельзя смешивать.</w:t>
      </w:r>
    </w:p>
    <w:p>
      <w:r>
        <w:t>Официальный источник: НБК №52, актуальная редакция. Применимость: Все банки только в пределах применимости конкретной формулы. Можно как правило системы: Да после Legal sign-off. Хранение: Нормативный реестр.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15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F-04 · Кредитный отчёт</w:t>
      </w:r>
    </w:p>
    <w:p>
      <w:r>
        <w:t>Утверждение: Финансовая организация получает кредитную историю с письменного согласия; субъект может получить персональный отчёт и загрузить его CASA.</w:t>
      </w:r>
    </w:p>
    <w:p>
      <w:r>
        <w:t>Официальный источник: АРРФР; eGov. Применимость: Direct bureau access требует отдельного права/договора. Можно как правило системы: R1 — upload subject-provided report; direct API off. Хранение: Consent + source/channel registry.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17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F-05 · Персональные данные</w:t>
      </w:r>
    </w:p>
    <w:p>
      <w:r>
        <w:t>Утверждение: Сбор/обработка — по цели и согласию либо иному законному основанию; срок хранения связан с достижением цели.</w:t>
      </w:r>
    </w:p>
    <w:p>
      <w:r>
        <w:t>Официальный источник: Закон №94-V. Применимость: Все операторы/третьи лица. Можно как правило системы: Да. Хранение: Policy/config + consent revisions.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18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F-06 · Локализация</w:t>
      </w:r>
    </w:p>
    <w:p>
      <w:r>
        <w:t>Утверждение: Хранение персональных данных осуществляется в базе, находящейся на территории РК.</w:t>
      </w:r>
    </w:p>
    <w:p>
      <w:r>
        <w:t>Официальный источник: Правила №21498. Применимость: Все собственники/операторы/третьи лица в пределах Правил. Можно как правило системы: Да. Хранение: Infrastructure policy + deployment guard.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19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F-07 · Банковская тайна</w:t>
      </w:r>
    </w:p>
    <w:p>
      <w:r>
        <w:t>Утверждение: Раскрытие третьему лицу возможно, в частности, на основании согласия владельца; CASA не должна считать любое банковское сведение свободно передаваемым.</w:t>
      </w:r>
    </w:p>
    <w:p>
      <w:r>
        <w:t>Официальный источник: Закон №258-VIII от 16.01.2026. Применимость: Банки и сведения, подпадающие под закон. Можно как правило системы: Да как sharing gate. Хранение: Legal-basis/recipient grant registry.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0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F-08 · Пенсионные взносы</w:t>
      </w:r>
    </w:p>
    <w:p>
      <w:r>
        <w:t>Утверждение: ОПВ работника обычно 10%; ОПВР работодателя в 2026 — 3,5%; категории/пределы различаются.</w:t>
      </w:r>
    </w:p>
    <w:p>
      <w:r>
        <w:t>Официальный источник: ЕНПФ; Правила №525. Применимость: Зависит от типа взноса и категории плательщика. Можно как правило системы: Только как category-aware estimate. Хранение: Versioned contribution rule registry.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1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F-09 · Halyk partner</w:t>
      </w:r>
    </w:p>
    <w:p>
      <w:r>
        <w:t>Утверждение: Публичные возраст, стаж, взнос, срок и ставки относятся к конкретному продукту.</w:t>
      </w:r>
    </w:p>
    <w:p>
      <w:r>
        <w:t>Официальный источник: Halyk. Применимость: Только «Строящееся жильё от партнёра». Можно как правило системы: Да, опубликованные поля; остальное UNKNOWN. Хранение: ProgramRuleVersion.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2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F-10 · BCC Jaña</w:t>
      </w:r>
    </w:p>
    <w:p>
      <w:r>
        <w:t>Утверждение: Публичные возраст/рынок/ставки относятся к Jaña Ипотека.</w:t>
      </w:r>
    </w:p>
    <w:p>
      <w:r>
        <w:t>Официальный источник: BCC. Применимость: Только Jaña. Можно как правило системы: Да, опубликованные поля. Хранение: ProgramRuleVersion.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3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F-11 · Forte ипотека</w:t>
      </w:r>
    </w:p>
    <w:p>
      <w:r>
        <w:t>Утверждение: Публичные сумма, срок, ставка/ГЭСВ, взнос и страхование относятся к текущей странице продукта.</w:t>
      </w:r>
    </w:p>
    <w:p>
      <w:r>
        <w:t>Официальный источник: Forte. Применимость: Только указанная программа. Можно как правило системы: Да, с freshness date. Хранение: ProgramRuleVersion.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4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F-12 · Altyn Digital</w:t>
      </w:r>
    </w:p>
    <w:p>
      <w:r>
        <w:t>Утверждение: Публичные взнос, сумма и срок не раскрывают закрытый scoring/credit-history policy.</w:t>
      </w:r>
    </w:p>
    <w:p>
      <w:r>
        <w:t>Официальный источник: Altyn Bank. Применимость: Только Digital Mortgage. Можно как правило системы: Частично; непубличное = UNKNOWN. Хранение: ProgramRuleVersion.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5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F-13 · Отбасы</w:t>
      </w:r>
    </w:p>
    <w:p>
      <w:r>
        <w:t>Утверждение: Жилищный и промежуточный займы имеют разные накопительные условия/ОП; их нельзя моделировать одной generic mortgage card.</w:t>
      </w:r>
    </w:p>
    <w:p>
      <w:r>
        <w:t>Официальный источник: Отбасы банк. Применимость: Только соответствующий продукт. Можно как правило системы: Да, product-specific calculator adapter. Хранение: ProgramRuleVersion + product formula plugin.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6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F-14 · Freedom</w:t>
      </w:r>
    </w:p>
    <w:p>
      <w:r>
        <w:t>Утверждение: Публичные срок, взнос, сумма и базовые требования относятся к конкретному digital mortgage продукту.</w:t>
      </w:r>
    </w:p>
    <w:p>
      <w:r>
        <w:t>Официальный источник: Freedom Bank. Применимость: Только соответствующая страница/рынок. Можно как правило системы: Да, опубликованные поля. Хранение: ProgramRuleVersion.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7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2"/>
      </w:pPr>
      <w:r>
        <w:t>F-15 · 7-20-25</w:t>
      </w:r>
    </w:p>
    <w:p>
      <w:r>
        <w:t>Утверждение: 7%, до 25 лет, взнос от 20%; стоимостные лимиты зависят от города и актуальной редакции.</w:t>
      </w:r>
    </w:p>
    <w:p>
      <w:r>
        <w:t>Официальный источник: НБК. Применимость: Только программа 7-20-25. Можно как правило системы: Да, dated program rule. Хранение: ProgramRuleVersion.</w:t>
      </w:r>
    </w:p>
    <w:p>
      <w:r>
        <w:rPr>
          <w:b/>
        </w:rPr>
        <w:t xml:space="preserve">Ссылка: </w:t>
      </w:r>
      <w:r>
        <w:t xml:space="preserve">Официальный источник </w:t>
      </w:r>
      <w:hyperlink r:id="rId28">
        <w:r>
          <w:rPr>
            <w:color w:val="2563EB"/>
            <w:u w:val="single"/>
          </w:rPr>
          <w:t>Открыть официальный источник</w:t>
        </w:r>
      </w:hyperlink>
    </w:p>
    <w:p>
      <w:pPr>
        <w:pStyle w:val="Heading1"/>
      </w:pPr>
      <w:r>
        <w:t>Методика и полнота чтения</w:t>
      </w:r>
    </w:p>
    <w:p>
      <w:r>
        <w:t>Комиссия полностью прочитала 11 DOCX, 4 YAML/JSON technical contracts и README в архиве, а также отдельную Mortgage Pre‑Score v1.0. Иерархия определялась по прямым declarations в README/Product Master/Addendum. При конфликте решение не принималось молча: каждый конфликт получил owner и remediation. Внешние обязательные факты подтверждались только официальными источниками Казахстана; public bank facts не экстраполировались на другие продукты.</w:t>
      </w:r>
    </w:p>
    <w:sectPr>
      <w:headerReference w:type="default" r:id="rId13"/>
      <w:footerReference w:type="default" r:id="rId14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424" w:val="right"/>
      </w:tabs>
      <w:jc w:val="left"/>
    </w:pPr>
    <w:r>
      <w:rPr>
        <w:rFonts w:ascii="Arial" w:hAnsi="Arial"/>
        <w:color w:val="52606D"/>
        <w:sz w:val="15"/>
      </w:rPr>
      <w:t>CASA Mortgage Pre‑Score • Audit</w:t>
    </w:r>
    <w:r>
      <w:tab/>
    </w:r>
    <w:r>
      <w:rPr>
        <w:rFonts w:ascii="Arial" w:hAnsi="Arial"/>
        <w:color w:val="52606D"/>
        <w:sz w:val="15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3752" w:val="right"/>
      </w:tabs>
      <w:jc w:val="left"/>
    </w:pPr>
    <w:r>
      <w:rPr>
        <w:rFonts w:ascii="Arial" w:hAnsi="Arial"/>
        <w:color w:val="52606D"/>
        <w:sz w:val="15"/>
      </w:rPr>
      <w:t>CASA Mortgage Pre‑Score • Audit</w:t>
    </w:r>
    <w:r>
      <w:tab/>
    </w:r>
    <w:r>
      <w:rPr>
        <w:rFonts w:ascii="Arial" w:hAnsi="Arial"/>
        <w:color w:val="52606D"/>
        <w:sz w:val="15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424" w:val="right"/>
      </w:tabs>
      <w:jc w:val="left"/>
    </w:pPr>
    <w:r>
      <w:rPr>
        <w:rFonts w:ascii="Arial" w:hAnsi="Arial"/>
        <w:color w:val="52606D"/>
        <w:sz w:val="15"/>
      </w:rPr>
      <w:t>CASA Mortgage Pre‑Score • Audit</w:t>
    </w:r>
    <w:r>
      <w:tab/>
    </w:r>
    <w:r>
      <w:rPr>
        <w:rFonts w:ascii="Arial" w:hAnsi="Arial"/>
        <w:color w:val="52606D"/>
        <w:sz w:val="15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424" w:val="left"/>
      </w:tabs>
      <w:jc w:val="left"/>
    </w:pPr>
    <w:r>
      <w:rPr>
        <w:rFonts w:ascii="Arial" w:hAnsi="Arial"/>
        <w:b/>
        <w:color w:val="102A43"/>
        <w:sz w:val="16"/>
      </w:rPr>
      <w:t>CASA Mortgage Pre‑Score • Audit</w:t>
    </w:r>
    <w:r>
      <w:rPr>
        <w:rFonts w:ascii="Arial" w:hAnsi="Arial"/>
        <w:color w:val="52606D"/>
        <w:sz w:val="15"/>
      </w:rPr>
      <w:tab/>
      <w:t>CASA • INTERNAL •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752" w:val="left"/>
      </w:tabs>
      <w:jc w:val="left"/>
    </w:pPr>
    <w:r>
      <w:rPr>
        <w:rFonts w:ascii="Arial" w:hAnsi="Arial"/>
        <w:b/>
        <w:color w:val="102A43"/>
        <w:sz w:val="16"/>
      </w:rPr>
      <w:t>CASA Mortgage Pre‑Score • Audit</w:t>
    </w:r>
    <w:r>
      <w:rPr>
        <w:rFonts w:ascii="Arial" w:hAnsi="Arial"/>
        <w:color w:val="52606D"/>
        <w:sz w:val="15"/>
      </w:rPr>
      <w:tab/>
      <w:t>CASA • INTERNAL • v1.0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424" w:val="left"/>
      </w:tabs>
      <w:jc w:val="left"/>
    </w:pPr>
    <w:r>
      <w:rPr>
        <w:rFonts w:ascii="Arial" w:hAnsi="Arial"/>
        <w:b/>
        <w:color w:val="102A43"/>
        <w:sz w:val="16"/>
      </w:rPr>
      <w:t>CASA Mortgage Pre‑Score • Audit</w:t>
    </w:r>
    <w:r>
      <w:rPr>
        <w:rFonts w:ascii="Arial" w:hAnsi="Arial"/>
        <w:color w:val="52606D"/>
        <w:sz w:val="15"/>
      </w:rPr>
      <w:tab/>
      <w:t>CASA • INTERNAL •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 w:eastAsia="Arial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aps w:val="0"/>
      <w:color w:val="102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ap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aps w:val="0"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aps w:val="0"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pPr>
      <w:spacing w:after="60"/>
    </w:pPr>
    <w:rPr>
      <w:rFonts w:ascii="Arial" w:hAnsi="Arial"/>
      <w:color w:val="52606D"/>
      <w:sz w:val="16"/>
    </w:rPr>
  </w:style>
  <w:style w:type="paragraph" w:customStyle="1" w:styleId="Code">
    <w:name w:val="Code"/>
    <w:pPr>
      <w:spacing w:before="40" w:after="100" w:line="240" w:lineRule="auto"/>
      <w:ind w:left="259" w:right="259"/>
    </w:pPr>
    <w:rPr>
      <w:rFonts w:ascii="Consolas" w:hAnsi="Consolas" w:eastAsia="Consolas"/>
      <w:color w:val="172B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adilet.zan.kz/rus/docs/V2500036722" TargetMode="External"/><Relationship Id="rId16" Type="http://schemas.openxmlformats.org/officeDocument/2006/relationships/hyperlink" Target="https://nationalbank.kz/ru/news/informacionnye-soobshcheniya/17870" TargetMode="External"/><Relationship Id="rId17" Type="http://schemas.openxmlformats.org/officeDocument/2006/relationships/hyperlink" Target="https://www.gov.kz/memleket/entities/ardfm/press/news/details/1090150?lang=ru" TargetMode="External"/><Relationship Id="rId18" Type="http://schemas.openxmlformats.org/officeDocument/2006/relationships/hyperlink" Target="https://adilet.zan.kz/rus/docs/Z1300000094" TargetMode="External"/><Relationship Id="rId19" Type="http://schemas.openxmlformats.org/officeDocument/2006/relationships/hyperlink" Target="https://adilet.zan.kz/rus/docs/V2000021498" TargetMode="External"/><Relationship Id="rId20" Type="http://schemas.openxmlformats.org/officeDocument/2006/relationships/hyperlink" Target="https://adilet.zan.kz/rus/docs/Z2600000258" TargetMode="External"/><Relationship Id="rId21" Type="http://schemas.openxmlformats.org/officeDocument/2006/relationships/hyperlink" Target="https://www.enpf.kz/ru/press-center/news/282190/" TargetMode="External"/><Relationship Id="rId22" Type="http://schemas.openxmlformats.org/officeDocument/2006/relationships/hyperlink" Target="https://halykbank.kz/credit/stroi-ot-partnera" TargetMode="External"/><Relationship Id="rId23" Type="http://schemas.openxmlformats.org/officeDocument/2006/relationships/hyperlink" Target="https://www.bcc.kz/personal/jana-ipoteka/" TargetMode="External"/><Relationship Id="rId24" Type="http://schemas.openxmlformats.org/officeDocument/2006/relationships/hyperlink" Target="https://bank.forte.kz/ru/ipoteka" TargetMode="External"/><Relationship Id="rId25" Type="http://schemas.openxmlformats.org/officeDocument/2006/relationships/hyperlink" Target="https://altynbank.kz/ru/personal/digital-mortgage-loan" TargetMode="External"/><Relationship Id="rId26" Type="http://schemas.openxmlformats.org/officeDocument/2006/relationships/hyperlink" Target="https://hcsbk.kz/ru/most-important/zhilzaim/" TargetMode="External"/><Relationship Id="rId27" Type="http://schemas.openxmlformats.org/officeDocument/2006/relationships/hyperlink" Target="https://support.bankffin.kz/cifrovaya-ipoteka-vtorichnoe-zhile-new/kakie-usloviya-u-ipoteki-na-vtorichnoe-zhile" TargetMode="External"/><Relationship Id="rId28" Type="http://schemas.openxmlformats.org/officeDocument/2006/relationships/hyperlink" Target="https://nationalbank.kz/ru/news/informacionnye-soobshcheniya/17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Независимый аудит CASA Mortgage Pre‑Score v1.0</dc:title>
  <dc:subject>Independent audit and developer-ready mortgage pre-score requirements</dc:subject>
  <dc:creator/>
  <cp:keywords>CASA, mortgage, pre-score, Kazakhstan, requirements</cp:keywords>
  <dc:description>Controlled deliverable; generated from reviewed project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