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"Lal v. Election Commission".</w:t>
        <w:br/>
        <w:t>Case Type: Constitutional - Free and Fair Elections, Art. 19(1)(a).</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