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"Sharif v. Regional Transport Office".</w:t>
        <w:br/>
        <w:t>Case Type: Constitutional - Article 14, 21, Arbitrary Suspension.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