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Neha v. Suresh (2023)</w:t>
      </w:r>
    </w:p>
    <w:p>
      <w:r>
        <w:t>Summary: Dowry harassment post marriage.</w:t>
      </w:r>
    </w:p>
    <w:p>
      <w:r>
        <w:t>Section(s): IPC §498A, §406</w:t>
      </w:r>
    </w:p>
    <w:p>
      <w:r>
        <w:t>Rahul v. State (2022)</w:t>
      </w:r>
    </w:p>
    <w:p>
      <w:r>
        <w:t>Summary: Rahul hacked into his university's portal and altered grades.</w:t>
      </w:r>
    </w:p>
    <w:p>
      <w:r>
        <w:t>Section(s): IT Act §66C, §66D; IPC §420</w:t>
      </w:r>
    </w:p>
    <w:p>
      <w:r>
        <w:t>Meena v. In-laws (2021)</w:t>
      </w:r>
    </w:p>
    <w:p>
      <w:r>
        <w:t>Summary: Meena allegedly set her in-laws’ house on fire during a domestic dispute.</w:t>
      </w:r>
    </w:p>
    <w:p>
      <w:r>
        <w:t>Section(s): IPC §436, §498A</w:t>
      </w:r>
    </w:p>
    <w:p>
      <w:r>
        <w:t>Rajiv v. Ramesh (2020)</w:t>
      </w:r>
    </w:p>
    <w:p>
      <w:r>
        <w:t>Summary: Land dispute led to alleged physical assault.</w:t>
      </w:r>
    </w:p>
    <w:p>
      <w:r>
        <w:t>Section(s): IPC §323, §506</w:t>
      </w:r>
    </w:p>
    <w:p>
      <w:r>
        <w:t>Arjun v. AutoCorp (2019)</w:t>
      </w:r>
    </w:p>
    <w:p>
      <w:r>
        <w:t>Summary: Faulty airbag deployment caused serious injury.</w:t>
      </w:r>
    </w:p>
    <w:p>
      <w:r>
        <w:t>Section(s): Consumer Protection Act §12, §21</w:t>
      </w:r>
    </w:p>
    <w:p>
      <w:r>
        <w:t>Priya v. SocialNet (2023)</w:t>
      </w:r>
    </w:p>
    <w:p>
      <w:r>
        <w:t>Summary: Priya’s deepfake images were circulated online.</w:t>
      </w:r>
    </w:p>
    <w:p>
      <w:r>
        <w:t>Section(s): IT Act §66E, IPC §500</w:t>
      </w:r>
    </w:p>
    <w:p>
      <w:r>
        <w:t>Vikas v. State Bank (2021)</w:t>
      </w:r>
    </w:p>
    <w:p>
      <w:r>
        <w:t>Summary: Unauthorized debit transactions reported in bank account.</w:t>
      </w:r>
    </w:p>
    <w:p>
      <w:r>
        <w:t>Section(s): Banking Regulation Act §46, IPC §420</w:t>
      </w:r>
    </w:p>
    <w:p>
      <w:r>
        <w:t>Simran v. DreamBuilders (2022)</w:t>
      </w:r>
    </w:p>
    <w:p>
      <w:r>
        <w:t>Summary: Builder failed to deliver flat after full payment.</w:t>
      </w:r>
    </w:p>
    <w:p>
      <w:r>
        <w:t>Section(s): RERA §18, Consumer Protection Act §12</w:t>
      </w:r>
    </w:p>
    <w:p>
      <w:r>
        <w:t>Pooja v. Airlines (2020)</w:t>
      </w:r>
    </w:p>
    <w:p>
      <w:r>
        <w:t>Summary: Denied boarding despite confirmed ticket.</w:t>
      </w:r>
    </w:p>
    <w:p>
      <w:r>
        <w:t>Section(s): Consumer Protection Act §17</w:t>
      </w:r>
    </w:p>
    <w:p>
      <w:r>
        <w:t>Amit v. HR Dept (2023)</w:t>
      </w:r>
    </w:p>
    <w:p>
      <w:r>
        <w:t>Summary: Wrongful termination after internal complaint.</w:t>
      </w:r>
    </w:p>
    <w:p>
      <w:r>
        <w:t>Section(s): Industrial Disputes Act §25F, §33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