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FA799" w14:textId="77777777" w:rsidR="00530F4F" w:rsidRPr="00530F4F" w:rsidRDefault="00530F4F">
      <w:pPr>
        <w:pStyle w:val="Ttulo"/>
        <w:rPr>
          <w:kern w:val="0"/>
          <w:lang w:val="en-US"/>
          <w14:ligatures w14:val="none"/>
        </w:rPr>
      </w:pPr>
      <w:r w:rsidRPr="00530F4F">
        <w:rPr>
          <w:lang w:val="en-US"/>
        </w:rPr>
        <w:t>FLOW MASTER SYSTEM (FMS)</w:t>
      </w:r>
    </w:p>
    <w:p w14:paraId="057D90B2" w14:textId="77777777" w:rsidR="00530F4F" w:rsidRPr="00530F4F" w:rsidRDefault="00530F4F">
      <w:pPr>
        <w:pStyle w:val="Ttulo1"/>
        <w:rPr>
          <w:rFonts w:eastAsia="Times New Roman"/>
          <w:lang w:val="en-US"/>
        </w:rPr>
      </w:pPr>
      <w:r w:rsidRPr="00530F4F">
        <w:rPr>
          <w:rFonts w:eastAsia="Times New Roman"/>
          <w:lang w:val="en-US"/>
        </w:rPr>
        <w:t>Datos Generales</w:t>
      </w:r>
    </w:p>
    <w:p w14:paraId="3D24B6BC" w14:textId="77777777" w:rsidR="00530F4F" w:rsidRPr="00530F4F" w:rsidRDefault="00530F4F">
      <w:pPr>
        <w:rPr>
          <w:rFonts w:eastAsiaTheme="minorEastAsia"/>
          <w:lang w:val="en-US"/>
        </w:rPr>
      </w:pPr>
      <w:r w:rsidRPr="00530F4F">
        <w:rPr>
          <w:b/>
          <w:bCs/>
          <w:lang w:val="en-US"/>
        </w:rPr>
        <w:t>Departamento:</w:t>
      </w:r>
      <w:r w:rsidRPr="00530F4F">
        <w:rPr>
          <w:lang w:val="en-US"/>
        </w:rPr>
        <w:t xml:space="preserve"> ICT-OPEX</w:t>
      </w:r>
    </w:p>
    <w:p w14:paraId="44831B5F" w14:textId="77777777" w:rsidR="00530F4F" w:rsidRPr="00530F4F" w:rsidRDefault="00530F4F">
      <w:pPr>
        <w:rPr>
          <w:lang w:val="en-US"/>
        </w:rPr>
      </w:pPr>
      <w:r w:rsidRPr="00530F4F">
        <w:rPr>
          <w:b/>
          <w:bCs/>
          <w:lang w:val="en-US"/>
        </w:rPr>
        <w:t>Autor:</w:t>
      </w:r>
      <w:r w:rsidRPr="00530F4F">
        <w:rPr>
          <w:lang w:val="en-US"/>
        </w:rPr>
        <w:t xml:space="preserve"> Xavier Pallarès, IT Support &amp; Multiplier Team Leader</w:t>
      </w:r>
    </w:p>
    <w:p w14:paraId="74BDD384" w14:textId="77777777" w:rsidR="00530F4F" w:rsidRDefault="00530F4F">
      <w:r w:rsidRPr="00530F4F">
        <w:rPr>
          <w:b/>
          <w:bCs/>
          <w:lang w:val="en-US"/>
        </w:rPr>
        <w:t>Empresa:</w:t>
      </w:r>
      <w:r w:rsidRPr="00530F4F">
        <w:rPr>
          <w:lang w:val="en-US"/>
        </w:rPr>
        <w:t xml:space="preserve"> Fr. Meyer's Sohn (GmbH &amp; Co.) </w:t>
      </w:r>
      <w:r>
        <w:t>KG</w:t>
      </w:r>
    </w:p>
    <w:p w14:paraId="31685E26" w14:textId="77777777" w:rsidR="00530F4F" w:rsidRDefault="00530F4F">
      <w:r>
        <w:rPr>
          <w:b/>
          <w:bCs/>
        </w:rPr>
        <w:t>Fecha:</w:t>
      </w:r>
      <w:r>
        <w:t xml:space="preserve"> 12 de abril de 2026</w:t>
      </w:r>
    </w:p>
    <w:p w14:paraId="0BF0A090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t>1. Resumen Ejecutivo</w:t>
      </w:r>
    </w:p>
    <w:p w14:paraId="294C761A" w14:textId="1DDDEC34" w:rsidR="00530F4F" w:rsidRDefault="00530F4F">
      <w:pPr>
        <w:rPr>
          <w:rFonts w:eastAsiaTheme="minorEastAsia"/>
        </w:rPr>
      </w:pPr>
      <w:r>
        <w:t>El Flow Master System (FMS) es una plataforma avanzada de modelado de procesos fundamentada en el estándar BPMN 2.0. Su principal objetivo es optimizar la operativa de freight forwarding y facilitar el control de costes operativos. Entre sus funcionalidades destacan la posibilidad de crear, editar y analizar flujos de trabajo, además de integrar cálculos automáticos de tiempo, costes internos y externos, y la huella de carbono (CO2) generada por cada tarea.</w:t>
      </w:r>
    </w:p>
    <w:p w14:paraId="755B895A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t>2. Arquitectura Técnica y Stack</w:t>
      </w:r>
    </w:p>
    <w:p w14:paraId="53B12D97" w14:textId="77777777" w:rsidR="00530F4F" w:rsidRDefault="00530F4F">
      <w:pPr>
        <w:rPr>
          <w:rFonts w:eastAsiaTheme="minorEastAsia"/>
        </w:rPr>
      </w:pPr>
      <w:r>
        <w:t>FMS está desarrollado como una Single Page Application (SPA), empleando una arquitectura modular y ligera que garantiza tanto el mantenimiento como la escalabilidad. El sistema está compuesto por los siguientes elementos técnicos:</w:t>
      </w:r>
    </w:p>
    <w:p w14:paraId="4F2EE946" w14:textId="77777777" w:rsidR="00530F4F" w:rsidRDefault="00530F4F" w:rsidP="00530F4F">
      <w:pPr>
        <w:numPr>
          <w:ilvl w:val="0"/>
          <w:numId w:val="7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Motor de Modelado:</w:t>
      </w:r>
      <w:r>
        <w:rPr>
          <w:rFonts w:eastAsia="Times New Roman"/>
        </w:rPr>
        <w:t xml:space="preserve"> Utiliza bpmn-js (v17.7.1) para renderizar y manipular diagramas BPMN.</w:t>
      </w:r>
    </w:p>
    <w:p w14:paraId="55B80017" w14:textId="77777777" w:rsidR="00530F4F" w:rsidRDefault="00530F4F" w:rsidP="00530F4F">
      <w:pPr>
        <w:numPr>
          <w:ilvl w:val="0"/>
          <w:numId w:val="7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Visualización de Datos:</w:t>
      </w:r>
      <w:r>
        <w:rPr>
          <w:rFonts w:eastAsia="Times New Roman"/>
        </w:rPr>
        <w:t xml:space="preserve"> Chart.js (v3.9.1) permite la generación de analíticas en tiempo real.</w:t>
      </w:r>
    </w:p>
    <w:p w14:paraId="0EE84E25" w14:textId="77777777" w:rsidR="00530F4F" w:rsidRDefault="00530F4F" w:rsidP="00530F4F">
      <w:pPr>
        <w:numPr>
          <w:ilvl w:val="0"/>
          <w:numId w:val="7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Interfaz de Usuario:</w:t>
      </w:r>
      <w:r>
        <w:rPr>
          <w:rFonts w:eastAsia="Times New Roman"/>
        </w:rPr>
        <w:t xml:space="preserve"> Basada en HTML5 y CSS3, soporta modo oscuro e integra iconografía dinámica con FontAwesome 6.</w:t>
      </w:r>
    </w:p>
    <w:p w14:paraId="010AA87A" w14:textId="77777777" w:rsidR="00530F4F" w:rsidRDefault="00530F4F" w:rsidP="00530F4F">
      <w:pPr>
        <w:numPr>
          <w:ilvl w:val="0"/>
          <w:numId w:val="72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Persistencia y Configuración:</w:t>
      </w:r>
      <w:r>
        <w:rPr>
          <w:rFonts w:eastAsia="Times New Roman"/>
        </w:rPr>
        <w:t xml:space="preserve"> Utiliza localStorage para la gestión de estados y extensiones de metadatos (Moddle) para inyectar propiedades personalizadas en el XML de BPMN.</w:t>
      </w:r>
    </w:p>
    <w:p w14:paraId="10EE0B4B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lastRenderedPageBreak/>
        <w:t>3. Módulos del Sistema</w:t>
      </w:r>
    </w:p>
    <w:p w14:paraId="1733EDDA" w14:textId="77777777" w:rsidR="00530F4F" w:rsidRDefault="00530F4F">
      <w:pPr>
        <w:pStyle w:val="Ttulo2"/>
        <w:rPr>
          <w:rFonts w:eastAsia="Times New Roman"/>
        </w:rPr>
      </w:pPr>
      <w:r>
        <w:rPr>
          <w:rFonts w:eastAsia="Times New Roman"/>
        </w:rPr>
        <w:t>3.1 Motor de Automatización e Inferencia</w:t>
      </w:r>
    </w:p>
    <w:p w14:paraId="3E388C9D" w14:textId="77777777" w:rsidR="00530F4F" w:rsidRDefault="00530F4F">
      <w:pPr>
        <w:rPr>
          <w:rFonts w:eastAsiaTheme="minorEastAsia"/>
        </w:rPr>
      </w:pPr>
      <w:r>
        <w:t>El núcleo del sistema incluye una lógica de inferencia operativa que asigna valores automáticos en función del nombre o icono de cada tarea. Esta lógica permite:</w:t>
      </w:r>
    </w:p>
    <w:p w14:paraId="1A773F03" w14:textId="77777777" w:rsidR="00530F4F" w:rsidRDefault="00530F4F" w:rsidP="00530F4F">
      <w:pPr>
        <w:numPr>
          <w:ilvl w:val="0"/>
          <w:numId w:val="7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Cálculo de Tiempos:</w:t>
      </w:r>
      <w:r>
        <w:rPr>
          <w:rFonts w:eastAsia="Times New Roman"/>
        </w:rPr>
        <w:t xml:space="preserve"> Define tiempos predeterminados según el tipo de tarea (por ejemplo, ManualTask: 20 minutos) y realiza ajustes inteligentes para aplicaciones corporativas como Seastep (15 minutos) o WMS (25 minutos).</w:t>
      </w:r>
    </w:p>
    <w:p w14:paraId="6BB91B52" w14:textId="77777777" w:rsidR="00530F4F" w:rsidRDefault="00530F4F" w:rsidP="00530F4F">
      <w:pPr>
        <w:numPr>
          <w:ilvl w:val="0"/>
          <w:numId w:val="7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Inferencia de IA:</w:t>
      </w:r>
      <w:r>
        <w:rPr>
          <w:rFonts w:eastAsia="Times New Roman"/>
        </w:rPr>
        <w:t xml:space="preserve"> Detecta automáticamente procesos automatizados (bots, Hugo Chat Bot, EDI), asignando coste y tiempo cero.</w:t>
      </w:r>
    </w:p>
    <w:p w14:paraId="375A12B3" w14:textId="77777777" w:rsidR="00530F4F" w:rsidRDefault="00530F4F" w:rsidP="00530F4F">
      <w:pPr>
        <w:numPr>
          <w:ilvl w:val="0"/>
          <w:numId w:val="73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Estimación de CO2:</w:t>
      </w:r>
      <w:r>
        <w:rPr>
          <w:rFonts w:eastAsia="Times New Roman"/>
        </w:rPr>
        <w:t xml:space="preserve"> Emplea un algoritmo que identifica el modo de transporte (Aéreo: 1500 kg, Marítimo: 800 kg, Terrestre: 150 kg) mediante palabras clave.</w:t>
      </w:r>
    </w:p>
    <w:p w14:paraId="158C24E3" w14:textId="77777777" w:rsidR="00530F4F" w:rsidRDefault="00530F4F">
      <w:pPr>
        <w:pStyle w:val="Ttulo2"/>
        <w:rPr>
          <w:rFonts w:eastAsia="Times New Roman"/>
        </w:rPr>
      </w:pPr>
      <w:r>
        <w:rPr>
          <w:rFonts w:eastAsia="Times New Roman"/>
        </w:rPr>
        <w:t>3.2 Renderizado Personalizado (Custom Renderer)</w:t>
      </w:r>
    </w:p>
    <w:p w14:paraId="3C6FD35C" w14:textId="77777777" w:rsidR="00530F4F" w:rsidRDefault="00530F4F">
      <w:pPr>
        <w:rPr>
          <w:rFonts w:eastAsiaTheme="minorEastAsia"/>
        </w:rPr>
      </w:pPr>
      <w:r>
        <w:t>FMS sobrescribe el renderizado estándar de BPMN para mejorar la experiencia de usuario, implementando:</w:t>
      </w:r>
    </w:p>
    <w:p w14:paraId="290C416C" w14:textId="77777777" w:rsidR="00530F4F" w:rsidRDefault="00530F4F" w:rsidP="00530F4F">
      <w:pPr>
        <w:numPr>
          <w:ilvl w:val="0"/>
          <w:numId w:val="7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Codificación de Colores:</w:t>
      </w:r>
      <w:r>
        <w:rPr>
          <w:rFonts w:eastAsia="Times New Roman"/>
        </w:rPr>
        <w:t xml:space="preserve"> Identificación visual de estados: Azul para Normal, Verde para Completado, Rojo para Crítico y Naranja para En curso.</w:t>
      </w:r>
    </w:p>
    <w:p w14:paraId="56368D45" w14:textId="77777777" w:rsidR="00530F4F" w:rsidRDefault="00530F4F" w:rsidP="00530F4F">
      <w:pPr>
        <w:numPr>
          <w:ilvl w:val="0"/>
          <w:numId w:val="74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Inyección de Iconos:</w:t>
      </w:r>
      <w:r>
        <w:rPr>
          <w:rFonts w:eastAsia="Times New Roman"/>
        </w:rPr>
        <w:t xml:space="preserve"> Posibilidad de utilizar iconos de FontAwesome en los nodos de tarea.</w:t>
      </w:r>
    </w:p>
    <w:p w14:paraId="05D68363" w14:textId="77777777" w:rsidR="00530F4F" w:rsidRDefault="00530F4F">
      <w:pPr>
        <w:pStyle w:val="Ttulo2"/>
        <w:rPr>
          <w:rFonts w:eastAsia="Times New Roman"/>
        </w:rPr>
      </w:pPr>
      <w:r>
        <w:rPr>
          <w:rFonts w:eastAsia="Times New Roman"/>
        </w:rPr>
        <w:t>3.3 Dashboard de KPIs y Analítica</w:t>
      </w:r>
    </w:p>
    <w:p w14:paraId="117B0EFC" w14:textId="77777777" w:rsidR="00530F4F" w:rsidRDefault="00530F4F">
      <w:pPr>
        <w:rPr>
          <w:rFonts w:eastAsiaTheme="minorEastAsia"/>
        </w:rPr>
      </w:pPr>
      <w:r>
        <w:t>Este módulo agrega los datos de todos los nodos del diagrama y ofrece:</w:t>
      </w:r>
    </w:p>
    <w:p w14:paraId="38FA9EDB" w14:textId="77777777" w:rsidR="00530F4F" w:rsidRDefault="00530F4F" w:rsidP="00530F4F">
      <w:pPr>
        <w:numPr>
          <w:ilvl w:val="0"/>
          <w:numId w:val="7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Métricas principales:</w:t>
      </w:r>
      <w:r>
        <w:rPr>
          <w:rFonts w:eastAsia="Times New Roman"/>
        </w:rPr>
        <w:t xml:space="preserve"> Cálculo de tiempo total de ciclo (Lead Time), coste interno (HR), coste externo y emisiones totales de CO2.</w:t>
      </w:r>
    </w:p>
    <w:p w14:paraId="01AD1213" w14:textId="77777777" w:rsidR="00530F4F" w:rsidRDefault="00530F4F" w:rsidP="00530F4F">
      <w:pPr>
        <w:numPr>
          <w:ilvl w:val="0"/>
          <w:numId w:val="75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Gráficos dinámicos:</w:t>
      </w:r>
      <w:r>
        <w:rPr>
          <w:rFonts w:eastAsia="Times New Roman"/>
        </w:rPr>
        <w:t xml:space="preserve"> Visualización de la distribución de costes operativos y la carga de tiempo por tarea.</w:t>
      </w:r>
    </w:p>
    <w:p w14:paraId="679B268F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t>4. Gestión de Costes por Sede (Branches)</w:t>
      </w:r>
    </w:p>
    <w:p w14:paraId="46233CFA" w14:textId="77777777" w:rsidR="00530F4F" w:rsidRDefault="00530F4F">
      <w:pPr>
        <w:rPr>
          <w:rFonts w:eastAsiaTheme="minorEastAsia"/>
        </w:rPr>
      </w:pPr>
      <w:r>
        <w:t>El sistema aplica tarifas horarias dinámicas en función de la ubicación seleccionada, convirtiéndolas a coste por minuto para una mayor precisión. Las tarifas por sede incluyen:</w:t>
      </w:r>
    </w:p>
    <w:p w14:paraId="50E72B6B" w14:textId="77777777" w:rsidR="00530F4F" w:rsidRDefault="00530F4F" w:rsidP="00530F4F">
      <w:pPr>
        <w:numPr>
          <w:ilvl w:val="0"/>
          <w:numId w:val="7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Hamburgo (HQ):</w:t>
      </w:r>
      <w:r>
        <w:rPr>
          <w:rFonts w:eastAsia="Times New Roman"/>
        </w:rPr>
        <w:t xml:space="preserve"> ~35 EUR/h.</w:t>
      </w:r>
    </w:p>
    <w:p w14:paraId="4F799797" w14:textId="77777777" w:rsidR="00530F4F" w:rsidRDefault="00530F4F" w:rsidP="00530F4F">
      <w:pPr>
        <w:numPr>
          <w:ilvl w:val="0"/>
          <w:numId w:val="7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Barcelona (ES):</w:t>
      </w:r>
      <w:r>
        <w:rPr>
          <w:rFonts w:eastAsia="Times New Roman"/>
        </w:rPr>
        <w:t xml:space="preserve"> ~25 EUR/h.</w:t>
      </w:r>
    </w:p>
    <w:p w14:paraId="06B94F08" w14:textId="77777777" w:rsidR="00530F4F" w:rsidRDefault="00530F4F" w:rsidP="00530F4F">
      <w:pPr>
        <w:numPr>
          <w:ilvl w:val="0"/>
          <w:numId w:val="7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Miami (US):</w:t>
      </w:r>
      <w:r>
        <w:rPr>
          <w:rFonts w:eastAsia="Times New Roman"/>
        </w:rPr>
        <w:t xml:space="preserve"> ~45 USD/h.</w:t>
      </w:r>
    </w:p>
    <w:p w14:paraId="0E198AD9" w14:textId="77777777" w:rsidR="00530F4F" w:rsidRDefault="00530F4F" w:rsidP="00530F4F">
      <w:pPr>
        <w:numPr>
          <w:ilvl w:val="0"/>
          <w:numId w:val="76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lastRenderedPageBreak/>
        <w:t>Dubái (AE):</w:t>
      </w:r>
      <w:r>
        <w:rPr>
          <w:rFonts w:eastAsia="Times New Roman"/>
        </w:rPr>
        <w:t xml:space="preserve"> ~28 EUR/h.</w:t>
      </w:r>
    </w:p>
    <w:p w14:paraId="04F06F5E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t>5. Interoperabilidad y Exportación</w:t>
      </w:r>
    </w:p>
    <w:p w14:paraId="16ED1609" w14:textId="77777777" w:rsidR="00530F4F" w:rsidRDefault="00530F4F">
      <w:pPr>
        <w:rPr>
          <w:rFonts w:eastAsiaTheme="minorEastAsia"/>
        </w:rPr>
      </w:pPr>
      <w:r>
        <w:t>FMS permite la integración con otras aplicaciones corporativas gracias a la exportación en múltiples formatos:</w:t>
      </w:r>
    </w:p>
    <w:p w14:paraId="2073032E" w14:textId="77777777" w:rsidR="00530F4F" w:rsidRDefault="00530F4F" w:rsidP="00530F4F">
      <w:pPr>
        <w:numPr>
          <w:ilvl w:val="0"/>
          <w:numId w:val="7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BPMN (XML):</w:t>
      </w:r>
      <w:r>
        <w:rPr>
          <w:rFonts w:eastAsia="Times New Roman"/>
        </w:rPr>
        <w:t xml:space="preserve"> Compatible con cualquier motor de procesos estándar.</w:t>
      </w:r>
    </w:p>
    <w:p w14:paraId="774DC01E" w14:textId="77777777" w:rsidR="00530F4F" w:rsidRDefault="00530F4F" w:rsidP="00530F4F">
      <w:pPr>
        <w:numPr>
          <w:ilvl w:val="0"/>
          <w:numId w:val="7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SVG:</w:t>
      </w:r>
      <w:r>
        <w:rPr>
          <w:rFonts w:eastAsia="Times New Roman"/>
        </w:rPr>
        <w:t xml:space="preserve"> Útil para documentación técnica y manuales de SOP.</w:t>
      </w:r>
    </w:p>
    <w:p w14:paraId="7CD038E1" w14:textId="77777777" w:rsidR="00530F4F" w:rsidRDefault="00530F4F" w:rsidP="00530F4F">
      <w:pPr>
        <w:numPr>
          <w:ilvl w:val="0"/>
          <w:numId w:val="77"/>
        </w:numPr>
        <w:spacing w:line="276" w:lineRule="auto"/>
        <w:rPr>
          <w:rFonts w:eastAsia="Times New Roman"/>
        </w:rPr>
      </w:pPr>
      <w:r>
        <w:rPr>
          <w:rFonts w:eastAsia="Times New Roman"/>
          <w:b/>
          <w:bCs/>
        </w:rPr>
        <w:t>JSON (BI Dataset):</w:t>
      </w:r>
      <w:r>
        <w:rPr>
          <w:rFonts w:eastAsia="Times New Roman"/>
        </w:rPr>
        <w:t xml:space="preserve"> Exportación estructurada para herramientas de Business Intelligence como Oracle Cloud BI.</w:t>
      </w:r>
    </w:p>
    <w:p w14:paraId="5B2304DA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t>6. Seguridad y Compliance</w:t>
      </w:r>
    </w:p>
    <w:p w14:paraId="697DF570" w14:textId="77777777" w:rsidR="00530F4F" w:rsidRDefault="00530F4F">
      <w:pPr>
        <w:rPr>
          <w:rFonts w:eastAsiaTheme="minorEastAsia"/>
        </w:rPr>
      </w:pPr>
      <w:r>
        <w:t>La aplicación implementa una robusta Content Security Policy (CSP) destinada a prevenir ataques XSS e inyecciones, incluyendo las siguientes restricciones:</w:t>
      </w:r>
    </w:p>
    <w:p w14:paraId="203DA627" w14:textId="77777777" w:rsidR="00530F4F" w:rsidRDefault="00530F4F" w:rsidP="00530F4F">
      <w:pPr>
        <w:numPr>
          <w:ilvl w:val="0"/>
          <w:numId w:val="7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default-src 'self': limita la carga de recursos al origen local.</w:t>
      </w:r>
    </w:p>
    <w:p w14:paraId="781BDF2F" w14:textId="77777777" w:rsidR="00530F4F" w:rsidRDefault="00530F4F" w:rsidP="00530F4F">
      <w:pPr>
        <w:numPr>
          <w:ilvl w:val="0"/>
          <w:numId w:val="78"/>
        </w:numPr>
        <w:spacing w:line="276" w:lineRule="auto"/>
        <w:rPr>
          <w:rFonts w:eastAsia="Times New Roman"/>
        </w:rPr>
      </w:pPr>
      <w:r>
        <w:rPr>
          <w:rFonts w:eastAsia="Times New Roman"/>
        </w:rPr>
        <w:t>script-src: permite exclusivamente fuentes de confianza como cdnjs.cloudflare.com y unpkg.com.</w:t>
      </w:r>
    </w:p>
    <w:p w14:paraId="604E170B" w14:textId="77777777" w:rsidR="00530F4F" w:rsidRDefault="00530F4F">
      <w:pPr>
        <w:pStyle w:val="Ttulo1"/>
        <w:rPr>
          <w:rFonts w:eastAsia="Times New Roman"/>
        </w:rPr>
      </w:pPr>
      <w:r>
        <w:rPr>
          <w:rFonts w:eastAsia="Times New Roman"/>
        </w:rPr>
        <w:t>7. Conclusión</w:t>
      </w:r>
    </w:p>
    <w:p w14:paraId="2ED6DC56" w14:textId="14859EA5" w:rsidR="00530F4F" w:rsidRDefault="00530F4F">
      <w:pPr>
        <w:rPr>
          <w:rFonts w:eastAsiaTheme="minorEastAsia"/>
        </w:rPr>
      </w:pPr>
      <w:r>
        <w:t>El Flow Master System (FMS) se consolida como la herramienta estándar del departamento ICT-OPEX para la documentación de SOPs y el análisis de eficiencia operativa. Su capacidad para transformar flujos de trabajo en métricas financieras y ambientales lo convierten en un activo esencial para la toma de decisiones basada en datos dentro de Fr. Meyer's Sohn (GmbH &amp; Co.) KG.</w:t>
      </w:r>
    </w:p>
    <w:p w14:paraId="0EB9DACA" w14:textId="77777777" w:rsidR="00FE2DC4" w:rsidRDefault="00FE2DC4"/>
    <w:sectPr w:rsidR="00FE2DC4" w:rsidSect="009101F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95B"/>
    <w:multiLevelType w:val="multilevel"/>
    <w:tmpl w:val="137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71680"/>
    <w:multiLevelType w:val="multilevel"/>
    <w:tmpl w:val="AD20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5EC2"/>
    <w:multiLevelType w:val="multilevel"/>
    <w:tmpl w:val="E58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B1F21"/>
    <w:multiLevelType w:val="multilevel"/>
    <w:tmpl w:val="E11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54EA9"/>
    <w:multiLevelType w:val="multilevel"/>
    <w:tmpl w:val="B84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4102B"/>
    <w:multiLevelType w:val="multilevel"/>
    <w:tmpl w:val="EA5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0BF"/>
    <w:multiLevelType w:val="multilevel"/>
    <w:tmpl w:val="966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2193E"/>
    <w:multiLevelType w:val="multilevel"/>
    <w:tmpl w:val="332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34F51"/>
    <w:multiLevelType w:val="multilevel"/>
    <w:tmpl w:val="486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0120C"/>
    <w:multiLevelType w:val="multilevel"/>
    <w:tmpl w:val="0BEA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21B19"/>
    <w:multiLevelType w:val="multilevel"/>
    <w:tmpl w:val="752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45FD"/>
    <w:multiLevelType w:val="multilevel"/>
    <w:tmpl w:val="927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453AE"/>
    <w:multiLevelType w:val="multilevel"/>
    <w:tmpl w:val="1E82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8167F"/>
    <w:multiLevelType w:val="multilevel"/>
    <w:tmpl w:val="8C5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75509"/>
    <w:multiLevelType w:val="multilevel"/>
    <w:tmpl w:val="29A8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C65528"/>
    <w:multiLevelType w:val="multilevel"/>
    <w:tmpl w:val="582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C20A8"/>
    <w:multiLevelType w:val="multilevel"/>
    <w:tmpl w:val="EC7C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677FB"/>
    <w:multiLevelType w:val="multilevel"/>
    <w:tmpl w:val="431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015BA"/>
    <w:multiLevelType w:val="multilevel"/>
    <w:tmpl w:val="6B0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24FF8"/>
    <w:multiLevelType w:val="multilevel"/>
    <w:tmpl w:val="404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E3DFE"/>
    <w:multiLevelType w:val="multilevel"/>
    <w:tmpl w:val="E9E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E0869"/>
    <w:multiLevelType w:val="multilevel"/>
    <w:tmpl w:val="901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097B9F"/>
    <w:multiLevelType w:val="multilevel"/>
    <w:tmpl w:val="B96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232E3"/>
    <w:multiLevelType w:val="multilevel"/>
    <w:tmpl w:val="DC9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E2DA7"/>
    <w:multiLevelType w:val="multilevel"/>
    <w:tmpl w:val="27F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9270A"/>
    <w:multiLevelType w:val="multilevel"/>
    <w:tmpl w:val="A70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E423C"/>
    <w:multiLevelType w:val="multilevel"/>
    <w:tmpl w:val="58B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831AE3"/>
    <w:multiLevelType w:val="multilevel"/>
    <w:tmpl w:val="685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76DED"/>
    <w:multiLevelType w:val="multilevel"/>
    <w:tmpl w:val="D18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4622B"/>
    <w:multiLevelType w:val="multilevel"/>
    <w:tmpl w:val="BDB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03C75"/>
    <w:multiLevelType w:val="multilevel"/>
    <w:tmpl w:val="3F9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213C1"/>
    <w:multiLevelType w:val="multilevel"/>
    <w:tmpl w:val="18E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81773F"/>
    <w:multiLevelType w:val="multilevel"/>
    <w:tmpl w:val="DCE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3023BB"/>
    <w:multiLevelType w:val="multilevel"/>
    <w:tmpl w:val="0AC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603A2"/>
    <w:multiLevelType w:val="multilevel"/>
    <w:tmpl w:val="F614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095BD6"/>
    <w:multiLevelType w:val="multilevel"/>
    <w:tmpl w:val="B85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E1127"/>
    <w:multiLevelType w:val="multilevel"/>
    <w:tmpl w:val="4FF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995338"/>
    <w:multiLevelType w:val="multilevel"/>
    <w:tmpl w:val="992E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4D5A1F"/>
    <w:multiLevelType w:val="multilevel"/>
    <w:tmpl w:val="5CC4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1B5D9F"/>
    <w:multiLevelType w:val="multilevel"/>
    <w:tmpl w:val="D7CC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70943"/>
    <w:multiLevelType w:val="multilevel"/>
    <w:tmpl w:val="1424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9063E70"/>
    <w:multiLevelType w:val="multilevel"/>
    <w:tmpl w:val="2FC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EF7185"/>
    <w:multiLevelType w:val="multilevel"/>
    <w:tmpl w:val="A95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B346DF"/>
    <w:multiLevelType w:val="multilevel"/>
    <w:tmpl w:val="335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C4036"/>
    <w:multiLevelType w:val="multilevel"/>
    <w:tmpl w:val="2C3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637937"/>
    <w:multiLevelType w:val="multilevel"/>
    <w:tmpl w:val="1D5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AE3631"/>
    <w:multiLevelType w:val="multilevel"/>
    <w:tmpl w:val="82AE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20A27"/>
    <w:multiLevelType w:val="multilevel"/>
    <w:tmpl w:val="6CF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532B7F"/>
    <w:multiLevelType w:val="multilevel"/>
    <w:tmpl w:val="D32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0D2AC8"/>
    <w:multiLevelType w:val="hybridMultilevel"/>
    <w:tmpl w:val="CE0ACC7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C244F6"/>
    <w:multiLevelType w:val="multilevel"/>
    <w:tmpl w:val="A45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A4030"/>
    <w:multiLevelType w:val="multilevel"/>
    <w:tmpl w:val="6490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A4669"/>
    <w:multiLevelType w:val="multilevel"/>
    <w:tmpl w:val="E8C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66763"/>
    <w:multiLevelType w:val="multilevel"/>
    <w:tmpl w:val="1C0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D64A2"/>
    <w:multiLevelType w:val="multilevel"/>
    <w:tmpl w:val="E15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BE77BA"/>
    <w:multiLevelType w:val="multilevel"/>
    <w:tmpl w:val="B51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3F40E6"/>
    <w:multiLevelType w:val="multilevel"/>
    <w:tmpl w:val="0D7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125A9F"/>
    <w:multiLevelType w:val="multilevel"/>
    <w:tmpl w:val="B7E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03DA4"/>
    <w:multiLevelType w:val="multilevel"/>
    <w:tmpl w:val="E98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C5AD3"/>
    <w:multiLevelType w:val="multilevel"/>
    <w:tmpl w:val="50A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45252"/>
    <w:multiLevelType w:val="multilevel"/>
    <w:tmpl w:val="A41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F6446"/>
    <w:multiLevelType w:val="multilevel"/>
    <w:tmpl w:val="553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213BD"/>
    <w:multiLevelType w:val="multilevel"/>
    <w:tmpl w:val="C148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9C70B6"/>
    <w:multiLevelType w:val="multilevel"/>
    <w:tmpl w:val="A172219E"/>
    <w:lvl w:ilvl="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4" w15:restartNumberingAfterBreak="0">
    <w:nsid w:val="659D02BE"/>
    <w:multiLevelType w:val="multilevel"/>
    <w:tmpl w:val="CCB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648A7"/>
    <w:multiLevelType w:val="multilevel"/>
    <w:tmpl w:val="C2C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6C0AD7"/>
    <w:multiLevelType w:val="multilevel"/>
    <w:tmpl w:val="3B14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3705E"/>
    <w:multiLevelType w:val="multilevel"/>
    <w:tmpl w:val="4C8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E620B7"/>
    <w:multiLevelType w:val="multilevel"/>
    <w:tmpl w:val="6E4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65435F"/>
    <w:multiLevelType w:val="multilevel"/>
    <w:tmpl w:val="CC1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666D73"/>
    <w:multiLevelType w:val="multilevel"/>
    <w:tmpl w:val="25D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885244"/>
    <w:multiLevelType w:val="multilevel"/>
    <w:tmpl w:val="A172219E"/>
    <w:lvl w:ilvl="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2" w15:restartNumberingAfterBreak="0">
    <w:nsid w:val="76462605"/>
    <w:multiLevelType w:val="multilevel"/>
    <w:tmpl w:val="84FC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C121BA"/>
    <w:multiLevelType w:val="multilevel"/>
    <w:tmpl w:val="0A0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A05415"/>
    <w:multiLevelType w:val="multilevel"/>
    <w:tmpl w:val="BE08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1032C6"/>
    <w:multiLevelType w:val="multilevel"/>
    <w:tmpl w:val="40D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E106B8"/>
    <w:multiLevelType w:val="multilevel"/>
    <w:tmpl w:val="F65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9E282A"/>
    <w:multiLevelType w:val="multilevel"/>
    <w:tmpl w:val="2AB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545358">
    <w:abstractNumId w:val="17"/>
  </w:num>
  <w:num w:numId="2" w16cid:durableId="61566926">
    <w:abstractNumId w:val="21"/>
  </w:num>
  <w:num w:numId="3" w16cid:durableId="1579363830">
    <w:abstractNumId w:val="70"/>
  </w:num>
  <w:num w:numId="4" w16cid:durableId="702634612">
    <w:abstractNumId w:val="60"/>
  </w:num>
  <w:num w:numId="5" w16cid:durableId="1723213021">
    <w:abstractNumId w:val="57"/>
  </w:num>
  <w:num w:numId="6" w16cid:durableId="1631862672">
    <w:abstractNumId w:val="72"/>
  </w:num>
  <w:num w:numId="7" w16cid:durableId="570192906">
    <w:abstractNumId w:val="26"/>
  </w:num>
  <w:num w:numId="8" w16cid:durableId="1476992884">
    <w:abstractNumId w:val="66"/>
  </w:num>
  <w:num w:numId="9" w16cid:durableId="409696251">
    <w:abstractNumId w:val="29"/>
  </w:num>
  <w:num w:numId="10" w16cid:durableId="95055070">
    <w:abstractNumId w:val="0"/>
  </w:num>
  <w:num w:numId="11" w16cid:durableId="1248928188">
    <w:abstractNumId w:val="48"/>
  </w:num>
  <w:num w:numId="12" w16cid:durableId="581717607">
    <w:abstractNumId w:val="9"/>
  </w:num>
  <w:num w:numId="13" w16cid:durableId="607466013">
    <w:abstractNumId w:val="59"/>
  </w:num>
  <w:num w:numId="14" w16cid:durableId="34697663">
    <w:abstractNumId w:val="68"/>
  </w:num>
  <w:num w:numId="15" w16cid:durableId="10617177">
    <w:abstractNumId w:val="65"/>
  </w:num>
  <w:num w:numId="16" w16cid:durableId="387070061">
    <w:abstractNumId w:val="54"/>
  </w:num>
  <w:num w:numId="17" w16cid:durableId="148713359">
    <w:abstractNumId w:val="75"/>
  </w:num>
  <w:num w:numId="18" w16cid:durableId="1797795087">
    <w:abstractNumId w:val="12"/>
  </w:num>
  <w:num w:numId="19" w16cid:durableId="1951665099">
    <w:abstractNumId w:val="15"/>
  </w:num>
  <w:num w:numId="20" w16cid:durableId="1429544747">
    <w:abstractNumId w:val="24"/>
  </w:num>
  <w:num w:numId="21" w16cid:durableId="694887305">
    <w:abstractNumId w:val="44"/>
  </w:num>
  <w:num w:numId="22" w16cid:durableId="1922519480">
    <w:abstractNumId w:val="1"/>
  </w:num>
  <w:num w:numId="23" w16cid:durableId="999578808">
    <w:abstractNumId w:val="11"/>
  </w:num>
  <w:num w:numId="24" w16cid:durableId="1532718486">
    <w:abstractNumId w:val="22"/>
  </w:num>
  <w:num w:numId="25" w16cid:durableId="1865049629">
    <w:abstractNumId w:val="8"/>
  </w:num>
  <w:num w:numId="26" w16cid:durableId="525412387">
    <w:abstractNumId w:val="28"/>
  </w:num>
  <w:num w:numId="27" w16cid:durableId="1057823917">
    <w:abstractNumId w:val="50"/>
  </w:num>
  <w:num w:numId="28" w16cid:durableId="318461477">
    <w:abstractNumId w:val="40"/>
  </w:num>
  <w:num w:numId="29" w16cid:durableId="1679036277">
    <w:abstractNumId w:val="34"/>
  </w:num>
  <w:num w:numId="30" w16cid:durableId="1531993758">
    <w:abstractNumId w:val="14"/>
  </w:num>
  <w:num w:numId="31" w16cid:durableId="855465779">
    <w:abstractNumId w:val="37"/>
  </w:num>
  <w:num w:numId="32" w16cid:durableId="465586687">
    <w:abstractNumId w:val="10"/>
  </w:num>
  <w:num w:numId="33" w16cid:durableId="94981879">
    <w:abstractNumId w:val="18"/>
  </w:num>
  <w:num w:numId="34" w16cid:durableId="1481965616">
    <w:abstractNumId w:val="30"/>
  </w:num>
  <w:num w:numId="35" w16cid:durableId="1202085419">
    <w:abstractNumId w:val="73"/>
  </w:num>
  <w:num w:numId="36" w16cid:durableId="1825004066">
    <w:abstractNumId w:val="33"/>
  </w:num>
  <w:num w:numId="37" w16cid:durableId="839125122">
    <w:abstractNumId w:val="27"/>
  </w:num>
  <w:num w:numId="38" w16cid:durableId="493880800">
    <w:abstractNumId w:val="43"/>
  </w:num>
  <w:num w:numId="39" w16cid:durableId="176430964">
    <w:abstractNumId w:val="19"/>
  </w:num>
  <w:num w:numId="40" w16cid:durableId="1541092812">
    <w:abstractNumId w:val="16"/>
  </w:num>
  <w:num w:numId="41" w16cid:durableId="598175159">
    <w:abstractNumId w:val="46"/>
  </w:num>
  <w:num w:numId="42" w16cid:durableId="601650062">
    <w:abstractNumId w:val="49"/>
  </w:num>
  <w:num w:numId="43" w16cid:durableId="1880898848">
    <w:abstractNumId w:val="63"/>
  </w:num>
  <w:num w:numId="44" w16cid:durableId="1218931958">
    <w:abstractNumId w:val="71"/>
  </w:num>
  <w:num w:numId="45" w16cid:durableId="1528375138">
    <w:abstractNumId w:val="31"/>
  </w:num>
  <w:num w:numId="46" w16cid:durableId="1939752107">
    <w:abstractNumId w:val="41"/>
  </w:num>
  <w:num w:numId="47" w16cid:durableId="533081122">
    <w:abstractNumId w:val="67"/>
  </w:num>
  <w:num w:numId="48" w16cid:durableId="1717966689">
    <w:abstractNumId w:val="45"/>
  </w:num>
  <w:num w:numId="49" w16cid:durableId="863784979">
    <w:abstractNumId w:val="38"/>
  </w:num>
  <w:num w:numId="50" w16cid:durableId="1822385028">
    <w:abstractNumId w:val="69"/>
  </w:num>
  <w:num w:numId="51" w16cid:durableId="1882785134">
    <w:abstractNumId w:val="56"/>
  </w:num>
  <w:num w:numId="52" w16cid:durableId="613904190">
    <w:abstractNumId w:val="53"/>
  </w:num>
  <w:num w:numId="53" w16cid:durableId="1437410303">
    <w:abstractNumId w:val="2"/>
  </w:num>
  <w:num w:numId="54" w16cid:durableId="1428579282">
    <w:abstractNumId w:val="76"/>
  </w:num>
  <w:num w:numId="55" w16cid:durableId="1955358192">
    <w:abstractNumId w:val="74"/>
  </w:num>
  <w:num w:numId="56" w16cid:durableId="765348213">
    <w:abstractNumId w:val="7"/>
  </w:num>
  <w:num w:numId="57" w16cid:durableId="1190409392">
    <w:abstractNumId w:val="23"/>
  </w:num>
  <w:num w:numId="58" w16cid:durableId="1025907455">
    <w:abstractNumId w:val="51"/>
  </w:num>
  <w:num w:numId="59" w16cid:durableId="500894537">
    <w:abstractNumId w:val="52"/>
  </w:num>
  <w:num w:numId="60" w16cid:durableId="1432355636">
    <w:abstractNumId w:val="64"/>
  </w:num>
  <w:num w:numId="61" w16cid:durableId="1174611992">
    <w:abstractNumId w:val="55"/>
  </w:num>
  <w:num w:numId="62" w16cid:durableId="1964262190">
    <w:abstractNumId w:val="4"/>
  </w:num>
  <w:num w:numId="63" w16cid:durableId="1437871238">
    <w:abstractNumId w:val="61"/>
  </w:num>
  <w:num w:numId="64" w16cid:durableId="1324435320">
    <w:abstractNumId w:val="6"/>
  </w:num>
  <w:num w:numId="65" w16cid:durableId="1367363888">
    <w:abstractNumId w:val="32"/>
  </w:num>
  <w:num w:numId="66" w16cid:durableId="1778519821">
    <w:abstractNumId w:val="20"/>
  </w:num>
  <w:num w:numId="67" w16cid:durableId="432551426">
    <w:abstractNumId w:val="3"/>
  </w:num>
  <w:num w:numId="68" w16cid:durableId="1277638707">
    <w:abstractNumId w:val="35"/>
  </w:num>
  <w:num w:numId="69" w16cid:durableId="1181313297">
    <w:abstractNumId w:val="77"/>
  </w:num>
  <w:num w:numId="70" w16cid:durableId="1541939869">
    <w:abstractNumId w:val="5"/>
  </w:num>
  <w:num w:numId="71" w16cid:durableId="613294538">
    <w:abstractNumId w:val="25"/>
  </w:num>
  <w:num w:numId="72" w16cid:durableId="2049840091">
    <w:abstractNumId w:val="62"/>
  </w:num>
  <w:num w:numId="73" w16cid:durableId="1611350243">
    <w:abstractNumId w:val="13"/>
  </w:num>
  <w:num w:numId="74" w16cid:durableId="1814565071">
    <w:abstractNumId w:val="47"/>
  </w:num>
  <w:num w:numId="75" w16cid:durableId="1352534301">
    <w:abstractNumId w:val="36"/>
  </w:num>
  <w:num w:numId="76" w16cid:durableId="711927523">
    <w:abstractNumId w:val="42"/>
  </w:num>
  <w:num w:numId="77" w16cid:durableId="1202209812">
    <w:abstractNumId w:val="39"/>
  </w:num>
  <w:num w:numId="78" w16cid:durableId="26138073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94"/>
    <w:rsid w:val="00054396"/>
    <w:rsid w:val="000B4494"/>
    <w:rsid w:val="00187C7B"/>
    <w:rsid w:val="002B401F"/>
    <w:rsid w:val="00530F4F"/>
    <w:rsid w:val="0054052A"/>
    <w:rsid w:val="009101F7"/>
    <w:rsid w:val="00991446"/>
    <w:rsid w:val="00C20FA5"/>
    <w:rsid w:val="00FE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7A51"/>
  <w15:chartTrackingRefBased/>
  <w15:docId w15:val="{50289644-FD07-422B-87D2-60FAC5BB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4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4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4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4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4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4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4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4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4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4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4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4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4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4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4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4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632</Words>
  <Characters>3654</Characters>
  <Application>Microsoft Office Word</Application>
  <DocSecurity>0</DocSecurity>
  <Lines>83</Lines>
  <Paragraphs>55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Pallares Campillejo</dc:creator>
  <cp:keywords/>
  <dc:description/>
  <cp:lastModifiedBy>Xavier Pallares Campillejo</cp:lastModifiedBy>
  <cp:revision>5</cp:revision>
  <dcterms:created xsi:type="dcterms:W3CDTF">2026-04-12T00:54:00Z</dcterms:created>
  <dcterms:modified xsi:type="dcterms:W3CDTF">2026-04-12T01:02:00Z</dcterms:modified>
</cp:coreProperties>
</file>