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6C74B6" w14:textId="6F0BB6E6" w:rsidR="008B61D4" w:rsidRPr="008B61D4" w:rsidRDefault="008B61D4">
      <w:pPr>
        <w:pStyle w:val="Ttulo"/>
        <w:rPr>
          <w:kern w:val="0"/>
          <w:lang w:val="en-US"/>
          <w14:ligatures w14:val="none"/>
        </w:rPr>
      </w:pPr>
      <w:r w:rsidRPr="008B61D4">
        <w:rPr>
          <w:lang w:val="en-US"/>
        </w:rPr>
        <w:t>FLOW MASTER SYSTEM (FMS)</w:t>
      </w:r>
    </w:p>
    <w:p w14:paraId="3CC65318" w14:textId="77777777" w:rsidR="008B61D4" w:rsidRDefault="008B61D4">
      <w:pPr>
        <w:pStyle w:val="Ttulo1"/>
        <w:rPr>
          <w:rFonts w:eastAsia="Times New Roman"/>
        </w:rPr>
      </w:pPr>
      <w:r>
        <w:rPr>
          <w:rFonts w:eastAsia="Times New Roman"/>
        </w:rPr>
        <w:t>Introducción</w:t>
      </w:r>
    </w:p>
    <w:p w14:paraId="1F6E858E" w14:textId="77777777" w:rsidR="008B61D4" w:rsidRDefault="008B61D4">
      <w:pPr>
        <w:rPr>
          <w:rFonts w:eastAsiaTheme="minorEastAsia"/>
        </w:rPr>
      </w:pPr>
      <w:r>
        <w:rPr>
          <w:b/>
          <w:bCs/>
        </w:rPr>
        <w:t>Departamento:</w:t>
      </w:r>
      <w:r>
        <w:t xml:space="preserve"> ICT-OPEX</w:t>
      </w:r>
    </w:p>
    <w:p w14:paraId="6E065726" w14:textId="77777777" w:rsidR="008B61D4" w:rsidRDefault="008B61D4">
      <w:r>
        <w:rPr>
          <w:b/>
          <w:bCs/>
        </w:rPr>
        <w:t>Empresa:</w:t>
      </w:r>
      <w:r>
        <w:t xml:space="preserve"> Fr. Meyer's Sohn (GmbH &amp; Co.) KG</w:t>
      </w:r>
    </w:p>
    <w:p w14:paraId="044A4059" w14:textId="77777777" w:rsidR="008B61D4" w:rsidRDefault="008B61D4">
      <w:r>
        <w:t>Flow Master System (FMS) es la herramienta corporativa de modelado de procesos BPMN diseñada para la gestión de operativas, el cálculo de costes y la medición de la huella de carbono. Permite a los usuarios optimizar y controlar de manera eficiente los flujos de trabajo y recursos asociados.</w:t>
      </w:r>
    </w:p>
    <w:p w14:paraId="2F934D68" w14:textId="77777777" w:rsidR="008B61D4" w:rsidRDefault="008B61D4">
      <w:pPr>
        <w:pStyle w:val="Ttulo2"/>
        <w:rPr>
          <w:rFonts w:eastAsia="Times New Roman"/>
        </w:rPr>
      </w:pPr>
      <w:r>
        <w:rPr>
          <w:rFonts w:eastAsia="Times New Roman"/>
        </w:rPr>
        <w:t>Interfaz Principal</w:t>
      </w:r>
    </w:p>
    <w:p w14:paraId="410D55AA" w14:textId="77777777" w:rsidR="008B61D4" w:rsidRDefault="008B61D4">
      <w:pPr>
        <w:rPr>
          <w:rFonts w:eastAsiaTheme="minorEastAsia"/>
        </w:rPr>
      </w:pPr>
      <w:r>
        <w:t>La pantalla principal se encuentra organizada en tres áreas funcionales claramente diferenciadas para facilitar la navegación y el diseño de procesos:</w:t>
      </w:r>
    </w:p>
    <w:p w14:paraId="379C2E27" w14:textId="77777777" w:rsidR="008B61D4" w:rsidRDefault="008B61D4" w:rsidP="008B61D4">
      <w:pPr>
        <w:numPr>
          <w:ilvl w:val="0"/>
          <w:numId w:val="31"/>
        </w:numPr>
        <w:spacing w:line="276" w:lineRule="auto"/>
        <w:rPr>
          <w:rFonts w:eastAsia="Times New Roman"/>
        </w:rPr>
      </w:pPr>
      <w:r>
        <w:rPr>
          <w:rFonts w:eastAsia="Times New Roman"/>
          <w:b/>
          <w:bCs/>
        </w:rPr>
        <w:t>Barra Superior (Toolbar):</w:t>
      </w:r>
      <w:r>
        <w:rPr>
          <w:rFonts w:eastAsia="Times New Roman"/>
        </w:rPr>
        <w:t xml:space="preserve"> Incluye controles de vista, gestión de archivos, selector de plantillas y la opción para alternar entre el tema oscuro o claro.</w:t>
      </w:r>
    </w:p>
    <w:p w14:paraId="7DA36E5F" w14:textId="77777777" w:rsidR="008B61D4" w:rsidRDefault="008B61D4" w:rsidP="008B61D4">
      <w:pPr>
        <w:numPr>
          <w:ilvl w:val="0"/>
          <w:numId w:val="31"/>
        </w:numPr>
        <w:spacing w:line="276" w:lineRule="auto"/>
        <w:rPr>
          <w:rFonts w:eastAsia="Times New Roman"/>
        </w:rPr>
      </w:pPr>
      <w:r>
        <w:rPr>
          <w:rFonts w:eastAsia="Times New Roman"/>
          <w:b/>
          <w:bCs/>
        </w:rPr>
        <w:t>Panel Lateral (Propiedades):</w:t>
      </w:r>
      <w:r>
        <w:rPr>
          <w:rFonts w:eastAsia="Times New Roman"/>
        </w:rPr>
        <w:t xml:space="preserve"> Permite la edición detallada de la tarea seleccionada y la elección de la sucursal FMS que se utilizará para el cálculo de tarifas.</w:t>
      </w:r>
    </w:p>
    <w:p w14:paraId="01CE3B69" w14:textId="77777777" w:rsidR="008B61D4" w:rsidRDefault="008B61D4" w:rsidP="008B61D4">
      <w:pPr>
        <w:numPr>
          <w:ilvl w:val="0"/>
          <w:numId w:val="31"/>
        </w:numPr>
        <w:spacing w:line="276" w:lineRule="auto"/>
        <w:rPr>
          <w:rFonts w:eastAsia="Times New Roman"/>
        </w:rPr>
      </w:pPr>
      <w:r>
        <w:rPr>
          <w:rFonts w:eastAsia="Times New Roman"/>
          <w:b/>
          <w:bCs/>
        </w:rPr>
        <w:t>Área de Trabajo (Lienzo/Dashboard):</w:t>
      </w:r>
      <w:r>
        <w:rPr>
          <w:rFonts w:eastAsia="Times New Roman"/>
        </w:rPr>
        <w:t xml:space="preserve"> Es un espacio interactivo en el que se puede diseñar el diagrama BPMN o visualizar las métricas asociadas.</w:t>
      </w:r>
    </w:p>
    <w:p w14:paraId="5FC9D939" w14:textId="77777777" w:rsidR="008B61D4" w:rsidRDefault="008B61D4">
      <w:pPr>
        <w:pStyle w:val="Ttulo2"/>
        <w:rPr>
          <w:rFonts w:eastAsia="Times New Roman"/>
        </w:rPr>
      </w:pPr>
      <w:r>
        <w:rPr>
          <w:rFonts w:eastAsia="Times New Roman"/>
        </w:rPr>
        <w:t>Gestión de Procesos y Plantillas</w:t>
      </w:r>
    </w:p>
    <w:p w14:paraId="5D9F54BF" w14:textId="77777777" w:rsidR="008B61D4" w:rsidRDefault="008B61D4">
      <w:pPr>
        <w:rPr>
          <w:rFonts w:eastAsiaTheme="minorEastAsia"/>
        </w:rPr>
      </w:pPr>
      <w:r>
        <w:t>El sistema ofrece varias opciones para trabajar con procesos y plantillas:</w:t>
      </w:r>
    </w:p>
    <w:p w14:paraId="44830997" w14:textId="77777777" w:rsidR="008B61D4" w:rsidRDefault="008B61D4" w:rsidP="008B61D4">
      <w:pPr>
        <w:numPr>
          <w:ilvl w:val="0"/>
          <w:numId w:val="32"/>
        </w:numPr>
        <w:spacing w:line="276" w:lineRule="auto"/>
        <w:rPr>
          <w:rFonts w:eastAsia="Times New Roman"/>
        </w:rPr>
      </w:pPr>
      <w:r>
        <w:rPr>
          <w:rFonts w:eastAsia="Times New Roman"/>
          <w:b/>
          <w:bCs/>
        </w:rPr>
        <w:t>Cargar una Plantilla:</w:t>
      </w:r>
      <w:r>
        <w:rPr>
          <w:rFonts w:eastAsia="Times New Roman"/>
        </w:rPr>
        <w:t xml:space="preserve"> Desde la barra superior, se accede al menú de plantillas. Se pueden seleccionar operativas estándar preconfiguradas, como los flujos de Seastep (SOP Ocean), procesos logísticos de Warehouse Management System (WMS) o la gestión del ciclo de ventas en SIMI. El diagrama seleccionado se carga y escala automáticamente en el lienzo.</w:t>
      </w:r>
    </w:p>
    <w:p w14:paraId="7213B667" w14:textId="77777777" w:rsidR="008B61D4" w:rsidRDefault="008B61D4" w:rsidP="008B61D4">
      <w:pPr>
        <w:numPr>
          <w:ilvl w:val="0"/>
          <w:numId w:val="32"/>
        </w:numPr>
        <w:spacing w:line="276" w:lineRule="auto"/>
        <w:rPr>
          <w:rFonts w:eastAsia="Times New Roman"/>
        </w:rPr>
      </w:pPr>
      <w:r>
        <w:rPr>
          <w:rFonts w:eastAsia="Times New Roman"/>
          <w:b/>
          <w:bCs/>
        </w:rPr>
        <w:t>Importar Proyecto:</w:t>
      </w:r>
      <w:r>
        <w:rPr>
          <w:rFonts w:eastAsia="Times New Roman"/>
        </w:rPr>
        <w:t xml:space="preserve"> Pulsando sobre el icono de la carpeta, es posible subir un archivo local en formato .xml </w:t>
      </w:r>
      <w:proofErr w:type="gramStart"/>
      <w:r>
        <w:rPr>
          <w:rFonts w:eastAsia="Times New Roman"/>
        </w:rPr>
        <w:t>o .bpmn</w:t>
      </w:r>
      <w:proofErr w:type="gramEnd"/>
      <w:r>
        <w:rPr>
          <w:rFonts w:eastAsia="Times New Roman"/>
        </w:rPr>
        <w:t xml:space="preserve"> (máximo 10MB).</w:t>
      </w:r>
    </w:p>
    <w:p w14:paraId="7949715F" w14:textId="77777777" w:rsidR="008B61D4" w:rsidRDefault="008B61D4" w:rsidP="008B61D4">
      <w:pPr>
        <w:numPr>
          <w:ilvl w:val="0"/>
          <w:numId w:val="32"/>
        </w:numPr>
        <w:spacing w:line="276" w:lineRule="auto"/>
        <w:rPr>
          <w:rFonts w:eastAsia="Times New Roman"/>
        </w:rPr>
      </w:pPr>
      <w:r>
        <w:rPr>
          <w:rFonts w:eastAsia="Times New Roman"/>
          <w:b/>
          <w:bCs/>
        </w:rPr>
        <w:t>Exportar:</w:t>
      </w:r>
      <w:r>
        <w:rPr>
          <w:rFonts w:eastAsia="Times New Roman"/>
        </w:rPr>
        <w:t xml:space="preserve"> El botón "Exportar" permite guardar el diagrama actual en diferentes formatos:</w:t>
      </w:r>
    </w:p>
    <w:p w14:paraId="118F2F58" w14:textId="77777777" w:rsidR="008B61D4" w:rsidRDefault="008B61D4" w:rsidP="008B61D4">
      <w:pPr>
        <w:numPr>
          <w:ilvl w:val="0"/>
          <w:numId w:val="32"/>
        </w:numPr>
        <w:spacing w:line="276" w:lineRule="auto"/>
        <w:rPr>
          <w:rFonts w:eastAsia="Times New Roman"/>
        </w:rPr>
      </w:pPr>
      <w:r>
        <w:rPr>
          <w:rFonts w:eastAsia="Times New Roman"/>
          <w:b/>
          <w:bCs/>
        </w:rPr>
        <w:t>BPMN (XML):</w:t>
      </w:r>
      <w:r>
        <w:rPr>
          <w:rFonts w:eastAsia="Times New Roman"/>
        </w:rPr>
        <w:t xml:space="preserve"> Para resguardar el código o continuar la edición en el futuro.</w:t>
      </w:r>
    </w:p>
    <w:p w14:paraId="3D17F0C0" w14:textId="77777777" w:rsidR="008B61D4" w:rsidRDefault="008B61D4" w:rsidP="008B61D4">
      <w:pPr>
        <w:numPr>
          <w:ilvl w:val="0"/>
          <w:numId w:val="32"/>
        </w:numPr>
        <w:spacing w:line="276" w:lineRule="auto"/>
        <w:rPr>
          <w:rFonts w:eastAsia="Times New Roman"/>
        </w:rPr>
      </w:pPr>
      <w:r>
        <w:rPr>
          <w:rFonts w:eastAsia="Times New Roman"/>
          <w:b/>
          <w:bCs/>
        </w:rPr>
        <w:t>Gráfico (SVG):</w:t>
      </w:r>
      <w:r>
        <w:rPr>
          <w:rFonts w:eastAsia="Times New Roman"/>
        </w:rPr>
        <w:t xml:space="preserve"> Exportación visual sin pérdida de calidad para adjuntar a manuales.</w:t>
      </w:r>
    </w:p>
    <w:p w14:paraId="5A7BCEEA" w14:textId="77777777" w:rsidR="008B61D4" w:rsidRDefault="008B61D4" w:rsidP="008B61D4">
      <w:pPr>
        <w:numPr>
          <w:ilvl w:val="0"/>
          <w:numId w:val="32"/>
        </w:numPr>
        <w:spacing w:line="276" w:lineRule="auto"/>
        <w:rPr>
          <w:rFonts w:eastAsia="Times New Roman"/>
        </w:rPr>
      </w:pPr>
      <w:r>
        <w:rPr>
          <w:rFonts w:eastAsia="Times New Roman"/>
          <w:b/>
          <w:bCs/>
        </w:rPr>
        <w:lastRenderedPageBreak/>
        <w:t>Exportar BI (JSON):</w:t>
      </w:r>
      <w:r>
        <w:rPr>
          <w:rFonts w:eastAsia="Times New Roman"/>
        </w:rPr>
        <w:t xml:space="preserve"> Disponible solo desde el Dashboard, genera un dataset estructurado de los KPIs para integración con Business Intelligence (Oracle Cloud BI).</w:t>
      </w:r>
    </w:p>
    <w:p w14:paraId="5ABDC6B1" w14:textId="77777777" w:rsidR="008B61D4" w:rsidRDefault="008B61D4">
      <w:pPr>
        <w:pStyle w:val="Ttulo2"/>
        <w:rPr>
          <w:rFonts w:eastAsia="Times New Roman"/>
        </w:rPr>
      </w:pPr>
      <w:r>
        <w:rPr>
          <w:rFonts w:eastAsia="Times New Roman"/>
        </w:rPr>
        <w:t>Creación y Edición de Tareas</w:t>
      </w:r>
    </w:p>
    <w:p w14:paraId="3D7C4C6B" w14:textId="77777777" w:rsidR="008B61D4" w:rsidRDefault="008B61D4">
      <w:pPr>
        <w:rPr>
          <w:rFonts w:eastAsiaTheme="minorEastAsia"/>
        </w:rPr>
      </w:pPr>
      <w:r>
        <w:t>Para modificar las propiedades de una tarea, basta con hacer clic sobre su nodo en el lienzo. El panel lateral mostrará los atributos editables:</w:t>
      </w:r>
    </w:p>
    <w:p w14:paraId="648C6FB9" w14:textId="77777777" w:rsidR="008B61D4" w:rsidRDefault="008B61D4" w:rsidP="008B61D4">
      <w:pPr>
        <w:numPr>
          <w:ilvl w:val="0"/>
          <w:numId w:val="33"/>
        </w:numPr>
        <w:spacing w:line="276" w:lineRule="auto"/>
        <w:rPr>
          <w:rFonts w:eastAsia="Times New Roman"/>
        </w:rPr>
      </w:pPr>
      <w:r>
        <w:rPr>
          <w:rFonts w:eastAsia="Times New Roman"/>
          <w:b/>
          <w:bCs/>
        </w:rPr>
        <w:t>FMS Branch (Tarifa HR):</w:t>
      </w:r>
      <w:r>
        <w:rPr>
          <w:rFonts w:eastAsia="Times New Roman"/>
        </w:rPr>
        <w:t xml:space="preserve"> Se debe seleccionar la sucursal operativa correspondiente (por ejemplo, Barcelona, Hamburgo, Miami). Esta acción recalcula de inmediato los costes internos de todas las tareas del diagrama según la tarifa horaria de la ubicación escogida.</w:t>
      </w:r>
    </w:p>
    <w:p w14:paraId="7AA6F7A7" w14:textId="77777777" w:rsidR="008B61D4" w:rsidRDefault="008B61D4" w:rsidP="008B61D4">
      <w:pPr>
        <w:numPr>
          <w:ilvl w:val="0"/>
          <w:numId w:val="33"/>
        </w:numPr>
        <w:spacing w:line="276" w:lineRule="auto"/>
        <w:rPr>
          <w:rFonts w:eastAsia="Times New Roman"/>
        </w:rPr>
      </w:pPr>
      <w:r>
        <w:rPr>
          <w:rFonts w:eastAsia="Times New Roman"/>
          <w:b/>
          <w:bCs/>
        </w:rPr>
        <w:t>Tarea:</w:t>
      </w:r>
      <w:r>
        <w:rPr>
          <w:rFonts w:eastAsia="Times New Roman"/>
        </w:rPr>
        <w:t xml:space="preserve"> Escriba un nombre descriptivo. FMS infiere automáticamente los tiempos y las emisiones si detecta palabras clave operativas (por ejemplo, </w:t>
      </w:r>
      <w:r>
        <w:rPr>
          <w:rFonts w:eastAsia="Times New Roman"/>
          <w:i/>
          <w:iCs/>
        </w:rPr>
        <w:t>customs</w:t>
      </w:r>
      <w:r>
        <w:rPr>
          <w:rFonts w:eastAsia="Times New Roman"/>
        </w:rPr>
        <w:t xml:space="preserve">, </w:t>
      </w:r>
      <w:r>
        <w:rPr>
          <w:rFonts w:eastAsia="Times New Roman"/>
          <w:i/>
          <w:iCs/>
        </w:rPr>
        <w:t>FCL</w:t>
      </w:r>
      <w:r>
        <w:rPr>
          <w:rFonts w:eastAsia="Times New Roman"/>
        </w:rPr>
        <w:t xml:space="preserve">, </w:t>
      </w:r>
      <w:r>
        <w:rPr>
          <w:rFonts w:eastAsia="Times New Roman"/>
          <w:i/>
          <w:iCs/>
        </w:rPr>
        <w:t>truck</w:t>
      </w:r>
      <w:r>
        <w:rPr>
          <w:rFonts w:eastAsia="Times New Roman"/>
        </w:rPr>
        <w:t>) o herramientas corporativas. En el caso de tareas automatizadas mediante integraciones o el Hugo Chat Bot, el sistema ajusta el tiempo de ejecución y el coste interno a cero.</w:t>
      </w:r>
    </w:p>
    <w:p w14:paraId="7277ADA3" w14:textId="77777777" w:rsidR="008B61D4" w:rsidRDefault="008B61D4" w:rsidP="008B61D4">
      <w:pPr>
        <w:numPr>
          <w:ilvl w:val="0"/>
          <w:numId w:val="33"/>
        </w:numPr>
        <w:spacing w:line="276" w:lineRule="auto"/>
        <w:rPr>
          <w:rFonts w:eastAsia="Times New Roman"/>
        </w:rPr>
      </w:pPr>
      <w:r>
        <w:rPr>
          <w:rFonts w:eastAsia="Times New Roman"/>
          <w:b/>
          <w:bCs/>
        </w:rPr>
        <w:t>Ícono:</w:t>
      </w:r>
      <w:r>
        <w:rPr>
          <w:rFonts w:eastAsia="Times New Roman"/>
        </w:rPr>
        <w:t xml:space="preserve"> Puede asignar un identificador visual mediante la introducción de clases de FontAwesome.</w:t>
      </w:r>
    </w:p>
    <w:p w14:paraId="744D3CAC" w14:textId="77777777" w:rsidR="008B61D4" w:rsidRDefault="008B61D4" w:rsidP="008B61D4">
      <w:pPr>
        <w:numPr>
          <w:ilvl w:val="0"/>
          <w:numId w:val="33"/>
        </w:numPr>
        <w:spacing w:line="276" w:lineRule="auto"/>
        <w:rPr>
          <w:rFonts w:eastAsia="Times New Roman"/>
        </w:rPr>
      </w:pPr>
      <w:r>
        <w:rPr>
          <w:rFonts w:eastAsia="Times New Roman"/>
          <w:b/>
          <w:bCs/>
        </w:rPr>
        <w:t>Estado / Etapa:</w:t>
      </w:r>
      <w:r>
        <w:rPr>
          <w:rFonts w:eastAsia="Times New Roman"/>
        </w:rPr>
        <w:t xml:space="preserve"> Clasifique la tarea utilizando el menú desplegable (Normal, En Curso, Completado, Crítico). Esta selección modifica los colores del borde y fondo del nodo en el diagrama. Las tareas que superen los 45 minutos se marcan automáticamente como críticas.</w:t>
      </w:r>
    </w:p>
    <w:p w14:paraId="521D996E" w14:textId="77777777" w:rsidR="008B61D4" w:rsidRDefault="008B61D4" w:rsidP="008B61D4">
      <w:pPr>
        <w:numPr>
          <w:ilvl w:val="0"/>
          <w:numId w:val="33"/>
        </w:numPr>
        <w:spacing w:line="276" w:lineRule="auto"/>
        <w:rPr>
          <w:rFonts w:eastAsia="Times New Roman"/>
        </w:rPr>
      </w:pPr>
      <w:r>
        <w:rPr>
          <w:rFonts w:eastAsia="Times New Roman"/>
          <w:b/>
          <w:bCs/>
        </w:rPr>
        <w:t>Tiempo y Emisiones (CO2):</w:t>
      </w:r>
      <w:r>
        <w:rPr>
          <w:rFonts w:eastAsia="Times New Roman"/>
        </w:rPr>
        <w:t xml:space="preserve"> Es posible ajustar manualmente los minutos de ejecución y los kilogramos de CO2 si la inferencia automática requiere corrección.</w:t>
      </w:r>
    </w:p>
    <w:p w14:paraId="5493F00B" w14:textId="77777777" w:rsidR="008B61D4" w:rsidRDefault="008B61D4" w:rsidP="008B61D4">
      <w:pPr>
        <w:numPr>
          <w:ilvl w:val="0"/>
          <w:numId w:val="33"/>
        </w:numPr>
        <w:spacing w:line="276" w:lineRule="auto"/>
        <w:rPr>
          <w:rFonts w:eastAsia="Times New Roman"/>
        </w:rPr>
      </w:pPr>
      <w:r>
        <w:rPr>
          <w:rFonts w:eastAsia="Times New Roman"/>
          <w:b/>
          <w:bCs/>
        </w:rPr>
        <w:t>Costes:</w:t>
      </w:r>
      <w:r>
        <w:rPr>
          <w:rFonts w:eastAsia="Times New Roman"/>
        </w:rPr>
        <w:t xml:space="preserve"> El Coste Interno se calcula multiplicando el tiempo operativo por la tarifa de la sucursal seleccionada. El campo de Coste Externo está habilitado para introducir gastos directos de proveedores.</w:t>
      </w:r>
    </w:p>
    <w:p w14:paraId="4A6CC317" w14:textId="77777777" w:rsidR="008B61D4" w:rsidRDefault="008B61D4">
      <w:pPr>
        <w:pStyle w:val="Ttulo2"/>
        <w:rPr>
          <w:rFonts w:eastAsia="Times New Roman"/>
        </w:rPr>
      </w:pPr>
      <w:r>
        <w:rPr>
          <w:rFonts w:eastAsia="Times New Roman"/>
        </w:rPr>
        <w:t>Panel de Control (Dashboard)</w:t>
      </w:r>
    </w:p>
    <w:p w14:paraId="4985352D" w14:textId="77777777" w:rsidR="008B61D4" w:rsidRDefault="008B61D4">
      <w:pPr>
        <w:rPr>
          <w:rFonts w:eastAsiaTheme="minorEastAsia"/>
        </w:rPr>
      </w:pPr>
      <w:r>
        <w:t>Al hacer clic en el icono del gráfico circular en la barra superior, se accede a la vista analítica del sistema. En esta sección se ofrecen las siguientes funcionalidades:</w:t>
      </w:r>
    </w:p>
    <w:p w14:paraId="1655E7CD" w14:textId="77777777" w:rsidR="008B61D4" w:rsidRDefault="008B61D4" w:rsidP="008B61D4">
      <w:pPr>
        <w:numPr>
          <w:ilvl w:val="0"/>
          <w:numId w:val="34"/>
        </w:numPr>
        <w:spacing w:line="276" w:lineRule="auto"/>
        <w:rPr>
          <w:rFonts w:eastAsia="Times New Roman"/>
        </w:rPr>
      </w:pPr>
      <w:r>
        <w:rPr>
          <w:rFonts w:eastAsia="Times New Roman"/>
          <w:b/>
          <w:bCs/>
        </w:rPr>
        <w:t>KPIs Globales:</w:t>
      </w:r>
      <w:r>
        <w:rPr>
          <w:rFonts w:eastAsia="Times New Roman"/>
        </w:rPr>
        <w:t xml:space="preserve"> Permite la visualización inmediata de los totales del proceso, tales como Lead Time, Costo Interno, Costo de Proveedores, Costo Total y Emisiones de CO2.</w:t>
      </w:r>
    </w:p>
    <w:p w14:paraId="78AA5EE3" w14:textId="77777777" w:rsidR="008B61D4" w:rsidRDefault="008B61D4" w:rsidP="008B61D4">
      <w:pPr>
        <w:numPr>
          <w:ilvl w:val="0"/>
          <w:numId w:val="34"/>
        </w:numPr>
        <w:spacing w:line="276" w:lineRule="auto"/>
        <w:rPr>
          <w:rFonts w:eastAsia="Times New Roman"/>
        </w:rPr>
      </w:pPr>
      <w:r>
        <w:rPr>
          <w:rFonts w:eastAsia="Times New Roman"/>
          <w:b/>
          <w:bCs/>
        </w:rPr>
        <w:t>Gráficos Interactivos:</w:t>
      </w:r>
      <w:r>
        <w:rPr>
          <w:rFonts w:eastAsia="Times New Roman"/>
        </w:rPr>
        <w:t xml:space="preserve"> Un gráfico circular muestra la distribución de los costes operativos (Interno vs Externo), mientras que un gráfico de barras ilustra la carga de tiempo específica generada por cada tarea del modelo.</w:t>
      </w:r>
    </w:p>
    <w:p w14:paraId="3B072C3E" w14:textId="77777777" w:rsidR="008B61D4" w:rsidRDefault="008B61D4">
      <w:pPr>
        <w:pStyle w:val="Ttulo2"/>
        <w:rPr>
          <w:rFonts w:eastAsia="Times New Roman"/>
        </w:rPr>
      </w:pPr>
      <w:r>
        <w:rPr>
          <w:rFonts w:eastAsia="Times New Roman"/>
        </w:rPr>
        <w:lastRenderedPageBreak/>
        <w:t>Atajos y Controles Adicionales</w:t>
      </w:r>
    </w:p>
    <w:p w14:paraId="1D391114" w14:textId="77777777" w:rsidR="008B61D4" w:rsidRDefault="008B61D4">
      <w:pPr>
        <w:rPr>
          <w:rFonts w:eastAsiaTheme="minorEastAsia"/>
        </w:rPr>
      </w:pPr>
      <w:r>
        <w:t>La herramienta cuenta con controles adicionales para agilizar la edición y gestión de los diagramas:</w:t>
      </w:r>
    </w:p>
    <w:p w14:paraId="3150FBD7" w14:textId="77777777" w:rsidR="008B61D4" w:rsidRDefault="008B61D4" w:rsidP="008B61D4">
      <w:pPr>
        <w:numPr>
          <w:ilvl w:val="0"/>
          <w:numId w:val="35"/>
        </w:numPr>
        <w:spacing w:line="276" w:lineRule="auto"/>
        <w:rPr>
          <w:rFonts w:eastAsia="Times New Roman"/>
        </w:rPr>
      </w:pPr>
      <w:r>
        <w:rPr>
          <w:rFonts w:eastAsia="Times New Roman"/>
          <w:b/>
          <w:bCs/>
        </w:rPr>
        <w:t>Deshacer/Rehacer:</w:t>
      </w:r>
      <w:r>
        <w:rPr>
          <w:rFonts w:eastAsia="Times New Roman"/>
        </w:rPr>
        <w:t xml:space="preserve"> Utilice las flechas circulares en la barra superior para revertir acciones realizadas en el diagrama.</w:t>
      </w:r>
    </w:p>
    <w:p w14:paraId="0ADA3D34" w14:textId="77777777" w:rsidR="008B61D4" w:rsidRDefault="008B61D4" w:rsidP="008B61D4">
      <w:pPr>
        <w:numPr>
          <w:ilvl w:val="0"/>
          <w:numId w:val="35"/>
        </w:numPr>
        <w:spacing w:line="276" w:lineRule="auto"/>
        <w:rPr>
          <w:rFonts w:eastAsia="Times New Roman"/>
        </w:rPr>
      </w:pPr>
      <w:r>
        <w:rPr>
          <w:rFonts w:eastAsia="Times New Roman"/>
          <w:b/>
          <w:bCs/>
        </w:rPr>
        <w:t>Centrar Diagrama:</w:t>
      </w:r>
      <w:r>
        <w:rPr>
          <w:rFonts w:eastAsia="Times New Roman"/>
        </w:rPr>
        <w:t xml:space="preserve"> El botón con el icono de expansión, situado en la esquina inferior derecha, permite enfocar y centrar la vista del modelo en el lienzo.</w:t>
      </w:r>
    </w:p>
    <w:p w14:paraId="716A9C0D" w14:textId="77777777" w:rsidR="008B61D4" w:rsidRDefault="008B61D4" w:rsidP="008B61D4">
      <w:pPr>
        <w:numPr>
          <w:ilvl w:val="0"/>
          <w:numId w:val="35"/>
        </w:numPr>
        <w:spacing w:line="276" w:lineRule="auto"/>
        <w:rPr>
          <w:rFonts w:eastAsia="Times New Roman"/>
        </w:rPr>
      </w:pPr>
      <w:r>
        <w:rPr>
          <w:rFonts w:eastAsia="Times New Roman"/>
          <w:b/>
          <w:bCs/>
        </w:rPr>
        <w:t>Eliminar Elemento:</w:t>
      </w:r>
      <w:r>
        <w:rPr>
          <w:rFonts w:eastAsia="Times New Roman"/>
        </w:rPr>
        <w:t xml:space="preserve"> Seleccione cualquier nodo o conexión y haga clic en el botón "Eliminar" al final del panel lateral para borrarlo definitivamente.</w:t>
      </w:r>
    </w:p>
    <w:p w14:paraId="141D1EAF" w14:textId="77777777" w:rsidR="00FE2DC4" w:rsidRPr="008B61D4" w:rsidRDefault="00FE2DC4"/>
    <w:sectPr w:rsidR="00FE2DC4" w:rsidRPr="008B61D4" w:rsidSect="0067476A">
      <w:pgSz w:w="11906" w:h="16838"/>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573B0"/>
    <w:multiLevelType w:val="multilevel"/>
    <w:tmpl w:val="E7786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10332A"/>
    <w:multiLevelType w:val="multilevel"/>
    <w:tmpl w:val="07D60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7248D8"/>
    <w:multiLevelType w:val="multilevel"/>
    <w:tmpl w:val="8864F9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626501"/>
    <w:multiLevelType w:val="multilevel"/>
    <w:tmpl w:val="55CCC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C47FA5"/>
    <w:multiLevelType w:val="multilevel"/>
    <w:tmpl w:val="75BAF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7E47CC"/>
    <w:multiLevelType w:val="multilevel"/>
    <w:tmpl w:val="29609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2661A9"/>
    <w:multiLevelType w:val="multilevel"/>
    <w:tmpl w:val="B70E0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0D759B"/>
    <w:multiLevelType w:val="multilevel"/>
    <w:tmpl w:val="FCB8A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FD5D42"/>
    <w:multiLevelType w:val="multilevel"/>
    <w:tmpl w:val="F2B25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886E4B"/>
    <w:multiLevelType w:val="multilevel"/>
    <w:tmpl w:val="F21E0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9E4F27"/>
    <w:multiLevelType w:val="multilevel"/>
    <w:tmpl w:val="B2980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CA3502"/>
    <w:multiLevelType w:val="multilevel"/>
    <w:tmpl w:val="98961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986A9A"/>
    <w:multiLevelType w:val="multilevel"/>
    <w:tmpl w:val="C8947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0613B4"/>
    <w:multiLevelType w:val="multilevel"/>
    <w:tmpl w:val="197CF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8013F8"/>
    <w:multiLevelType w:val="multilevel"/>
    <w:tmpl w:val="AC664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F26DF6"/>
    <w:multiLevelType w:val="multilevel"/>
    <w:tmpl w:val="A978D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3F52F3"/>
    <w:multiLevelType w:val="multilevel"/>
    <w:tmpl w:val="DE307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E33403"/>
    <w:multiLevelType w:val="multilevel"/>
    <w:tmpl w:val="21286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6A00CA"/>
    <w:multiLevelType w:val="multilevel"/>
    <w:tmpl w:val="03727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8225B7F"/>
    <w:multiLevelType w:val="multilevel"/>
    <w:tmpl w:val="E31E8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2D069B"/>
    <w:multiLevelType w:val="multilevel"/>
    <w:tmpl w:val="13E0E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DF07DD4"/>
    <w:multiLevelType w:val="multilevel"/>
    <w:tmpl w:val="14149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2A76FD7"/>
    <w:multiLevelType w:val="multilevel"/>
    <w:tmpl w:val="A3882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3BE4E6D"/>
    <w:multiLevelType w:val="multilevel"/>
    <w:tmpl w:val="D0E46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3D0788F"/>
    <w:multiLevelType w:val="multilevel"/>
    <w:tmpl w:val="A0A20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7BC5C74"/>
    <w:multiLevelType w:val="multilevel"/>
    <w:tmpl w:val="13CE4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7E176B9"/>
    <w:multiLevelType w:val="multilevel"/>
    <w:tmpl w:val="C37E3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8776BD0"/>
    <w:multiLevelType w:val="multilevel"/>
    <w:tmpl w:val="CFF48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8E72BF3"/>
    <w:multiLevelType w:val="multilevel"/>
    <w:tmpl w:val="74B00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8B1406"/>
    <w:multiLevelType w:val="multilevel"/>
    <w:tmpl w:val="D1C62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DA67D2"/>
    <w:multiLevelType w:val="multilevel"/>
    <w:tmpl w:val="4192F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6514303"/>
    <w:multiLevelType w:val="multilevel"/>
    <w:tmpl w:val="F2BE0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7356D2F"/>
    <w:multiLevelType w:val="multilevel"/>
    <w:tmpl w:val="DC680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B1074B5"/>
    <w:multiLevelType w:val="multilevel"/>
    <w:tmpl w:val="42B6A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FC15625"/>
    <w:multiLevelType w:val="multilevel"/>
    <w:tmpl w:val="41D4C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0996298">
    <w:abstractNumId w:val="7"/>
  </w:num>
  <w:num w:numId="2" w16cid:durableId="1210604158">
    <w:abstractNumId w:val="2"/>
  </w:num>
  <w:num w:numId="3" w16cid:durableId="989217388">
    <w:abstractNumId w:val="22"/>
  </w:num>
  <w:num w:numId="4" w16cid:durableId="574974869">
    <w:abstractNumId w:val="28"/>
  </w:num>
  <w:num w:numId="5" w16cid:durableId="292560877">
    <w:abstractNumId w:val="31"/>
  </w:num>
  <w:num w:numId="6" w16cid:durableId="1210216966">
    <w:abstractNumId w:val="34"/>
  </w:num>
  <w:num w:numId="7" w16cid:durableId="571962344">
    <w:abstractNumId w:val="17"/>
  </w:num>
  <w:num w:numId="8" w16cid:durableId="1721007644">
    <w:abstractNumId w:val="25"/>
  </w:num>
  <w:num w:numId="9" w16cid:durableId="448016950">
    <w:abstractNumId w:val="9"/>
  </w:num>
  <w:num w:numId="10" w16cid:durableId="727072162">
    <w:abstractNumId w:val="0"/>
  </w:num>
  <w:num w:numId="11" w16cid:durableId="255066862">
    <w:abstractNumId w:val="4"/>
  </w:num>
  <w:num w:numId="12" w16cid:durableId="272129838">
    <w:abstractNumId w:val="13"/>
  </w:num>
  <w:num w:numId="13" w16cid:durableId="1671176886">
    <w:abstractNumId w:val="33"/>
  </w:num>
  <w:num w:numId="14" w16cid:durableId="560822673">
    <w:abstractNumId w:val="21"/>
  </w:num>
  <w:num w:numId="15" w16cid:durableId="193462462">
    <w:abstractNumId w:val="19"/>
  </w:num>
  <w:num w:numId="16" w16cid:durableId="1391003657">
    <w:abstractNumId w:val="5"/>
  </w:num>
  <w:num w:numId="17" w16cid:durableId="1053041725">
    <w:abstractNumId w:val="27"/>
  </w:num>
  <w:num w:numId="18" w16cid:durableId="741488680">
    <w:abstractNumId w:val="24"/>
  </w:num>
  <w:num w:numId="19" w16cid:durableId="1875265267">
    <w:abstractNumId w:val="12"/>
  </w:num>
  <w:num w:numId="20" w16cid:durableId="1115248032">
    <w:abstractNumId w:val="10"/>
  </w:num>
  <w:num w:numId="21" w16cid:durableId="1781756868">
    <w:abstractNumId w:val="3"/>
  </w:num>
  <w:num w:numId="22" w16cid:durableId="1441219079">
    <w:abstractNumId w:val="29"/>
  </w:num>
  <w:num w:numId="23" w16cid:durableId="1746604247">
    <w:abstractNumId w:val="26"/>
  </w:num>
  <w:num w:numId="24" w16cid:durableId="2085908570">
    <w:abstractNumId w:val="1"/>
  </w:num>
  <w:num w:numId="25" w16cid:durableId="82454045">
    <w:abstractNumId w:val="32"/>
  </w:num>
  <w:num w:numId="26" w16cid:durableId="1065108117">
    <w:abstractNumId w:val="8"/>
  </w:num>
  <w:num w:numId="27" w16cid:durableId="970017794">
    <w:abstractNumId w:val="11"/>
  </w:num>
  <w:num w:numId="28" w16cid:durableId="2084450876">
    <w:abstractNumId w:val="15"/>
  </w:num>
  <w:num w:numId="29" w16cid:durableId="1883637029">
    <w:abstractNumId w:val="6"/>
  </w:num>
  <w:num w:numId="30" w16cid:durableId="1913928981">
    <w:abstractNumId w:val="20"/>
  </w:num>
  <w:num w:numId="31" w16cid:durableId="783887015">
    <w:abstractNumId w:val="30"/>
  </w:num>
  <w:num w:numId="32" w16cid:durableId="1161656355">
    <w:abstractNumId w:val="14"/>
  </w:num>
  <w:num w:numId="33" w16cid:durableId="85228636">
    <w:abstractNumId w:val="16"/>
  </w:num>
  <w:num w:numId="34" w16cid:durableId="1663270563">
    <w:abstractNumId w:val="23"/>
  </w:num>
  <w:num w:numId="35" w16cid:durableId="156475605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6A9F"/>
    <w:rsid w:val="00054396"/>
    <w:rsid w:val="00187C7B"/>
    <w:rsid w:val="002E6A9F"/>
    <w:rsid w:val="0043089A"/>
    <w:rsid w:val="0054052A"/>
    <w:rsid w:val="0067476A"/>
    <w:rsid w:val="008B61D4"/>
    <w:rsid w:val="00FE2DC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DFA237"/>
  <w15:chartTrackingRefBased/>
  <w15:docId w15:val="{6A27140D-98DE-4AAA-A649-193DB9BDDF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E6A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2E6A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E6A9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E6A9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E6A9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E6A9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E6A9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E6A9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E6A9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E6A9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E6A9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E6A9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E6A9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E6A9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E6A9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E6A9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E6A9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E6A9F"/>
    <w:rPr>
      <w:rFonts w:eastAsiaTheme="majorEastAsia" w:cstheme="majorBidi"/>
      <w:color w:val="272727" w:themeColor="text1" w:themeTint="D8"/>
    </w:rPr>
  </w:style>
  <w:style w:type="paragraph" w:styleId="Ttulo">
    <w:name w:val="Title"/>
    <w:basedOn w:val="Normal"/>
    <w:next w:val="Normal"/>
    <w:link w:val="TtuloCar"/>
    <w:uiPriority w:val="10"/>
    <w:qFormat/>
    <w:rsid w:val="002E6A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E6A9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E6A9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E6A9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E6A9F"/>
    <w:pPr>
      <w:spacing w:before="160"/>
      <w:jc w:val="center"/>
    </w:pPr>
    <w:rPr>
      <w:i/>
      <w:iCs/>
      <w:color w:val="404040" w:themeColor="text1" w:themeTint="BF"/>
    </w:rPr>
  </w:style>
  <w:style w:type="character" w:customStyle="1" w:styleId="CitaCar">
    <w:name w:val="Cita Car"/>
    <w:basedOn w:val="Fuentedeprrafopredeter"/>
    <w:link w:val="Cita"/>
    <w:uiPriority w:val="29"/>
    <w:rsid w:val="002E6A9F"/>
    <w:rPr>
      <w:i/>
      <w:iCs/>
      <w:color w:val="404040" w:themeColor="text1" w:themeTint="BF"/>
    </w:rPr>
  </w:style>
  <w:style w:type="paragraph" w:styleId="Prrafodelista">
    <w:name w:val="List Paragraph"/>
    <w:basedOn w:val="Normal"/>
    <w:uiPriority w:val="34"/>
    <w:qFormat/>
    <w:rsid w:val="002E6A9F"/>
    <w:pPr>
      <w:ind w:left="720"/>
      <w:contextualSpacing/>
    </w:pPr>
  </w:style>
  <w:style w:type="character" w:styleId="nfasisintenso">
    <w:name w:val="Intense Emphasis"/>
    <w:basedOn w:val="Fuentedeprrafopredeter"/>
    <w:uiPriority w:val="21"/>
    <w:qFormat/>
    <w:rsid w:val="002E6A9F"/>
    <w:rPr>
      <w:i/>
      <w:iCs/>
      <w:color w:val="0F4761" w:themeColor="accent1" w:themeShade="BF"/>
    </w:rPr>
  </w:style>
  <w:style w:type="paragraph" w:styleId="Citadestacada">
    <w:name w:val="Intense Quote"/>
    <w:basedOn w:val="Normal"/>
    <w:next w:val="Normal"/>
    <w:link w:val="CitadestacadaCar"/>
    <w:uiPriority w:val="30"/>
    <w:qFormat/>
    <w:rsid w:val="002E6A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E6A9F"/>
    <w:rPr>
      <w:i/>
      <w:iCs/>
      <w:color w:val="0F4761" w:themeColor="accent1" w:themeShade="BF"/>
    </w:rPr>
  </w:style>
  <w:style w:type="character" w:styleId="Referenciaintensa">
    <w:name w:val="Intense Reference"/>
    <w:basedOn w:val="Fuentedeprrafopredeter"/>
    <w:uiPriority w:val="32"/>
    <w:qFormat/>
    <w:rsid w:val="002E6A9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699</Words>
  <Characters>3969</Characters>
  <Application>Microsoft Office Word</Application>
  <DocSecurity>0</DocSecurity>
  <Lines>76</Lines>
  <Paragraphs>44</Paragraphs>
  <ScaleCrop>false</ScaleCrop>
  <Company/>
  <LinksUpToDate>false</LinksUpToDate>
  <CharactersWithSpaces>4624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Xavier Pallares Campillejo</dc:creator>
  <cp:keywords/>
  <dc:description/>
  <cp:lastModifiedBy>Xavier Pallares Campillejo</cp:lastModifiedBy>
  <cp:revision>3</cp:revision>
  <dcterms:created xsi:type="dcterms:W3CDTF">2026-04-12T01:05:00Z</dcterms:created>
  <dcterms:modified xsi:type="dcterms:W3CDTF">2026-04-12T01:08:00Z</dcterms:modified>
</cp:coreProperties>
</file>