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项目运行摘要</w:t>
      </w:r>
    </w:p>
    <w:p>
      <w:pPr>
        <w:pStyle w:val="Heading2"/>
      </w:pPr>
      <w:r>
        <w:rPr>
          <w:sz w:val="24"/>
        </w:rP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河源市紫金县(虚构)水土保持方案合成样本-矿区弃渣场高风险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项目代码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SAMPLE-HIGH-RISK-DISPOSAL-01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行业分类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方案类型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报告书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规则集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v2026_gd_package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pre_submission</w:t>
            </w:r>
          </w:p>
        </w:tc>
      </w:tr>
    </w:tbl>
    <w:p>
      <w:pPr>
        <w:pStyle w:val="Heading2"/>
      </w:pPr>
      <w:r>
        <w:rPr>
          <w:sz w:val="24"/>
        </w:rPr>
        <w:t>运行结果概览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Snapshot 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snap_9f05f7759731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事实字段数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派生字段数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Live Calculators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触发义务数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未触发义务数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所需制品数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所需保障数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</w:tbl>
    <w:p>
      <w:pPr>
        <w:pStyle w:val="Heading2"/>
      </w:pPr>
      <w:r>
        <w:rPr>
          <w:sz w:val="24"/>
        </w:rPr>
        <w:t>冻结快照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Content Hash (SHA256)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e8e9c37db9313abde1f7f6894d9cab8b6a48e114faef7fa9db3b078f6ed9839a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Fact Snapshot Hash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5a327bfdf0548f7a6197dbbdf66632a9335dffcebf358e0a8ae6b6334d634a69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冻结时间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2026-04-12T06:53:42.044824+00:00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Artifact Manifest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9 items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Calculator Manifest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cal.compensation.fee, cal.target.weighted_comprehensive, cal.disposal_site.level_assessment</w:t>
            </w:r>
          </w:p>
        </w:tc>
      </w:tr>
    </w:tbl>
    <w:p>
      <w:pPr>
        <w:pStyle w:val="Heading2"/>
      </w:pPr>
      <w:r>
        <w:rPr>
          <w:sz w:val="24"/>
        </w:rPr>
        <w:t>Calculator 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Calculator ID</w:t>
            </w:r>
          </w:p>
        </w:tc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输出字段</w:t>
            </w:r>
          </w:p>
        </w:tc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cal.compensation.fee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field.derived.investment.compensation_fee_amount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18"/>
              </w:rPr>
              <w:t>27.0 万元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cal.target.weighted_comprehensive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field.derived.target.weighted_comprehensive_target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18"/>
              </w:rPr>
              <w:t>(dict)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cal.disposal_site.level_assessment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field.derived.disposal_site.level_assessment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18"/>
              </w:rPr>
              <w:t>(list)</w:t>
            </w:r>
          </w:p>
        </w:tc>
      </w:tr>
    </w:tbl>
    <w:p>
      <w:r>
        <w:rPr>
          <w:i/>
          <w:color w:val="666666"/>
          <w:sz w:val="16"/>
        </w:rPr>
        <w:t>Generated by CPSWC v0 Runtime Service | 2026-04-12T06:53:42.044455+00:00</w:t>
      </w:r>
    </w:p>
    <w:p>
      <w:r>
        <w:br w:type="page"/>
      </w:r>
    </w:p>
    <w:p>
      <w:pPr>
        <w:pStyle w:val="Heading1"/>
      </w:pPr>
      <w:r>
        <w:rPr>
          <w:sz w:val="28"/>
        </w:rPr>
        <w:t>附表 AT-02 水土流失防治指标计算表</w:t>
      </w:r>
    </w:p>
    <w:p>
      <w:pPr>
        <w:pStyle w:val="Heading2"/>
      </w:pPr>
      <w:r>
        <w:rPr>
          <w:sz w:val="24"/>
        </w:rPr>
        <w:t>加权综合防治指标值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防治指标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加权目标值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水土流失治理度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土壤流失控制比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0.9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渣土防护率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表土保护率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林草植被恢复率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林草覆盖率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</w:tbl>
    <w:p>
      <w:r>
        <w:rPr>
          <w:i/>
          <w:color w:val="666666"/>
          <w:sz w:val="16"/>
        </w:rPr>
        <w:t>数据来源: cal.target.weighted_comprehensive | 依据: GB/T 50434-2018 表 4.0.2-5 南方红壤区 | 方法: 按防治分区面积加权</w:t>
      </w:r>
    </w:p>
    <w:p>
      <w:r>
        <w:br w:type="page"/>
      </w:r>
    </w:p>
    <w:p>
      <w:pPr>
        <w:pStyle w:val="Heading1"/>
      </w:pPr>
      <w:r>
        <w:rPr>
          <w:sz w:val="28"/>
        </w:rPr>
        <w:t>水土保持补偿费计算表</w:t>
      </w:r>
    </w:p>
    <w:p>
      <w:pPr>
        <w:pStyle w:val="Heading2"/>
      </w:pPr>
      <w:r>
        <w:rPr>
          <w:sz w:val="24"/>
        </w:rPr>
        <w:t>计算参数与结果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计算器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cal.compensation.fee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计算公式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(永久占地 + 临时占地) x 10000 x 费率 / 10000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field.derived.investment.compensation_fee_amount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应缴补偿费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27.0 万元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费率依据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粤发改价格〔2021〕231 号 (0.6 元/m2, 广东口径含临时)</w:t>
            </w:r>
          </w:p>
        </w:tc>
      </w:tr>
    </w:tbl>
    <w:p>
      <w:r>
        <w:rPr>
          <w:i/>
          <w:color w:val="666666"/>
          <w:sz w:val="16"/>
        </w:rPr>
        <w:t>数据来源: cal.compensation.fee | 费率依据: 粤发改价格〔2021〕231 号 | 计征范围: 永久占地 + 临时占地 (广东口径)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