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sz w:val="36"/>
        </w:rPr>
        <w:t>惠州市大亚湾澳头湾畔花园住宅小区项目(合成样本)</w:t>
      </w:r>
    </w:p>
    <w:p/>
    <w:p>
      <w:pPr>
        <w:jc w:val="center"/>
      </w:pPr>
      <w:r>
        <w:rPr>
          <w:b/>
          <w:sz w:val="32"/>
        </w:rPr>
        <w:t>水土保持方案报告书</w:t>
      </w:r>
    </w:p>
    <w:p/>
    <w:p>
      <w:pPr>
        <w:jc w:val="center"/>
      </w:pPr>
      <w:r>
        <w:rPr>
          <w:color w:val="999999"/>
          <w:sz w:val="20"/>
        </w:rPr>
        <w:t>（骨架版 v0 · v2026_gd_package · 2026-04-12）</w:t>
      </w:r>
    </w:p>
    <w:p>
      <w:r>
        <w:br w:type="page"/>
      </w:r>
    </w:p>
    <w:p>
      <w:pPr>
        <w:pStyle w:val="Heading1"/>
      </w:pPr>
      <w:r>
        <w:rPr>
          <w:sz w:val="28"/>
        </w:rPr>
        <w:t>1 综合说明</w:t>
      </w:r>
    </w:p>
    <w:p>
      <w:pPr>
        <w:pStyle w:val="Heading2"/>
      </w:pPr>
      <w:r>
        <w:rPr>
          <w:sz w:val="24"/>
        </w:rPr>
        <w:t>1.1 项目基本情况</w:t>
      </w:r>
    </w:p>
    <w:p>
      <w:r>
        <w:rPr>
          <w:sz w:val="20"/>
        </w:rPr>
        <w:t>惠州市大亚湾澳头湾畔花园住宅小区项目(合成样本)（项目代码：2610-441322-04-01-SAMPLE01）为新建项目，属29类行业，位于广东省惠州市。项目总投资95000 万元，其中土建投资62000 万元。</w:t>
      </w:r>
    </w:p>
    <w:p>
      <w:r>
        <w:rPr>
          <w:color w:val="AAAAAA"/>
          <w:sz w:val="14"/>
        </w:rPr>
        <w:t>[trace: field.fact.project.name, field.fact.project.code, field.fact.project.industry_category, field.fact.project.nature, field.fact.investment.total_investment...]</w:t>
      </w:r>
    </w:p>
    <w:p>
      <w:r>
        <w:rPr>
          <w:sz w:val="20"/>
        </w:rPr>
        <w:t>施工期为2026-09至2028-06。项目总占地面积9.5 hm²，其中永久占地8.2 hm²，临时占地1.3 hm²。</w:t>
      </w:r>
    </w:p>
    <w:p>
      <w:r>
        <w:rPr>
          <w:color w:val="AAAAAA"/>
          <w:sz w:val="14"/>
        </w:rPr>
        <w:t>[trace: field.fact.schedule.start_time, field.fact.schedule.end_time, field.fact.land.total_area, field.fact.land.permanent_area, field.fact.land.temporary_area]</w:t>
      </w:r>
    </w:p>
    <w:p>
      <w:pPr>
        <w:pStyle w:val="Heading2"/>
      </w:pPr>
      <w:r>
        <w:rPr>
          <w:sz w:val="24"/>
        </w:rPr>
        <w:t>1.2 水土保持工程特性表</w:t>
      </w:r>
    </w:p>
    <w:p>
      <w:r>
        <w:rPr>
          <w:color w:val="666666"/>
          <w:sz w:val="18"/>
        </w:rPr>
        <w:t>(特性表见附表)</w:t>
      </w:r>
    </w:p>
    <w:p>
      <w:pPr>
        <w:pStyle w:val="Heading1"/>
      </w:pPr>
      <w:r>
        <w:rPr>
          <w:sz w:val="28"/>
        </w:rPr>
        <w:t>2 项目概况</w:t>
      </w:r>
    </w:p>
    <w:p>
      <w:pPr>
        <w:pStyle w:val="Heading2"/>
      </w:pPr>
      <w:r>
        <w:rPr>
          <w:sz w:val="24"/>
        </w:rPr>
        <w:t>2.1 占地面积</w:t>
      </w:r>
    </w:p>
    <w:p>
      <w:r>
        <w:rPr>
          <w:color w:val="666666"/>
          <w:sz w:val="18"/>
        </w:rPr>
        <w:t>（永久占地、临时占地、分县占地情况）</w:t>
      </w:r>
    </w:p>
    <w:p>
      <w:pPr>
        <w:pStyle w:val="Heading2"/>
      </w:pPr>
      <w:r>
        <w:rPr>
          <w:sz w:val="24"/>
        </w:rPr>
        <w:t>2.2 土石方平衡</w:t>
      </w:r>
    </w:p>
    <w:p>
      <w:r>
        <w:rPr>
          <w:color w:val="666666"/>
          <w:sz w:val="18"/>
        </w:rPr>
        <w:t>（挖方、填方、借方、弃渣、综合利用情况）</w:t>
      </w:r>
    </w:p>
    <w:p>
      <w:pPr>
        <w:pStyle w:val="Heading2"/>
      </w:pPr>
      <w:r>
        <w:rPr>
          <w:sz w:val="24"/>
        </w:rPr>
        <w:t>2.3 施工进度</w:t>
      </w:r>
    </w:p>
    <w:p>
      <w:r>
        <w:rPr>
          <w:color w:val="666666"/>
          <w:sz w:val="18"/>
        </w:rPr>
        <w:t>（施工进度安排、双线横道图）</w:t>
      </w:r>
    </w:p>
    <w:p>
      <w:pPr>
        <w:pStyle w:val="Heading2"/>
      </w:pPr>
      <w:r>
        <w:rPr>
          <w:sz w:val="24"/>
        </w:rPr>
        <w:t>2.4 敏感区域</w:t>
      </w:r>
    </w:p>
    <w:p>
      <w:r>
        <w:rPr>
          <w:color w:val="666666"/>
          <w:sz w:val="18"/>
        </w:rPr>
        <w:t>（项目涉及的水土保持敏感区域及不可避让论证）</w:t>
      </w:r>
    </w:p>
    <w:p>
      <w:pPr>
        <w:pStyle w:val="Heading2"/>
      </w:pPr>
      <w:r>
        <w:rPr>
          <w:sz w:val="24"/>
        </w:rPr>
        <w:t>2.5 气候与自然概况</w:t>
      </w:r>
    </w:p>
    <w:p>
      <w:r>
        <w:rPr>
          <w:color w:val="666666"/>
          <w:sz w:val="18"/>
        </w:rPr>
        <w:t>（气候类型、降雨、气温、水文、土壤、植被等）</w:t>
      </w:r>
    </w:p>
    <w:p>
      <w:pPr>
        <w:pStyle w:val="Heading2"/>
      </w:pPr>
      <w:r>
        <w:rPr>
          <w:sz w:val="24"/>
        </w:rPr>
        <w:t>2.6 水土保持区划</w:t>
      </w:r>
    </w:p>
    <w:p>
      <w:r>
        <w:rPr>
          <w:color w:val="666666"/>
          <w:sz w:val="18"/>
        </w:rPr>
        <w:t>（所属水土保持区划、防治标准等级）</w:t>
      </w:r>
    </w:p>
    <w:p>
      <w:pPr>
        <w:pStyle w:val="Heading1"/>
      </w:pPr>
      <w:r>
        <w:rPr>
          <w:sz w:val="28"/>
        </w:rPr>
        <w:t>3 项目水土保持评价</w:t>
      </w:r>
    </w:p>
    <w:p>
      <w:pPr>
        <w:pStyle w:val="Heading2"/>
      </w:pPr>
      <w:r>
        <w:rPr>
          <w:sz w:val="24"/>
        </w:rPr>
        <w:t>3.1 选址选线水土保持评价</w:t>
      </w:r>
    </w:p>
    <w:p>
      <w:r>
        <w:rPr>
          <w:color w:val="666666"/>
          <w:sz w:val="18"/>
        </w:rPr>
        <w:t>（建设方案的水土保持合理性分析）</w:t>
      </w:r>
    </w:p>
    <w:p>
      <w:pPr>
        <w:pStyle w:val="Heading2"/>
      </w:pPr>
      <w:r>
        <w:rPr>
          <w:sz w:val="24"/>
        </w:rPr>
        <w:t>3.2 土石方平衡评价</w:t>
      </w:r>
    </w:p>
    <w:p>
      <w:r>
        <w:rPr>
          <w:color w:val="666666"/>
          <w:sz w:val="18"/>
        </w:rPr>
        <w:t>（挖填平衡、借弃方流向、利用率分析）</w:t>
      </w:r>
    </w:p>
    <w:p>
      <w:pPr>
        <w:pStyle w:val="Heading1"/>
      </w:pPr>
      <w:r>
        <w:rPr>
          <w:sz w:val="28"/>
        </w:rPr>
        <w:t>4 表土资源保护与利用</w:t>
      </w:r>
    </w:p>
    <w:p>
      <w:pPr>
        <w:pStyle w:val="Heading2"/>
      </w:pPr>
      <w:r>
        <w:rPr>
          <w:sz w:val="24"/>
        </w:rPr>
        <w:t>4.1 表土剥离</w:t>
      </w:r>
    </w:p>
    <w:p>
      <w:r>
        <w:rPr>
          <w:color w:val="666666"/>
          <w:sz w:val="18"/>
        </w:rPr>
        <w:t>（可剥离表土面积、体积、剥离方案）</w:t>
      </w:r>
    </w:p>
    <w:p>
      <w:pPr>
        <w:pStyle w:val="Heading2"/>
      </w:pPr>
      <w:r>
        <w:rPr>
          <w:sz w:val="24"/>
        </w:rPr>
        <w:t>4.2 表土平衡</w:t>
      </w:r>
    </w:p>
    <w:p>
      <w:r>
        <w:rPr>
          <w:color w:val="666666"/>
          <w:sz w:val="18"/>
        </w:rPr>
        <w:t>（表土堆存、回覆、综合利用平衡情况）</w:t>
      </w:r>
    </w:p>
    <w:p>
      <w:pPr>
        <w:pStyle w:val="Heading1"/>
      </w:pPr>
      <w:r>
        <w:rPr>
          <w:sz w:val="28"/>
        </w:rPr>
        <w:t>5 弃渣与临时堆土场处置</w:t>
      </w:r>
    </w:p>
    <w:p>
      <w:pPr>
        <w:pStyle w:val="Heading2"/>
      </w:pPr>
      <w:r>
        <w:rPr>
          <w:sz w:val="24"/>
        </w:rPr>
        <w:t>5.1 弃渣来源与流向</w:t>
      </w:r>
    </w:p>
    <w:p>
      <w:r>
        <w:rPr>
          <w:sz w:val="20"/>
        </w:rPr>
        <w:t>本项目弃渣总量为3.5 万m³，其中综合利用2.0 万m³。弃渣全部通过综合利用消纳，不设置永久弃渣场。</w:t>
      </w:r>
    </w:p>
    <w:p>
      <w:r>
        <w:rPr>
          <w:color w:val="AAAAAA"/>
          <w:sz w:val="14"/>
        </w:rPr>
        <w:t>[trace: field.fact.earthwork.spoil, field.fact.earthwork.comprehensive_reuse]</w:t>
      </w:r>
    </w:p>
    <w:p>
      <w:r>
        <w:rPr>
          <w:sz w:val="20"/>
        </w:rPr>
        <w:t>项目施工期间设有2处临时堆土场/中转场（TS01、TS02），用于表土或渣土临时堆存与周转，施工完毕后恢复原状。临时堆土场不属于 GB 51018 弃渣场分级范畴。</w:t>
      </w:r>
    </w:p>
    <w:p>
      <w:r>
        <w:rPr>
          <w:color w:val="AAAAAA"/>
          <w:sz w:val="14"/>
        </w:rPr>
        <w:t>[trace: field.fact.construction.temp_topsoil_site]</w:t>
      </w:r>
    </w:p>
    <w:p>
      <w:pPr>
        <w:pStyle w:val="Heading2"/>
      </w:pPr>
      <w:r>
        <w:rPr>
          <w:sz w:val="24"/>
        </w:rPr>
        <w:t>5.2 弃渣场（或临时堆土场）选址与堆置论证</w:t>
      </w:r>
    </w:p>
    <w:p>
      <w:r>
        <w:rPr>
          <w:sz w:val="20"/>
        </w:rPr>
        <w:t>本项目不设置永久弃渣场，弃渣全部通过综合利用消纳。因此不涉及弃渣场选址论证和 GB 51018 弃渣场级别评定。临时堆土场的安排已在 5.1 节说明。</w:t>
      </w:r>
    </w:p>
    <w:p>
      <w:r>
        <w:rPr>
          <w:color w:val="AAAAAA"/>
          <w:sz w:val="14"/>
        </w:rPr>
        <w:t>[trace: field.fact.earthwork.spoil, field.fact.earthwork.comprehensive_reuse]</w:t>
      </w:r>
    </w:p>
    <w:p>
      <w:pPr>
        <w:pStyle w:val="Heading1"/>
      </w:pPr>
      <w:r>
        <w:rPr>
          <w:sz w:val="28"/>
        </w:rPr>
        <w:t>6 水土流失分析与预测</w:t>
      </w:r>
    </w:p>
    <w:p>
      <w:pPr>
        <w:pStyle w:val="Heading2"/>
      </w:pPr>
      <w:r>
        <w:rPr>
          <w:sz w:val="24"/>
        </w:rPr>
        <w:t>6.1 水土流失现状</w:t>
      </w:r>
    </w:p>
    <w:p>
      <w:r>
        <w:rPr>
          <w:color w:val="666666"/>
          <w:sz w:val="18"/>
        </w:rPr>
        <w:t>（项目区水土流失现状调查与分析）</w:t>
      </w:r>
    </w:p>
    <w:p>
      <w:pPr>
        <w:pStyle w:val="Heading2"/>
      </w:pPr>
      <w:r>
        <w:rPr>
          <w:sz w:val="24"/>
        </w:rPr>
        <w:t>6.2 水土流失预测</w:t>
      </w:r>
    </w:p>
    <w:p>
      <w:r>
        <w:rPr>
          <w:color w:val="666666"/>
          <w:sz w:val="18"/>
        </w:rPr>
        <w:t>（施工期和自然恢复期水土流失预测结果）</w:t>
      </w:r>
    </w:p>
    <w:p>
      <w:pPr>
        <w:pStyle w:val="Heading1"/>
      </w:pPr>
      <w:r>
        <w:rPr>
          <w:sz w:val="28"/>
        </w:rPr>
        <w:t>7 水土流失防治</w:t>
      </w:r>
    </w:p>
    <w:p>
      <w:pPr>
        <w:pStyle w:val="Heading2"/>
      </w:pPr>
      <w:r>
        <w:rPr>
          <w:sz w:val="24"/>
        </w:rPr>
        <w:t>7.1 防治责任范围</w:t>
      </w:r>
    </w:p>
    <w:p>
      <w:r>
        <w:rPr>
          <w:color w:val="666666"/>
          <w:sz w:val="18"/>
        </w:rPr>
        <w:t>（防治责任范围面积及划分依据）</w:t>
      </w:r>
    </w:p>
    <w:p>
      <w:pPr>
        <w:pStyle w:val="Heading2"/>
      </w:pPr>
      <w:r>
        <w:rPr>
          <w:sz w:val="24"/>
        </w:rPr>
        <w:t>7.1.1 分县级行政区防治责任范围</w:t>
      </w:r>
    </w:p>
    <w:p>
      <w:r>
        <w:rPr>
          <w:color w:val="666666"/>
          <w:sz w:val="18"/>
        </w:rPr>
        <w:t>（跨行政区项目需按县级行政区分别列出防治责任范围面积）</w:t>
      </w:r>
    </w:p>
    <w:p>
      <w:pPr>
        <w:pStyle w:val="Heading2"/>
      </w:pPr>
      <w:r>
        <w:rPr>
          <w:sz w:val="24"/>
        </w:rPr>
        <w:t>7.2 防治目标</w:t>
      </w:r>
    </w:p>
    <w:p>
      <w:r>
        <w:rPr>
          <w:color w:val="666666"/>
          <w:sz w:val="18"/>
        </w:rPr>
        <w:t>（六项防治指标目标值）</w:t>
      </w:r>
    </w:p>
    <w:p>
      <w:r>
        <w:br w:type="page"/>
      </w:r>
    </w:p>
    <w:p>
      <w:pPr>
        <w:pStyle w:val="Heading1"/>
      </w:pPr>
      <w:r>
        <w:rPr>
          <w:sz w:val="28"/>
        </w:rPr>
        <w:t>附表 AT-02 水土流失防治指标计算表</w:t>
      </w:r>
    </w:p>
    <w:p>
      <w:pPr>
        <w:pStyle w:val="Heading2"/>
      </w:pPr>
      <w:r>
        <w:rPr>
          <w:sz w:val="24"/>
        </w:rPr>
        <w:t>加权综合防治指标值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防治指标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加权目标值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水土流失治理度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97.49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土壤流失控制比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渣土防护率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96.66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表土保护率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91.16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林草植被恢复率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97.83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林草覆盖率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24.49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</w:tbl>
    <w:p>
      <w:r>
        <w:rPr>
          <w:i/>
          <w:color w:val="666666"/>
          <w:sz w:val="16"/>
        </w:rPr>
        <w:t>数据来源: cal.target.weighted_comprehensive | 依据: GB/T 50434-2018 表 4.0.2-5 南方红壤区 | 方法: 按防治分区面积加权</w:t>
      </w:r>
    </w:p>
    <w:p>
      <w:pPr>
        <w:pStyle w:val="Heading2"/>
      </w:pPr>
      <w:r>
        <w:rPr>
          <w:sz w:val="24"/>
        </w:rPr>
        <w:t>7.3 设计水平年</w:t>
      </w:r>
    </w:p>
    <w:p>
      <w:r>
        <w:rPr>
          <w:color w:val="666666"/>
          <w:sz w:val="18"/>
        </w:rPr>
        <w:t>（设计水平年的确定依据与结论）</w:t>
      </w:r>
    </w:p>
    <w:p>
      <w:pPr>
        <w:pStyle w:val="Heading2"/>
      </w:pPr>
      <w:r>
        <w:rPr>
          <w:sz w:val="24"/>
        </w:rPr>
        <w:t>7.4 效益分析</w:t>
      </w:r>
    </w:p>
    <w:p>
      <w:r>
        <w:rPr>
          <w:color w:val="666666"/>
          <w:sz w:val="18"/>
        </w:rPr>
        <w:t>（水土保持措施的生态、社会、经济效益分析）</w:t>
      </w:r>
    </w:p>
    <w:p>
      <w:pPr>
        <w:pStyle w:val="Heading2"/>
      </w:pPr>
      <w:r>
        <w:rPr>
          <w:sz w:val="24"/>
        </w:rPr>
        <w:t>7.5 施工组织与进度安排</w:t>
      </w:r>
    </w:p>
    <w:p>
      <w:r>
        <w:rPr>
          <w:color w:val="666666"/>
          <w:sz w:val="18"/>
        </w:rPr>
        <w:t>（水土保持措施施工进度安排、双线横道图）</w:t>
      </w:r>
    </w:p>
    <w:p>
      <w:pPr>
        <w:pStyle w:val="Heading1"/>
      </w:pPr>
      <w:r>
        <w:rPr>
          <w:sz w:val="28"/>
        </w:rPr>
        <w:t>8 水土保持监测</w:t>
      </w:r>
    </w:p>
    <w:p>
      <w:pPr>
        <w:pStyle w:val="Heading2"/>
      </w:pPr>
      <w:r>
        <w:rPr>
          <w:sz w:val="24"/>
        </w:rPr>
        <w:t>8.1 监测范围与时段</w:t>
      </w:r>
    </w:p>
    <w:p>
      <w:r>
        <w:rPr>
          <w:color w:val="666666"/>
          <w:sz w:val="18"/>
        </w:rPr>
        <w:t>（监测范围、监测时段划分）</w:t>
      </w:r>
    </w:p>
    <w:p>
      <w:pPr>
        <w:pStyle w:val="Heading2"/>
      </w:pPr>
      <w:r>
        <w:rPr>
          <w:sz w:val="24"/>
        </w:rPr>
        <w:t>8.2 监测内容、方法与频次</w:t>
      </w:r>
    </w:p>
    <w:p>
      <w:r>
        <w:rPr>
          <w:color w:val="666666"/>
          <w:sz w:val="18"/>
        </w:rPr>
        <w:t>（各防治分区的监测内容、方法和频次）</w:t>
      </w:r>
    </w:p>
    <w:p>
      <w:pPr>
        <w:pStyle w:val="Heading2"/>
      </w:pPr>
      <w:r>
        <w:rPr>
          <w:sz w:val="24"/>
        </w:rPr>
        <w:t>8.3 监测点布设</w:t>
      </w:r>
    </w:p>
    <w:p>
      <w:r>
        <w:rPr>
          <w:color w:val="666666"/>
          <w:sz w:val="18"/>
        </w:rPr>
        <w:t>（监测点位置、数量及布设依据）</w:t>
      </w:r>
    </w:p>
    <w:p>
      <w:pPr>
        <w:pStyle w:val="Heading1"/>
      </w:pPr>
      <w:r>
        <w:rPr>
          <w:sz w:val="28"/>
        </w:rPr>
        <w:t>9 水土保持投资及效益分析</w:t>
      </w:r>
    </w:p>
    <w:p>
      <w:pPr>
        <w:pStyle w:val="Heading2"/>
      </w:pPr>
      <w:r>
        <w:rPr>
          <w:sz w:val="24"/>
        </w:rPr>
        <w:t>9.1 投资估算汇总</w:t>
      </w:r>
    </w:p>
    <w:p>
      <w:r>
        <w:rPr>
          <w:color w:val="666666"/>
          <w:sz w:val="18"/>
        </w:rPr>
        <w:t>（水土保持工程投资估算汇总表）</w:t>
      </w:r>
    </w:p>
    <w:p>
      <w:pPr>
        <w:pStyle w:val="Heading2"/>
      </w:pPr>
      <w:r>
        <w:rPr>
          <w:sz w:val="24"/>
        </w:rPr>
        <w:t>9.2 水土保持补偿费</w:t>
      </w:r>
    </w:p>
    <w:p>
      <w:r>
        <w:rPr>
          <w:color w:val="666666"/>
          <w:sz w:val="18"/>
        </w:rPr>
        <w:t>（水土保持补偿费计算）</w:t>
      </w:r>
    </w:p>
    <w:p>
      <w:r>
        <w:br w:type="page"/>
      </w:r>
    </w:p>
    <w:p>
      <w:pPr>
        <w:pStyle w:val="Heading1"/>
      </w:pPr>
      <w:r>
        <w:rPr>
          <w:sz w:val="28"/>
        </w:rPr>
        <w:t>水土保持补偿费计算表</w:t>
      </w:r>
    </w:p>
    <w:p>
      <w:pPr>
        <w:pStyle w:val="Heading2"/>
      </w:pPr>
      <w:r>
        <w:rPr>
          <w:sz w:val="24"/>
        </w:rPr>
        <w:t>计算参数与结果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cal.compensation.fee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计算公式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(永久占地 + 临时占地) x 10000 x 费率 / 10000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field.derived.investment.compensation_fee_amount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应缴补偿费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5.7 万元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费率依据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粤发改价格〔2021〕231 号 (0.6 元/m2, 广东口径含临时)</w:t>
            </w:r>
          </w:p>
        </w:tc>
      </w:tr>
    </w:tbl>
    <w:p>
      <w:r>
        <w:rPr>
          <w:i/>
          <w:color w:val="666666"/>
          <w:sz w:val="16"/>
        </w:rPr>
        <w:t>数据来源: cal.compensation.fee | 费率依据: 粤发改价格〔2021〕231 号 | 计征范围: 永久占地 + 临时占地 (广东口径)</w:t>
      </w:r>
    </w:p>
    <w:p>
      <w:pPr>
        <w:pStyle w:val="Heading1"/>
      </w:pPr>
      <w:r>
        <w:rPr>
          <w:sz w:val="28"/>
        </w:rPr>
        <w:t>10 水土保持管理</w:t>
      </w:r>
    </w:p>
    <w:p>
      <w:r>
        <w:rPr>
          <w:color w:val="666666"/>
          <w:sz w:val="18"/>
        </w:rPr>
        <w:t>（水土保持管理制度、组织机构、管理措施）</w:t>
      </w:r>
    </w:p>
    <w:p>
      <w:pPr>
        <w:pStyle w:val="Heading1"/>
      </w:pPr>
      <w:r>
        <w:rPr>
          <w:sz w:val="28"/>
        </w:rPr>
        <w:t>11 结论</w:t>
      </w:r>
    </w:p>
    <w:p>
      <w:r>
        <w:rPr>
          <w:color w:val="666666"/>
          <w:sz w:val="18"/>
        </w:rPr>
        <w:t>（水土保持方案综合结论）</w:t>
      </w:r>
    </w:p>
    <w:p>
      <w:r>
        <w:br w:type="page"/>
      </w:r>
    </w:p>
    <w:p>
      <w:pPr>
        <w:pStyle w:val="Heading1"/>
      </w:pPr>
      <w:r>
        <w:rPr>
          <w:sz w:val="28"/>
        </w:rPr>
        <w:t>附表</w:t>
      </w:r>
    </w:p>
    <w:p>
      <w:r>
        <w:rPr>
          <w:i/>
          <w:color w:val="666666"/>
          <w:sz w:val="16"/>
        </w:rPr>
        <w:t>本骨架版仅包含 AT-02 加权综合防治指标计算表 和 补偿费计算表 (嵌入正文对应章节)。其余附表 (AT-01 特性表, AT-03 投资附件等) 将在后续版本中补齐。</w:t>
      </w:r>
    </w:p>
    <w:p>
      <w:r>
        <w:rPr>
          <w:i/>
          <w:color w:val="666666"/>
          <w:sz w:val="16"/>
        </w:rPr>
        <w:t>Snapshot: snap_e45121d023f5 | Version: 626c96537aac1299...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