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80" w:line="324" w:lineRule="auto"/>
        <w:jc w:val="center"/>
      </w:pPr>
      <w:r>
        <w:rPr>
          <w:rFonts w:ascii="Aptos" w:hAnsi="Aptos" w:eastAsia="Microsoft YaHei" w:cs="Aptos"/>
          <w:b/>
          <w:color w:val="145C7D"/>
          <w:sz w:val="40"/>
        </w:rPr>
        <w:t>生产建设项目</w:t>
      </w:r>
    </w:p>
    <w:p>
      <w:pPr>
        <w:spacing w:before="0" w:after="200" w:line="264" w:lineRule="auto"/>
        <w:jc w:val="center"/>
      </w:pPr>
      <w:r>
        <w:rPr>
          <w:rFonts w:ascii="Aptos" w:hAnsi="Aptos" w:eastAsia="Microsoft YaHei" w:cs="Aptos"/>
          <w:b/>
          <w:color w:val="145C7D"/>
          <w:sz w:val="46"/>
        </w:rPr>
        <w:t>水土保持方案智能编制与审查平台</w:t>
      </w:r>
    </w:p>
    <w:p>
      <w:pPr>
        <w:spacing w:before="0" w:after="280" w:line="324" w:lineRule="auto"/>
        <w:jc w:val="center"/>
      </w:pPr>
      <w:r>
        <w:rPr>
          <w:rFonts w:ascii="Aptos" w:hAnsi="Aptos" w:eastAsia="Microsoft YaHei" w:cs="Aptos"/>
          <w:b/>
          <w:color w:val="2E7D32"/>
          <w:sz w:val="27"/>
        </w:rPr>
        <w:t>愿景与定位白皮书（V1）</w:t>
      </w:r>
    </w:p>
    <w:tbl>
      <w:tblPr>
        <w:tblW w:type="auto" w:w="0"/>
        <w:jc w:val="center"/>
        <w:tblLayout w:type="fixed"/>
        <w:tblLook w:firstColumn="1" w:firstRow="1" w:lastColumn="0" w:lastRow="0" w:noHBand="0" w:noVBand="1" w:val="04A0"/>
      </w:tblPr>
      <w:tblGrid>
        <w:gridCol w:w="9746"/>
      </w:tblGrid>
      <w:tr>
        <w:trPr>
          <w:trHeight w:val="68"/>
        </w:trPr>
        <w:tc>
          <w:tcPr>
            <w:tcW w:type="dxa" w:w="5669"/>
            <w:shd w:fill="D8EAF1"/>
            <w:tcBorders>
              <w:top w:val="single" w:sz="0" w:color="D8EAF1"/>
              <w:bottom w:val="single" w:sz="0" w:color="D8EAF1"/>
              <w:left w:val="single" w:sz="0" w:color="D8EAF1"/>
              <w:right w:val="single" w:sz="0" w:color="D8EAF1"/>
            </w:tcBorders>
          </w:tcPr>
          <w:p>
            <w:r/>
          </w:p>
        </w:tc>
      </w:tr>
    </w:tbl>
    <w:p>
      <w:pPr>
        <w:spacing w:before="520" w:after="200" w:line="324" w:lineRule="auto"/>
        <w:jc w:val="center"/>
      </w:pPr>
      <w:r>
        <w:rPr>
          <w:rFonts w:ascii="Aptos" w:hAnsi="Aptos" w:eastAsia="Microsoft YaHei" w:cs="Aptos"/>
          <w:b/>
          <w:color w:val="222222"/>
          <w:sz w:val="23"/>
        </w:rPr>
        <w:t>项目代号：CPSWC</w:t>
      </w:r>
    </w:p>
    <w:p>
      <w:pPr>
        <w:pStyle w:val="SmallCN"/>
        <w:spacing w:before="0" w:after="400" w:line="324" w:lineRule="auto"/>
        <w:jc w:val="center"/>
      </w:pPr>
      <w:r>
        <w:rPr>
          <w:rFonts w:ascii="Aptos" w:hAnsi="Aptos" w:eastAsia="Microsoft YaHei" w:cs="Aptos"/>
          <w:color w:val="606060"/>
          <w:sz w:val="19"/>
        </w:rPr>
        <w:t>定位关键词：智能编制 · 智能审查 · 规则驱动 · 事实建模 · 合规闭环</w:t>
      </w:r>
    </w:p>
    <w:tbl>
      <w:tblPr>
        <w:tblW w:type="auto" w:w="0"/>
        <w:jc w:val="center"/>
        <w:tblLayout w:type="fixed"/>
        <w:tblLook w:firstColumn="1" w:firstRow="1" w:lastColumn="0" w:lastRow="0" w:noHBand="0" w:noVBand="1" w:val="04A0"/>
      </w:tblPr>
      <w:tblGrid>
        <w:gridCol w:w="9746"/>
      </w:tblGrid>
      <w:tr>
        <w:tc>
          <w:tcPr>
            <w:tcW w:type="dxa" w:w="8220"/>
            <w:shd w:fill="EEF6F9"/>
            <w:tcBorders>
              <w:left w:val="single" w:sz="10" w:color="B6D6E3"/>
              <w:top w:val="single" w:sz="10" w:color="B6D6E3"/>
              <w:right w:val="single" w:sz="10" w:color="B6D6E3"/>
              <w:bottom w:val="single" w:sz="10" w:color="B6D6E3"/>
            </w:tcBorders>
            <w:tcMar>
              <w:top w:w="180" w:type="dxa"/>
              <w:start w:w="180" w:type="dxa"/>
              <w:bottom w:w="180" w:type="dxa"/>
              <w:end w:w="180" w:type="dxa"/>
            </w:tcMar>
          </w:tcPr>
          <w:p>
            <w:pPr>
              <w:spacing w:before="0" w:after="0" w:line="324" w:lineRule="auto"/>
              <w:jc w:val="center"/>
            </w:pPr>
            <w:r>
              <w:rPr>
                <w:rFonts w:ascii="Aptos" w:hAnsi="Aptos" w:eastAsia="Microsoft YaHei" w:cs="Aptos"/>
                <w:b/>
                <w:color w:val="145C7D"/>
                <w:sz w:val="24"/>
              </w:rPr>
              <w:t>让生产建设项目水土保持方案的编制与审查，</w:t>
              <w:br/>
              <w:t>真正进入可计算、可验证、可追溯、可复制的数字化阶段。</w:t>
            </w:r>
          </w:p>
        </w:tc>
      </w:tr>
    </w:tbl>
    <w:tbl>
      <w:tblPr>
        <w:tblW w:type="auto" w:w="0"/>
        <w:jc w:val="center"/>
        <w:tblLayout w:type="fixed"/>
        <w:tblLook w:firstColumn="1" w:firstRow="1" w:lastColumn="0" w:lastRow="0" w:noHBand="0" w:noVBand="1" w:val="04A0"/>
      </w:tblPr>
      <w:tblGrid>
        <w:gridCol w:w="4873"/>
        <w:gridCol w:w="4873"/>
      </w:tblGrid>
      <w:tr>
        <w:tc>
          <w:tcPr>
            <w:tcW w:type="dxa" w:w="2268"/>
            <w:vAlign w:val="center"/>
            <w:tcMar>
              <w:top w:w="90" w:type="dxa"/>
              <w:start w:w="120" w:type="dxa"/>
              <w:bottom w:w="90" w:type="dxa"/>
              <w:end w:w="120" w:type="dxa"/>
            </w:tcMar>
            <w:tcBorders>
              <w:left w:val="single" w:sz="6" w:color="D9E4EA"/>
              <w:top w:val="single" w:sz="6" w:color="D9E4EA"/>
              <w:right w:val="single" w:sz="6" w:color="D9E4EA"/>
              <w:bottom w:val="single" w:sz="6" w:color="D9E4EA"/>
            </w:tcBorders>
            <w:shd w:fill="F7F7F7"/>
          </w:tcPr>
          <w:p>
            <w:pPr>
              <w:jc w:val="center"/>
            </w:pPr>
            <w:r>
              <w:rPr>
                <w:rFonts w:ascii="Aptos" w:hAnsi="Aptos" w:eastAsia="Microsoft YaHei" w:cs="Aptos"/>
                <w:b/>
                <w:color w:val="222222"/>
                <w:sz w:val="21"/>
              </w:rPr>
              <w:t>文档性质</w:t>
            </w:r>
          </w:p>
        </w:tc>
        <w:tc>
          <w:tcPr>
            <w:tcW w:type="dxa" w:w="5556"/>
            <w:vAlign w:val="center"/>
            <w:tcMar>
              <w:top w:w="90" w:type="dxa"/>
              <w:start w:w="120" w:type="dxa"/>
              <w:bottom w:w="90" w:type="dxa"/>
              <w:end w:w="120" w:type="dxa"/>
            </w:tcMar>
            <w:tcBorders>
              <w:left w:val="single" w:sz="6" w:color="D9E4EA"/>
              <w:top w:val="single" w:sz="6" w:color="D9E4EA"/>
              <w:right w:val="single" w:sz="6" w:color="D9E4EA"/>
              <w:bottom w:val="single" w:sz="6" w:color="D9E4EA"/>
            </w:tcBorders>
          </w:tcPr>
          <w:p>
            <w:r>
              <w:rPr>
                <w:rFonts w:ascii="Aptos" w:hAnsi="Aptos" w:eastAsia="Microsoft YaHei" w:cs="Aptos"/>
                <w:color w:val="222222"/>
                <w:sz w:val="21"/>
              </w:rPr>
              <w:t>项目愿景与产品定位说明</w:t>
            </w:r>
          </w:p>
        </w:tc>
      </w:tr>
      <w:tr>
        <w:tc>
          <w:tcPr>
            <w:tcW w:type="dxa" w:w="2268"/>
            <w:vAlign w:val="center"/>
            <w:tcMar>
              <w:top w:w="90" w:type="dxa"/>
              <w:start w:w="120" w:type="dxa"/>
              <w:bottom w:w="90" w:type="dxa"/>
              <w:end w:w="120" w:type="dxa"/>
            </w:tcMar>
            <w:tcBorders>
              <w:left w:val="single" w:sz="6" w:color="D9E4EA"/>
              <w:top w:val="single" w:sz="6" w:color="D9E4EA"/>
              <w:right w:val="single" w:sz="6" w:color="D9E4EA"/>
              <w:bottom w:val="single" w:sz="6" w:color="D9E4EA"/>
            </w:tcBorders>
            <w:shd w:fill="F7F7F7"/>
          </w:tcPr>
          <w:p>
            <w:pPr>
              <w:jc w:val="center"/>
            </w:pPr>
            <w:r>
              <w:rPr>
                <w:rFonts w:ascii="Aptos" w:hAnsi="Aptos" w:eastAsia="Microsoft YaHei" w:cs="Aptos"/>
                <w:b/>
                <w:color w:val="222222"/>
                <w:sz w:val="21"/>
              </w:rPr>
              <w:t>版本日期</w:t>
            </w:r>
          </w:p>
        </w:tc>
        <w:tc>
          <w:tcPr>
            <w:tcW w:type="dxa" w:w="5556"/>
            <w:vAlign w:val="center"/>
            <w:tcMar>
              <w:top w:w="90" w:type="dxa"/>
              <w:start w:w="120" w:type="dxa"/>
              <w:bottom w:w="90" w:type="dxa"/>
              <w:end w:w="120" w:type="dxa"/>
            </w:tcMar>
            <w:tcBorders>
              <w:left w:val="single" w:sz="6" w:color="D9E4EA"/>
              <w:top w:val="single" w:sz="6" w:color="D9E4EA"/>
              <w:right w:val="single" w:sz="6" w:color="D9E4EA"/>
              <w:bottom w:val="single" w:sz="6" w:color="D9E4EA"/>
            </w:tcBorders>
          </w:tcPr>
          <w:p>
            <w:r>
              <w:rPr>
                <w:rFonts w:ascii="Aptos" w:hAnsi="Aptos" w:eastAsia="Microsoft YaHei" w:cs="Aptos"/>
                <w:color w:val="222222"/>
                <w:sz w:val="21"/>
              </w:rPr>
              <w:t>V1 · 2026-04-11</w:t>
            </w:r>
          </w:p>
        </w:tc>
      </w:tr>
    </w:tbl>
    <w:p>
      <w:r>
        <w:br w:type="page"/>
      </w:r>
    </w:p>
    <w:p>
      <w:pPr>
        <w:pStyle w:val="HeadingCN1"/>
        <w:spacing w:before="0" w:after="160" w:line="324" w:lineRule="auto"/>
        <w:keepNext/>
        <w:keepLines/>
      </w:pPr>
      <w:r>
        <w:rPr>
          <w:rFonts w:ascii="Aptos" w:hAnsi="Aptos" w:eastAsia="Microsoft YaHei" w:cs="Aptos"/>
          <w:b/>
          <w:color w:val="145C7D"/>
          <w:sz w:val="34"/>
        </w:rPr>
        <w:t>一、项目愿景</w:t>
      </w:r>
    </w:p>
    <w:p>
      <w:pPr>
        <w:spacing w:before="0" w:after="200" w:line="324" w:lineRule="auto"/>
        <w:shd w:fill="DDECF2"/>
      </w:pPr>
      <w:r>
        <w:t xml:space="preserve"> </w:t>
      </w:r>
    </w:p>
    <w:p>
      <w:pPr>
        <w:pStyle w:val="BodyCN"/>
        <w:spacing w:before="40" w:after="140" w:line="348" w:lineRule="auto"/>
      </w:pPr>
      <w:r>
        <w:rPr>
          <w:rFonts w:ascii="Aptos" w:hAnsi="Aptos" w:eastAsia="Microsoft YaHei" w:cs="Aptos"/>
          <w:color w:val="222222"/>
          <w:sz w:val="21"/>
        </w:rPr>
        <w:t>“生产建设项目水土保持方案智能编制与审查平台”致力于推动水土保持方案业务，从经验驱动、样稿驱动、人工拼接驱动的传统作业方式，升级为以项目事实为基础、以法规规范为准绳、以规则引擎为核心、以工件装配为输出、以审查闭环为价值的专业智能化生产体系。</w:t>
      </w:r>
    </w:p>
    <w:p>
      <w:pPr>
        <w:pStyle w:val="BodyCN"/>
        <w:spacing w:before="0" w:after="140" w:line="348" w:lineRule="auto"/>
      </w:pPr>
      <w:r>
        <w:rPr>
          <w:rFonts w:ascii="Aptos" w:hAnsi="Aptos" w:eastAsia="Microsoft YaHei" w:cs="Aptos"/>
          <w:color w:val="222222"/>
          <w:sz w:val="21"/>
        </w:rPr>
        <w:t>平台的目标，不是简单做一个“会写报告的工具”，也不是做一个“拼接样稿的生成器”，而是建设一套能够长期服务于行业机构、专业团队和项目管理方的智能编审基础设施。</w:t>
      </w:r>
    </w:p>
    <w:tbl>
      <w:tblPr>
        <w:tblW w:type="auto" w:w="0"/>
        <w:jc w:val="center"/>
        <w:tblLayout w:type="fixed"/>
        <w:tblLook w:firstColumn="1" w:firstRow="1" w:lastColumn="0" w:lastRow="0" w:noHBand="0" w:noVBand="1" w:val="04A0"/>
      </w:tblPr>
      <w:tblGrid>
        <w:gridCol w:w="9746"/>
      </w:tblGrid>
      <w:tr>
        <w:tc>
          <w:tcPr>
            <w:tcW w:type="dxa" w:w="8844"/>
            <w:shd w:fill="F4F8F3"/>
            <w:tcBorders>
              <w:left w:val="single" w:sz="8" w:color="C8DDC7"/>
              <w:top w:val="single" w:sz="8" w:color="C8DDC7"/>
              <w:right w:val="single" w:sz="8" w:color="C8DDC7"/>
              <w:bottom w:val="single" w:sz="8" w:color="C8DDC7"/>
            </w:tcBorders>
            <w:tcMar>
              <w:top w:w="140" w:type="dxa"/>
              <w:start w:w="150" w:type="dxa"/>
              <w:bottom w:w="140" w:type="dxa"/>
              <w:end w:w="150" w:type="dxa"/>
            </w:tcMar>
          </w:tcPr>
          <w:p>
            <w:pPr>
              <w:spacing w:before="0" w:after="0" w:line="324" w:lineRule="auto"/>
              <w:jc w:val="center"/>
            </w:pPr>
            <w:r>
              <w:rPr>
                <w:rFonts w:ascii="Aptos" w:hAnsi="Aptos" w:eastAsia="Microsoft YaHei" w:cs="Aptos"/>
                <w:b/>
                <w:color w:val="2E7D32"/>
                <w:sz w:val="22"/>
              </w:rPr>
              <w:t>终局目标：让生产建设项目水土保持方案的编制与审查，走向可计算、可验证、可追溯、可复制的智能化新时代。</w:t>
            </w:r>
          </w:p>
        </w:tc>
      </w:tr>
    </w:tbl>
    <w:p>
      <w:pPr>
        <w:pStyle w:val="HeadingCN2"/>
        <w:spacing w:before="160" w:after="100" w:line="324" w:lineRule="auto"/>
        <w:keepNext/>
        <w:keepLines/>
      </w:pPr>
      <w:r>
        <w:rPr>
          <w:rFonts w:ascii="Aptos" w:hAnsi="Aptos" w:eastAsia="Microsoft YaHei" w:cs="Aptos"/>
          <w:b/>
          <w:color w:val="145C7D"/>
          <w:sz w:val="25"/>
        </w:rPr>
        <w:t>平台要完成的根本升级</w:t>
      </w:r>
    </w:p>
    <w:p>
      <w:pPr>
        <w:pStyle w:val="BodyCN"/>
        <w:spacing w:before="0" w:after="100" w:line="324" w:lineRule="auto"/>
        <w:ind w:left="340" w:hanging="255"/>
      </w:pPr>
      <w:r>
        <w:rPr>
          <w:rFonts w:ascii="Aptos" w:hAnsi="Aptos" w:eastAsia="Microsoft YaHei" w:cs="Aptos"/>
          <w:b/>
          <w:color w:val="145C7D"/>
          <w:sz w:val="21"/>
        </w:rPr>
        <w:t xml:space="preserve">• </w:t>
      </w:r>
      <w:r>
        <w:rPr>
          <w:rFonts w:ascii="Aptos" w:hAnsi="Aptos" w:eastAsia="Microsoft YaHei" w:cs="Aptos"/>
          <w:color w:val="222222"/>
          <w:sz w:val="21"/>
        </w:rPr>
        <w:t>把“靠老师傅经验完成”的工作方式，逐步沉淀为可复用、可执行、可扩展的专业系统能力。</w:t>
      </w:r>
    </w:p>
    <w:p>
      <w:pPr>
        <w:pStyle w:val="BodyCN"/>
        <w:spacing w:before="0" w:after="100" w:line="324" w:lineRule="auto"/>
        <w:ind w:left="340" w:hanging="255"/>
      </w:pPr>
      <w:r>
        <w:rPr>
          <w:rFonts w:ascii="Aptos" w:hAnsi="Aptos" w:eastAsia="Microsoft YaHei" w:cs="Aptos"/>
          <w:b/>
          <w:color w:val="145C7D"/>
          <w:sz w:val="21"/>
        </w:rPr>
        <w:t xml:space="preserve">• </w:t>
      </w:r>
      <w:r>
        <w:rPr>
          <w:rFonts w:ascii="Aptos" w:hAnsi="Aptos" w:eastAsia="Microsoft YaHei" w:cs="Aptos"/>
          <w:color w:val="222222"/>
          <w:sz w:val="21"/>
        </w:rPr>
        <w:t>把“写一份文件”的目标，升级为“构建一份有事实来源、有规则依据、有审查路径的可信成果”。</w:t>
      </w:r>
    </w:p>
    <w:p>
      <w:pPr>
        <w:pStyle w:val="BodyCN"/>
        <w:spacing w:before="0" w:after="100" w:line="324" w:lineRule="auto"/>
        <w:ind w:left="340" w:hanging="255"/>
      </w:pPr>
      <w:r>
        <w:rPr>
          <w:rFonts w:ascii="Aptos" w:hAnsi="Aptos" w:eastAsia="Microsoft YaHei" w:cs="Aptos"/>
          <w:b/>
          <w:color w:val="145C7D"/>
          <w:sz w:val="21"/>
        </w:rPr>
        <w:t xml:space="preserve">• </w:t>
      </w:r>
      <w:r>
        <w:rPr>
          <w:rFonts w:ascii="Aptos" w:hAnsi="Aptos" w:eastAsia="Microsoft YaHei" w:cs="Aptos"/>
          <w:color w:val="222222"/>
          <w:sz w:val="21"/>
        </w:rPr>
        <w:t>把“外部审查后返工”的被动流程，前置为“提交前自检、自证与风险提示”的主动流程。</w:t>
      </w:r>
    </w:p>
    <w:p>
      <w:pPr>
        <w:pStyle w:val="HeadingCN1"/>
        <w:spacing w:before="0" w:after="160" w:line="324" w:lineRule="auto"/>
        <w:keepNext/>
        <w:keepLines/>
      </w:pPr>
      <w:r>
        <w:rPr>
          <w:rFonts w:ascii="Aptos" w:hAnsi="Aptos" w:eastAsia="Microsoft YaHei" w:cs="Aptos"/>
          <w:b/>
          <w:color w:val="145C7D"/>
          <w:sz w:val="34"/>
        </w:rPr>
        <w:t>二、产品定位</w:t>
      </w:r>
    </w:p>
    <w:p>
      <w:pPr>
        <w:spacing w:before="0" w:after="200" w:line="324" w:lineRule="auto"/>
        <w:shd w:fill="DDECF2"/>
      </w:pPr>
      <w:r>
        <w:t xml:space="preserve"> </w:t>
      </w:r>
    </w:p>
    <w:p>
      <w:pPr>
        <w:pStyle w:val="BodyCN"/>
        <w:spacing w:before="40" w:after="140" w:line="348" w:lineRule="auto"/>
      </w:pPr>
      <w:r>
        <w:rPr>
          <w:rFonts w:ascii="Aptos" w:hAnsi="Aptos" w:eastAsia="Microsoft YaHei" w:cs="Aptos"/>
          <w:color w:val="222222"/>
          <w:sz w:val="21"/>
        </w:rPr>
        <w:t>平台定位为面向生产建设项目水土保持方案业务场景的专业级智能编审平台。它既不是通用写作工具，也不是简单的模板系统，而是围绕项目事实、法规规范、成果工件和审查逻辑构建的行业专用产品。</w:t>
      </w:r>
    </w:p>
    <w:tbl>
      <w:tblPr>
        <w:tblW w:type="auto" w:w="0"/>
        <w:jc w:val="center"/>
        <w:tblLayout w:type="fixed"/>
        <w:tblLook w:firstColumn="1" w:firstRow="1" w:lastColumn="0" w:lastRow="0" w:noHBand="0" w:noVBand="1" w:val="04A0"/>
      </w:tblPr>
      <w:tblGrid>
        <w:gridCol w:w="4873"/>
        <w:gridCol w:w="4873"/>
      </w:tblGrid>
      <w:tr>
        <w:tc>
          <w:tcPr>
            <w:tcW w:type="dxa" w:w="4252"/>
            <w:vAlign w:val="center"/>
            <w:tcMar>
              <w:top w:w="130" w:type="dxa"/>
              <w:start w:w="130" w:type="dxa"/>
              <w:bottom w:w="130" w:type="dxa"/>
              <w:end w:w="130" w:type="dxa"/>
            </w:tcMar>
            <w:tcBorders>
              <w:left w:val="single" w:sz="8" w:color="D9E4EA"/>
              <w:top w:val="single" w:sz="8" w:color="D9E4EA"/>
              <w:right w:val="single" w:sz="8" w:color="D9E4EA"/>
              <w:bottom w:val="single" w:sz="8" w:color="D9E4EA"/>
            </w:tcBorders>
            <w:shd w:fill="FAFCFD"/>
          </w:tcPr>
          <w:p>
            <w:pPr>
              <w:spacing w:before="0" w:after="80" w:line="324" w:lineRule="auto"/>
            </w:pPr>
            <w:r>
              <w:rPr>
                <w:rFonts w:ascii="Aptos" w:hAnsi="Aptos" w:eastAsia="Microsoft YaHei" w:cs="Aptos"/>
                <w:b/>
                <w:color w:val="145C7D"/>
                <w:sz w:val="22"/>
              </w:rPr>
              <w:t>事实驱动</w:t>
            </w:r>
          </w:p>
          <w:p>
            <w:pPr>
              <w:spacing w:before="0" w:after="0" w:line="324" w:lineRule="auto"/>
            </w:pPr>
            <w:r>
              <w:rPr>
                <w:rFonts w:ascii="Aptos" w:hAnsi="Aptos" w:eastAsia="Microsoft YaHei" w:cs="Aptos"/>
                <w:color w:val="222222"/>
                <w:sz w:val="20"/>
              </w:rPr>
              <w:t>先建立项目事实模型，再生成章节、表格、附件、投资说明与审查提示。</w:t>
            </w:r>
          </w:p>
        </w:tc>
        <w:tc>
          <w:tcPr>
            <w:tcW w:type="dxa" w:w="4252"/>
            <w:vAlign w:val="center"/>
            <w:tcMar>
              <w:top w:w="130" w:type="dxa"/>
              <w:start w:w="130" w:type="dxa"/>
              <w:bottom w:w="130" w:type="dxa"/>
              <w:end w:w="130" w:type="dxa"/>
            </w:tcMar>
            <w:tcBorders>
              <w:left w:val="single" w:sz="8" w:color="D9E4EA"/>
              <w:top w:val="single" w:sz="8" w:color="D9E4EA"/>
              <w:right w:val="single" w:sz="8" w:color="D9E4EA"/>
              <w:bottom w:val="single" w:sz="8" w:color="D9E4EA"/>
            </w:tcBorders>
            <w:shd w:fill="FAFCFD"/>
          </w:tcPr>
          <w:p>
            <w:pPr>
              <w:spacing w:before="0" w:after="80" w:line="324" w:lineRule="auto"/>
            </w:pPr>
            <w:r>
              <w:rPr>
                <w:rFonts w:ascii="Aptos" w:hAnsi="Aptos" w:eastAsia="Microsoft YaHei" w:cs="Aptos"/>
                <w:b/>
                <w:color w:val="145C7D"/>
                <w:sz w:val="22"/>
              </w:rPr>
              <w:t>规则驱动</w:t>
            </w:r>
          </w:p>
          <w:p>
            <w:pPr>
              <w:spacing w:before="0" w:after="0" w:line="324" w:lineRule="auto"/>
            </w:pPr>
            <w:r>
              <w:rPr>
                <w:rFonts w:ascii="Aptos" w:hAnsi="Aptos" w:eastAsia="Microsoft YaHei" w:cs="Aptos"/>
                <w:color w:val="222222"/>
                <w:sz w:val="20"/>
              </w:rPr>
              <w:t>将国家标准、地方口径、模板要求和审查要点转化为可触发、可判断、可引用的规则系统。</w:t>
            </w:r>
          </w:p>
        </w:tc>
      </w:tr>
      <w:tr>
        <w:tc>
          <w:tcPr>
            <w:tcW w:type="dxa" w:w="4252"/>
            <w:vAlign w:val="center"/>
            <w:tcMar>
              <w:top w:w="130" w:type="dxa"/>
              <w:start w:w="130" w:type="dxa"/>
              <w:bottom w:w="130" w:type="dxa"/>
              <w:end w:w="130" w:type="dxa"/>
            </w:tcMar>
            <w:tcBorders>
              <w:left w:val="single" w:sz="8" w:color="D9E4EA"/>
              <w:top w:val="single" w:sz="8" w:color="D9E4EA"/>
              <w:right w:val="single" w:sz="8" w:color="D9E4EA"/>
              <w:bottom w:val="single" w:sz="8" w:color="D9E4EA"/>
            </w:tcBorders>
            <w:shd w:fill="FAFCFD"/>
          </w:tcPr>
          <w:p>
            <w:pPr>
              <w:spacing w:before="0" w:after="80" w:line="324" w:lineRule="auto"/>
            </w:pPr>
            <w:r>
              <w:rPr>
                <w:rFonts w:ascii="Aptos" w:hAnsi="Aptos" w:eastAsia="Microsoft YaHei" w:cs="Aptos"/>
                <w:b/>
                <w:color w:val="145C7D"/>
                <w:sz w:val="22"/>
              </w:rPr>
              <w:t>工件装配</w:t>
            </w:r>
          </w:p>
          <w:p>
            <w:pPr>
              <w:spacing w:before="0" w:after="0" w:line="324" w:lineRule="auto"/>
            </w:pPr>
            <w:r>
              <w:rPr>
                <w:rFonts w:ascii="Aptos" w:hAnsi="Aptos" w:eastAsia="Microsoft YaHei" w:cs="Aptos"/>
                <w:color w:val="222222"/>
                <w:sz w:val="20"/>
              </w:rPr>
              <w:t>输出的不只是正文，还包括表格、附件要求、提示语、审查要点与后续验收材料。</w:t>
            </w:r>
          </w:p>
        </w:tc>
        <w:tc>
          <w:tcPr>
            <w:tcW w:type="dxa" w:w="4252"/>
            <w:vAlign w:val="center"/>
            <w:tcMar>
              <w:top w:w="130" w:type="dxa"/>
              <w:start w:w="130" w:type="dxa"/>
              <w:bottom w:w="130" w:type="dxa"/>
              <w:end w:w="130" w:type="dxa"/>
            </w:tcMar>
            <w:tcBorders>
              <w:left w:val="single" w:sz="8" w:color="D9E4EA"/>
              <w:top w:val="single" w:sz="8" w:color="D9E4EA"/>
              <w:right w:val="single" w:sz="8" w:color="D9E4EA"/>
              <w:bottom w:val="single" w:sz="8" w:color="D9E4EA"/>
            </w:tcBorders>
            <w:shd w:fill="FAFCFD"/>
          </w:tcPr>
          <w:p>
            <w:pPr>
              <w:spacing w:before="0" w:after="80" w:line="324" w:lineRule="auto"/>
            </w:pPr>
            <w:r>
              <w:rPr>
                <w:rFonts w:ascii="Aptos" w:hAnsi="Aptos" w:eastAsia="Microsoft YaHei" w:cs="Aptos"/>
                <w:b/>
                <w:color w:val="145C7D"/>
                <w:sz w:val="22"/>
              </w:rPr>
              <w:t>审查闭环</w:t>
            </w:r>
          </w:p>
          <w:p>
            <w:pPr>
              <w:spacing w:before="0" w:after="0" w:line="324" w:lineRule="auto"/>
            </w:pPr>
            <w:r>
              <w:rPr>
                <w:rFonts w:ascii="Aptos" w:hAnsi="Aptos" w:eastAsia="Microsoft YaHei" w:cs="Aptos"/>
                <w:color w:val="222222"/>
                <w:sz w:val="20"/>
              </w:rPr>
              <w:t>在编制阶段引入审查逻辑，让问题尽量在提交前暴露并在系统内完成闭环。</w:t>
            </w:r>
          </w:p>
        </w:tc>
      </w:tr>
    </w:tbl>
    <w:p>
      <w:pPr>
        <w:pStyle w:val="HeadingCN1"/>
        <w:spacing w:before="0" w:after="160" w:line="324" w:lineRule="auto"/>
        <w:keepNext/>
        <w:keepLines/>
      </w:pPr>
      <w:r>
        <w:rPr>
          <w:rFonts w:ascii="Aptos" w:hAnsi="Aptos" w:eastAsia="Microsoft YaHei" w:cs="Aptos"/>
          <w:b/>
          <w:color w:val="145C7D"/>
          <w:sz w:val="34"/>
        </w:rPr>
        <w:t>三、平台拟解决的核心问题</w:t>
      </w:r>
    </w:p>
    <w:p>
      <w:pPr>
        <w:spacing w:before="0" w:after="200" w:line="324" w:lineRule="auto"/>
        <w:shd w:fill="DDECF2"/>
      </w:pPr>
      <w:r>
        <w:t xml:space="preserve"> </w:t>
      </w:r>
    </w:p>
    <w:p>
      <w:pPr>
        <w:pStyle w:val="BodyCN"/>
        <w:spacing w:before="40" w:after="140" w:line="348" w:lineRule="auto"/>
      </w:pPr>
      <w:r>
        <w:rPr>
          <w:rFonts w:ascii="Aptos" w:hAnsi="Aptos" w:eastAsia="Microsoft YaHei" w:cs="Aptos"/>
          <w:color w:val="222222"/>
          <w:sz w:val="21"/>
        </w:rPr>
        <w:t>平台聚焦解决行业里最难制度化、最容易返工、最依赖个人经验的几个核心问题。</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701"/>
            <w:shd w:fill="EAF3F7"/>
            <w:tcBorders>
              <w:left w:val="single" w:sz="8" w:color="C6DAE4"/>
              <w:top w:val="single" w:sz="8" w:color="C6DAE4"/>
              <w:right w:val="single" w:sz="8" w:color="C6DAE4"/>
              <w:bottom w:val="single" w:sz="8" w:color="C6DAE4"/>
            </w:tcBorders>
            <w:tcMar>
              <w:top w:w="90" w:type="dxa"/>
              <w:start w:w="90" w:type="dxa"/>
              <w:bottom w:w="90" w:type="dxa"/>
              <w:end w:w="90" w:type="dxa"/>
            </w:tcMar>
          </w:tcPr>
          <w:p>
            <w:pPr>
              <w:jc w:val="center"/>
            </w:pPr>
            <w:r>
              <w:rPr>
                <w:rFonts w:ascii="Aptos" w:hAnsi="Aptos" w:eastAsia="Microsoft YaHei" w:cs="Aptos"/>
                <w:b/>
                <w:color w:val="222222"/>
                <w:sz w:val="20"/>
              </w:rPr>
              <w:t>核心痛点</w:t>
            </w:r>
          </w:p>
        </w:tc>
        <w:tc>
          <w:tcPr>
            <w:tcW w:type="dxa" w:w="2268"/>
            <w:shd w:fill="EAF3F7"/>
            <w:tcBorders>
              <w:left w:val="single" w:sz="8" w:color="C6DAE4"/>
              <w:top w:val="single" w:sz="8" w:color="C6DAE4"/>
              <w:right w:val="single" w:sz="8" w:color="C6DAE4"/>
              <w:bottom w:val="single" w:sz="8" w:color="C6DAE4"/>
            </w:tcBorders>
            <w:tcMar>
              <w:top w:w="90" w:type="dxa"/>
              <w:start w:w="90" w:type="dxa"/>
              <w:bottom w:w="90" w:type="dxa"/>
              <w:end w:w="90" w:type="dxa"/>
            </w:tcMar>
          </w:tcPr>
          <w:p>
            <w:pPr>
              <w:jc w:val="center"/>
            </w:pPr>
            <w:r>
              <w:rPr>
                <w:rFonts w:ascii="Aptos" w:hAnsi="Aptos" w:eastAsia="Microsoft YaHei" w:cs="Aptos"/>
                <w:b/>
                <w:color w:val="222222"/>
                <w:sz w:val="20"/>
              </w:rPr>
              <w:t>传统方式</w:t>
            </w:r>
          </w:p>
        </w:tc>
        <w:tc>
          <w:tcPr>
            <w:tcW w:type="dxa" w:w="2835"/>
            <w:shd w:fill="EAF3F7"/>
            <w:tcBorders>
              <w:left w:val="single" w:sz="8" w:color="C6DAE4"/>
              <w:top w:val="single" w:sz="8" w:color="C6DAE4"/>
              <w:right w:val="single" w:sz="8" w:color="C6DAE4"/>
              <w:bottom w:val="single" w:sz="8" w:color="C6DAE4"/>
            </w:tcBorders>
            <w:tcMar>
              <w:top w:w="90" w:type="dxa"/>
              <w:start w:w="90" w:type="dxa"/>
              <w:bottom w:w="90" w:type="dxa"/>
              <w:end w:w="90" w:type="dxa"/>
            </w:tcMar>
          </w:tcPr>
          <w:p>
            <w:pPr>
              <w:jc w:val="center"/>
            </w:pPr>
            <w:r>
              <w:rPr>
                <w:rFonts w:ascii="Aptos" w:hAnsi="Aptos" w:eastAsia="Microsoft YaHei" w:cs="Aptos"/>
                <w:b/>
                <w:color w:val="222222"/>
                <w:sz w:val="20"/>
              </w:rPr>
              <w:t>平台应对</w:t>
            </w:r>
          </w:p>
        </w:tc>
        <w:tc>
          <w:tcPr>
            <w:tcW w:type="dxa" w:w="1701"/>
            <w:shd w:fill="EAF3F7"/>
            <w:tcBorders>
              <w:left w:val="single" w:sz="8" w:color="C6DAE4"/>
              <w:top w:val="single" w:sz="8" w:color="C6DAE4"/>
              <w:right w:val="single" w:sz="8" w:color="C6DAE4"/>
              <w:bottom w:val="single" w:sz="8" w:color="C6DAE4"/>
            </w:tcBorders>
            <w:tcMar>
              <w:top w:w="90" w:type="dxa"/>
              <w:start w:w="90" w:type="dxa"/>
              <w:bottom w:w="90" w:type="dxa"/>
              <w:end w:w="90" w:type="dxa"/>
            </w:tcMar>
          </w:tcPr>
          <w:p>
            <w:pPr>
              <w:jc w:val="center"/>
            </w:pPr>
            <w:r>
              <w:rPr>
                <w:rFonts w:ascii="Aptos" w:hAnsi="Aptos" w:eastAsia="Microsoft YaHei" w:cs="Aptos"/>
                <w:b/>
                <w:color w:val="222222"/>
                <w:sz w:val="20"/>
              </w:rPr>
              <w:t>可见价值</w:t>
            </w:r>
          </w:p>
        </w:tc>
      </w:tr>
      <w:tr>
        <w:tc>
          <w:tcPr>
            <w:tcW w:type="dxa" w:w="1701"/>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center"/>
            </w:pPr>
            <w:r>
              <w:rPr>
                <w:rFonts w:ascii="Aptos" w:hAnsi="Aptos" w:eastAsia="Microsoft YaHei" w:cs="Aptos"/>
                <w:color w:val="222222"/>
                <w:sz w:val="19"/>
              </w:rPr>
              <w:t>成果质量不稳定</w:t>
            </w:r>
          </w:p>
        </w:tc>
        <w:tc>
          <w:tcPr>
            <w:tcW w:type="dxa" w:w="2268"/>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left"/>
            </w:pPr>
            <w:r>
              <w:rPr>
                <w:rFonts w:ascii="Aptos" w:hAnsi="Aptos" w:eastAsia="Microsoft YaHei" w:cs="Aptos"/>
                <w:color w:val="222222"/>
                <w:sz w:val="19"/>
              </w:rPr>
              <w:t>高度依赖个人经验与旧样稿</w:t>
            </w:r>
          </w:p>
        </w:tc>
        <w:tc>
          <w:tcPr>
            <w:tcW w:type="dxa" w:w="2835"/>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left"/>
            </w:pPr>
            <w:r>
              <w:rPr>
                <w:rFonts w:ascii="Aptos" w:hAnsi="Aptos" w:eastAsia="Microsoft YaHei" w:cs="Aptos"/>
                <w:color w:val="222222"/>
                <w:sz w:val="19"/>
              </w:rPr>
              <w:t>以规则和事实模型固化高水平成果路径</w:t>
            </w:r>
          </w:p>
        </w:tc>
        <w:tc>
          <w:tcPr>
            <w:tcW w:type="dxa" w:w="1701"/>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center"/>
            </w:pPr>
            <w:r>
              <w:rPr>
                <w:rFonts w:ascii="Aptos" w:hAnsi="Aptos" w:eastAsia="Microsoft YaHei" w:cs="Aptos"/>
                <w:color w:val="222222"/>
                <w:sz w:val="19"/>
              </w:rPr>
              <w:t>降低漏项与低级错误</w:t>
            </w:r>
          </w:p>
        </w:tc>
      </w:tr>
      <w:tr>
        <w:tc>
          <w:tcPr>
            <w:tcW w:type="dxa" w:w="1701"/>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center"/>
            </w:pPr>
            <w:r>
              <w:rPr>
                <w:rFonts w:ascii="Aptos" w:hAnsi="Aptos" w:eastAsia="Microsoft YaHei" w:cs="Aptos"/>
                <w:color w:val="222222"/>
                <w:sz w:val="19"/>
              </w:rPr>
              <w:t>事实与文档脱节</w:t>
            </w:r>
          </w:p>
        </w:tc>
        <w:tc>
          <w:tcPr>
            <w:tcW w:type="dxa" w:w="2268"/>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left"/>
            </w:pPr>
            <w:r>
              <w:rPr>
                <w:rFonts w:ascii="Aptos" w:hAnsi="Aptos" w:eastAsia="Microsoft YaHei" w:cs="Aptos"/>
                <w:color w:val="222222"/>
                <w:sz w:val="19"/>
              </w:rPr>
              <w:t>参数改了，正文表格附件未必同步</w:t>
            </w:r>
          </w:p>
        </w:tc>
        <w:tc>
          <w:tcPr>
            <w:tcW w:type="dxa" w:w="2835"/>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left"/>
            </w:pPr>
            <w:r>
              <w:rPr>
                <w:rFonts w:ascii="Aptos" w:hAnsi="Aptos" w:eastAsia="Microsoft YaHei" w:cs="Aptos"/>
                <w:color w:val="222222"/>
                <w:sz w:val="19"/>
              </w:rPr>
              <w:t>由事实层统一驱动文档与工件生成</w:t>
            </w:r>
          </w:p>
        </w:tc>
        <w:tc>
          <w:tcPr>
            <w:tcW w:type="dxa" w:w="1701"/>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center"/>
            </w:pPr>
            <w:r>
              <w:rPr>
                <w:rFonts w:ascii="Aptos" w:hAnsi="Aptos" w:eastAsia="Microsoft YaHei" w:cs="Aptos"/>
                <w:color w:val="222222"/>
                <w:sz w:val="19"/>
              </w:rPr>
              <w:t>提升一致性与可信度</w:t>
            </w:r>
          </w:p>
        </w:tc>
      </w:tr>
      <w:tr>
        <w:tc>
          <w:tcPr>
            <w:tcW w:type="dxa" w:w="1701"/>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center"/>
            </w:pPr>
            <w:r>
              <w:rPr>
                <w:rFonts w:ascii="Aptos" w:hAnsi="Aptos" w:eastAsia="Microsoft YaHei" w:cs="Aptos"/>
                <w:color w:val="222222"/>
                <w:sz w:val="19"/>
              </w:rPr>
              <w:t>知识难沉淀</w:t>
            </w:r>
          </w:p>
        </w:tc>
        <w:tc>
          <w:tcPr>
            <w:tcW w:type="dxa" w:w="2268"/>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left"/>
            </w:pPr>
            <w:r>
              <w:rPr>
                <w:rFonts w:ascii="Aptos" w:hAnsi="Aptos" w:eastAsia="Microsoft YaHei" w:cs="Aptos"/>
                <w:color w:val="222222"/>
                <w:sz w:val="19"/>
              </w:rPr>
              <w:t>新人上手慢，机构复制难</w:t>
            </w:r>
          </w:p>
        </w:tc>
        <w:tc>
          <w:tcPr>
            <w:tcW w:type="dxa" w:w="2835"/>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left"/>
            </w:pPr>
            <w:r>
              <w:rPr>
                <w:rFonts w:ascii="Aptos" w:hAnsi="Aptos" w:eastAsia="Microsoft YaHei" w:cs="Aptos"/>
                <w:color w:val="222222"/>
                <w:sz w:val="19"/>
              </w:rPr>
              <w:t>把经验沉淀为长期可复用的规则与知识资产</w:t>
            </w:r>
          </w:p>
        </w:tc>
        <w:tc>
          <w:tcPr>
            <w:tcW w:type="dxa" w:w="1701"/>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center"/>
            </w:pPr>
            <w:r>
              <w:rPr>
                <w:rFonts w:ascii="Aptos" w:hAnsi="Aptos" w:eastAsia="Microsoft YaHei" w:cs="Aptos"/>
                <w:color w:val="222222"/>
                <w:sz w:val="19"/>
              </w:rPr>
              <w:t>形成组织能力</w:t>
            </w:r>
          </w:p>
        </w:tc>
      </w:tr>
      <w:tr>
        <w:tc>
          <w:tcPr>
            <w:tcW w:type="dxa" w:w="1701"/>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center"/>
            </w:pPr>
            <w:r>
              <w:rPr>
                <w:rFonts w:ascii="Aptos" w:hAnsi="Aptos" w:eastAsia="Microsoft YaHei" w:cs="Aptos"/>
                <w:color w:val="222222"/>
                <w:sz w:val="19"/>
              </w:rPr>
              <w:t>编制与审查割裂</w:t>
            </w:r>
          </w:p>
        </w:tc>
        <w:tc>
          <w:tcPr>
            <w:tcW w:type="dxa" w:w="2268"/>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left"/>
            </w:pPr>
            <w:r>
              <w:rPr>
                <w:rFonts w:ascii="Aptos" w:hAnsi="Aptos" w:eastAsia="Microsoft YaHei" w:cs="Aptos"/>
                <w:color w:val="222222"/>
                <w:sz w:val="19"/>
              </w:rPr>
              <w:t>提交后才暴露问题，返工成本高</w:t>
            </w:r>
          </w:p>
        </w:tc>
        <w:tc>
          <w:tcPr>
            <w:tcW w:type="dxa" w:w="2835"/>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left"/>
            </w:pPr>
            <w:r>
              <w:rPr>
                <w:rFonts w:ascii="Aptos" w:hAnsi="Aptos" w:eastAsia="Microsoft YaHei" w:cs="Aptos"/>
                <w:color w:val="222222"/>
                <w:sz w:val="19"/>
              </w:rPr>
              <w:t>在编制阶段前置自检、缺项提示和风险预警</w:t>
            </w:r>
          </w:p>
        </w:tc>
        <w:tc>
          <w:tcPr>
            <w:tcW w:type="dxa" w:w="1701"/>
            <w:vAlign w:val="center"/>
            <w:tcBorders>
              <w:left w:val="single" w:sz="6" w:color="E1E7EB"/>
              <w:top w:val="single" w:sz="6" w:color="E1E7EB"/>
              <w:right w:val="single" w:sz="6" w:color="E1E7EB"/>
              <w:bottom w:val="single" w:sz="6" w:color="E1E7EB"/>
            </w:tcBorders>
            <w:tcMar>
              <w:top w:w="85" w:type="dxa"/>
              <w:start w:w="85" w:type="dxa"/>
              <w:bottom w:w="85" w:type="dxa"/>
              <w:end w:w="85" w:type="dxa"/>
            </w:tcMar>
          </w:tcPr>
          <w:p>
            <w:pPr>
              <w:spacing w:before="0" w:after="0" w:line="300" w:lineRule="auto"/>
              <w:jc w:val="center"/>
            </w:pPr>
            <w:r>
              <w:rPr>
                <w:rFonts w:ascii="Aptos" w:hAnsi="Aptos" w:eastAsia="Microsoft YaHei" w:cs="Aptos"/>
                <w:color w:val="222222"/>
                <w:sz w:val="19"/>
              </w:rPr>
              <w:t>提高通过率与效率</w:t>
            </w:r>
          </w:p>
        </w:tc>
      </w:tr>
    </w:tbl>
    <w:p>
      <w:pPr>
        <w:pStyle w:val="HeadingCN1"/>
        <w:spacing w:before="0" w:after="160" w:line="324" w:lineRule="auto"/>
        <w:keepNext/>
        <w:keepLines/>
      </w:pPr>
      <w:r>
        <w:rPr>
          <w:rFonts w:ascii="Aptos" w:hAnsi="Aptos" w:eastAsia="Microsoft YaHei" w:cs="Aptos"/>
          <w:b/>
          <w:color w:val="145C7D"/>
          <w:sz w:val="34"/>
        </w:rPr>
        <w:t>四、目标用户与价值</w:t>
      </w:r>
    </w:p>
    <w:p>
      <w:pPr>
        <w:spacing w:before="0" w:after="200" w:line="324" w:lineRule="auto"/>
        <w:shd w:fill="DDECF2"/>
      </w:pPr>
      <w:r>
        <w:t xml:space="preserve"> </w:t>
      </w:r>
    </w:p>
    <w:p>
      <w:pPr>
        <w:pStyle w:val="BodyCN"/>
        <w:spacing w:before="40" w:after="140" w:line="348" w:lineRule="auto"/>
      </w:pPr>
      <w:r>
        <w:rPr>
          <w:rFonts w:ascii="Aptos" w:hAnsi="Aptos" w:eastAsia="Microsoft YaHei" w:cs="Aptos"/>
          <w:color w:val="222222"/>
          <w:sz w:val="21"/>
        </w:rPr>
        <w:t>平台的价值，不只体现在“节省时间”，更体现在“提升确定性、放大组织能力、把经验资产化”。</w:t>
      </w:r>
    </w:p>
    <w:tbl>
      <w:tblPr>
        <w:tblW w:type="auto" w:w="0"/>
        <w:jc w:val="center"/>
        <w:tblLayout w:type="fixed"/>
        <w:tblLook w:firstColumn="1" w:firstRow="1" w:lastColumn="0" w:lastRow="0" w:noHBand="0" w:noVBand="1" w:val="04A0"/>
      </w:tblPr>
      <w:tblGrid>
        <w:gridCol w:w="4873"/>
        <w:gridCol w:w="4873"/>
      </w:tblGrid>
      <w:tr>
        <w:tc>
          <w:tcPr>
            <w:tcW w:type="dxa" w:w="4252"/>
            <w:tcBorders>
              <w:left w:val="single" w:sz="8" w:color="D8E6D4"/>
              <w:top w:val="single" w:sz="8" w:color="D8E6D4"/>
              <w:right w:val="single" w:sz="8" w:color="D8E6D4"/>
              <w:bottom w:val="single" w:sz="8" w:color="D8E6D4"/>
            </w:tcBorders>
            <w:shd w:fill="FBFCFB"/>
            <w:tcMar>
              <w:top w:w="130" w:type="dxa"/>
              <w:start w:w="130" w:type="dxa"/>
              <w:bottom w:w="130" w:type="dxa"/>
              <w:end w:w="130" w:type="dxa"/>
            </w:tcMar>
          </w:tcPr>
          <w:p>
            <w:pPr>
              <w:spacing w:before="0" w:after="80" w:line="324" w:lineRule="auto"/>
            </w:pPr>
            <w:r>
              <w:rPr>
                <w:rFonts w:ascii="Aptos" w:hAnsi="Aptos" w:eastAsia="Microsoft YaHei" w:cs="Aptos"/>
                <w:b/>
                <w:color w:val="2E7D32"/>
                <w:sz w:val="22"/>
              </w:rPr>
              <w:t>编制单位</w:t>
            </w:r>
          </w:p>
          <w:p>
            <w:pPr>
              <w:spacing w:before="0" w:after="0" w:line="324" w:lineRule="auto"/>
            </w:pPr>
            <w:r>
              <w:rPr>
                <w:rFonts w:ascii="Aptos" w:hAnsi="Aptos" w:eastAsia="Microsoft YaHei" w:cs="Aptos"/>
                <w:color w:val="222222"/>
                <w:sz w:val="20"/>
              </w:rPr>
              <w:t>提高首稿质量、降低漏项率、缩短交付周期，让新人也能在系统引导下输出更接近成熟工程师水平的成果。</w:t>
            </w:r>
          </w:p>
        </w:tc>
        <w:tc>
          <w:tcPr>
            <w:tcW w:type="dxa" w:w="4252"/>
            <w:tcBorders>
              <w:left w:val="single" w:sz="8" w:color="D8E6D4"/>
              <w:top w:val="single" w:sz="8" w:color="D8E6D4"/>
              <w:right w:val="single" w:sz="8" w:color="D8E6D4"/>
              <w:bottom w:val="single" w:sz="8" w:color="D8E6D4"/>
            </w:tcBorders>
            <w:shd w:fill="FBFCFB"/>
            <w:tcMar>
              <w:top w:w="130" w:type="dxa"/>
              <w:start w:w="130" w:type="dxa"/>
              <w:bottom w:w="130" w:type="dxa"/>
              <w:end w:w="130" w:type="dxa"/>
            </w:tcMar>
          </w:tcPr>
          <w:p>
            <w:pPr>
              <w:spacing w:before="0" w:after="80" w:line="324" w:lineRule="auto"/>
            </w:pPr>
            <w:r>
              <w:rPr>
                <w:rFonts w:ascii="Aptos" w:hAnsi="Aptos" w:eastAsia="Microsoft YaHei" w:cs="Aptos"/>
                <w:b/>
                <w:color w:val="2E7D32"/>
                <w:sz w:val="22"/>
              </w:rPr>
              <w:t>技术审查与咨询人员</w:t>
            </w:r>
          </w:p>
          <w:p>
            <w:pPr>
              <w:spacing w:before="0" w:after="0" w:line="324" w:lineRule="auto"/>
            </w:pPr>
            <w:r>
              <w:rPr>
                <w:rFonts w:ascii="Aptos" w:hAnsi="Aptos" w:eastAsia="Microsoft YaHei" w:cs="Aptos"/>
                <w:color w:val="222222"/>
                <w:sz w:val="20"/>
              </w:rPr>
              <w:t>快速识别关键缺陷、核对规则依据、形成更一致、更有针对性的审查意见。</w:t>
            </w:r>
          </w:p>
        </w:tc>
      </w:tr>
      <w:tr>
        <w:tc>
          <w:tcPr>
            <w:tcW w:type="dxa" w:w="4252"/>
            <w:tcBorders>
              <w:left w:val="single" w:sz="8" w:color="D8E6D4"/>
              <w:top w:val="single" w:sz="8" w:color="D8E6D4"/>
              <w:right w:val="single" w:sz="8" w:color="D8E6D4"/>
              <w:bottom w:val="single" w:sz="8" w:color="D8E6D4"/>
            </w:tcBorders>
            <w:shd w:fill="FBFCFB"/>
            <w:tcMar>
              <w:top w:w="130" w:type="dxa"/>
              <w:start w:w="130" w:type="dxa"/>
              <w:bottom w:w="130" w:type="dxa"/>
              <w:end w:w="130" w:type="dxa"/>
            </w:tcMar>
          </w:tcPr>
          <w:p>
            <w:pPr>
              <w:spacing w:before="0" w:after="80" w:line="324" w:lineRule="auto"/>
            </w:pPr>
            <w:r>
              <w:rPr>
                <w:rFonts w:ascii="Aptos" w:hAnsi="Aptos" w:eastAsia="Microsoft YaHei" w:cs="Aptos"/>
                <w:b/>
                <w:color w:val="2E7D32"/>
                <w:sz w:val="22"/>
              </w:rPr>
              <w:t>建设单位</w:t>
            </w:r>
          </w:p>
          <w:p>
            <w:pPr>
              <w:spacing w:before="0" w:after="0" w:line="324" w:lineRule="auto"/>
            </w:pPr>
            <w:r>
              <w:rPr>
                <w:rFonts w:ascii="Aptos" w:hAnsi="Aptos" w:eastAsia="Microsoft YaHei" w:cs="Aptos"/>
                <w:color w:val="222222"/>
                <w:sz w:val="20"/>
              </w:rPr>
              <w:t>更早识别项目在方案阶段的合规要求、资料准备要求与潜在风险，减少后期被动整改。</w:t>
            </w:r>
          </w:p>
        </w:tc>
        <w:tc>
          <w:tcPr>
            <w:tcW w:type="dxa" w:w="4252"/>
            <w:tcBorders>
              <w:left w:val="single" w:sz="8" w:color="D8E6D4"/>
              <w:top w:val="single" w:sz="8" w:color="D8E6D4"/>
              <w:right w:val="single" w:sz="8" w:color="D8E6D4"/>
              <w:bottom w:val="single" w:sz="8" w:color="D8E6D4"/>
            </w:tcBorders>
            <w:shd w:fill="FBFCFB"/>
            <w:tcMar>
              <w:top w:w="130" w:type="dxa"/>
              <w:start w:w="130" w:type="dxa"/>
              <w:bottom w:w="130" w:type="dxa"/>
              <w:end w:w="130" w:type="dxa"/>
            </w:tcMar>
          </w:tcPr>
          <w:p>
            <w:pPr>
              <w:spacing w:before="0" w:after="80" w:line="324" w:lineRule="auto"/>
            </w:pPr>
            <w:r>
              <w:rPr>
                <w:rFonts w:ascii="Aptos" w:hAnsi="Aptos" w:eastAsia="Microsoft YaHei" w:cs="Aptos"/>
                <w:b/>
                <w:color w:val="2E7D32"/>
                <w:sz w:val="22"/>
              </w:rPr>
              <w:t>机构管理者</w:t>
            </w:r>
          </w:p>
          <w:p>
            <w:pPr>
              <w:spacing w:before="0" w:after="0" w:line="324" w:lineRule="auto"/>
            </w:pPr>
            <w:r>
              <w:rPr>
                <w:rFonts w:ascii="Aptos" w:hAnsi="Aptos" w:eastAsia="Microsoft YaHei" w:cs="Aptos"/>
                <w:color w:val="222222"/>
                <w:sz w:val="20"/>
              </w:rPr>
              <w:t>把经验沉淀为制度化资产，推动业务从“个人驱动”转向“系统驱动”。</w:t>
            </w:r>
          </w:p>
        </w:tc>
      </w:tr>
    </w:tbl>
    <w:p>
      <w:pPr>
        <w:pStyle w:val="HeadingCN1"/>
        <w:spacing w:before="0" w:after="160" w:line="324" w:lineRule="auto"/>
        <w:keepNext/>
        <w:keepLines/>
      </w:pPr>
      <w:r>
        <w:rPr>
          <w:rFonts w:ascii="Aptos" w:hAnsi="Aptos" w:eastAsia="Microsoft YaHei" w:cs="Aptos"/>
          <w:b/>
          <w:color w:val="145C7D"/>
          <w:sz w:val="34"/>
        </w:rPr>
        <w:t>五、能力边界与方法论</w:t>
      </w:r>
    </w:p>
    <w:p>
      <w:pPr>
        <w:spacing w:before="0" w:after="200" w:line="324" w:lineRule="auto"/>
        <w:shd w:fill="DDECF2"/>
      </w:pPr>
      <w:r>
        <w:t xml:space="preserve"> </w:t>
      </w:r>
    </w:p>
    <w:p>
      <w:pPr>
        <w:pStyle w:val="BodyCN"/>
        <w:spacing w:before="40" w:after="140" w:line="348" w:lineRule="auto"/>
      </w:pPr>
      <w:r>
        <w:rPr>
          <w:rFonts w:ascii="Aptos" w:hAnsi="Aptos" w:eastAsia="Microsoft YaHei" w:cs="Aptos"/>
          <w:color w:val="222222"/>
          <w:sz w:val="21"/>
        </w:rPr>
        <w:t>平台坚持高可信的人机协同，而不是脱离专业边界的“全自动替代”。系统负责规则密集、重复性强、可计算、可校核的部分；专家负责高风险、低频、依赖经验判断的部分。</w:t>
      </w:r>
    </w:p>
    <w:tbl>
      <w:tblPr>
        <w:tblW w:type="auto" w:w="0"/>
        <w:jc w:val="center"/>
        <w:tblLayout w:type="fixed"/>
        <w:tblLook w:firstColumn="1" w:firstRow="1" w:lastColumn="0" w:lastRow="0" w:noHBand="0" w:noVBand="1" w:val="04A0"/>
      </w:tblPr>
      <w:tblGrid>
        <w:gridCol w:w="4873"/>
        <w:gridCol w:w="4873"/>
      </w:tblGrid>
      <w:tr>
        <w:tc>
          <w:tcPr>
            <w:tcW w:type="dxa" w:w="4252"/>
            <w:shd w:fill="EEF6F0"/>
            <w:tcBorders>
              <w:left w:val="single" w:sz="8" w:color="D5E2D1"/>
              <w:top w:val="single" w:sz="8" w:color="D5E2D1"/>
              <w:right w:val="single" w:sz="8" w:color="D5E2D1"/>
              <w:bottom w:val="single" w:sz="8" w:color="D5E2D1"/>
            </w:tcBorders>
            <w:tcMar>
              <w:top w:w="100" w:type="dxa"/>
              <w:start w:w="120" w:type="dxa"/>
              <w:bottom w:w="100" w:type="dxa"/>
              <w:end w:w="120" w:type="dxa"/>
            </w:tcMar>
          </w:tcPr>
          <w:p>
            <w:pPr>
              <w:jc w:val="center"/>
            </w:pPr>
            <w:r>
              <w:rPr>
                <w:rFonts w:ascii="Aptos" w:hAnsi="Aptos" w:eastAsia="Microsoft YaHei" w:cs="Aptos"/>
                <w:b/>
                <w:color w:val="222222"/>
                <w:sz w:val="21"/>
              </w:rPr>
              <w:t>系统擅长承担的工作</w:t>
            </w:r>
          </w:p>
        </w:tc>
        <w:tc>
          <w:tcPr>
            <w:tcW w:type="dxa" w:w="4252"/>
            <w:shd w:fill="F7F7F7"/>
            <w:tcBorders>
              <w:left w:val="single" w:sz="8" w:color="E0E0E0"/>
              <w:top w:val="single" w:sz="8" w:color="E0E0E0"/>
              <w:right w:val="single" w:sz="8" w:color="E0E0E0"/>
              <w:bottom w:val="single" w:sz="8" w:color="E0E0E0"/>
            </w:tcBorders>
            <w:tcMar>
              <w:top w:w="100" w:type="dxa"/>
              <w:start w:w="120" w:type="dxa"/>
              <w:bottom w:w="100" w:type="dxa"/>
              <w:end w:w="120" w:type="dxa"/>
            </w:tcMar>
          </w:tcPr>
          <w:p>
            <w:pPr>
              <w:jc w:val="center"/>
            </w:pPr>
            <w:r>
              <w:rPr>
                <w:rFonts w:ascii="Aptos" w:hAnsi="Aptos" w:eastAsia="Microsoft YaHei" w:cs="Aptos"/>
                <w:b/>
                <w:color w:val="222222"/>
                <w:sz w:val="21"/>
              </w:rPr>
              <w:t>专家仍应把关的工作</w:t>
            </w:r>
          </w:p>
        </w:tc>
      </w:tr>
      <w:tr>
        <w:tc>
          <w:tcPr>
            <w:tcW w:type="dxa" w:w="4252"/>
            <w:tcBorders>
              <w:left w:val="single" w:sz="6" w:color="E3E7E1"/>
              <w:top w:val="single" w:sz="6" w:color="E3E7E1"/>
              <w:right w:val="single" w:sz="6" w:color="E3E7E1"/>
              <w:bottom w:val="single" w:sz="6" w:color="E3E7E1"/>
            </w:tcBorders>
            <w:tcMar>
              <w:top w:w="75" w:type="dxa"/>
              <w:start w:w="90" w:type="dxa"/>
              <w:bottom w:w="75" w:type="dxa"/>
              <w:end w:w="90" w:type="dxa"/>
            </w:tcMar>
          </w:tcPr>
          <w:p>
            <w:pPr>
              <w:spacing w:before="0" w:after="0" w:line="288" w:lineRule="auto"/>
            </w:pPr>
            <w:r>
              <w:rPr>
                <w:rFonts w:ascii="Aptos" w:hAnsi="Aptos" w:eastAsia="Microsoft YaHei" w:cs="Aptos"/>
                <w:color w:val="222222"/>
                <w:sz w:val="19"/>
              </w:rPr>
              <w:t>• 项目事实归集与一致性维护</w:t>
            </w:r>
          </w:p>
        </w:tc>
        <w:tc>
          <w:tcPr>
            <w:tcW w:type="dxa" w:w="4252"/>
            <w:tcBorders>
              <w:left w:val="single" w:sz="6" w:color="E3E7E1"/>
              <w:top w:val="single" w:sz="6" w:color="E3E7E1"/>
              <w:right w:val="single" w:sz="6" w:color="E3E7E1"/>
              <w:bottom w:val="single" w:sz="6" w:color="E3E7E1"/>
            </w:tcBorders>
            <w:tcMar>
              <w:top w:w="75" w:type="dxa"/>
              <w:start w:w="90" w:type="dxa"/>
              <w:bottom w:w="75" w:type="dxa"/>
              <w:end w:w="90" w:type="dxa"/>
            </w:tcMar>
          </w:tcPr>
          <w:p>
            <w:pPr>
              <w:spacing w:before="0" w:after="0" w:line="288" w:lineRule="auto"/>
            </w:pPr>
            <w:r>
              <w:rPr>
                <w:rFonts w:ascii="Aptos" w:hAnsi="Aptos" w:eastAsia="Microsoft YaHei" w:cs="Aptos"/>
                <w:color w:val="222222"/>
                <w:sz w:val="19"/>
              </w:rPr>
              <w:t>• 不可避让论证等高风险判断</w:t>
            </w:r>
          </w:p>
        </w:tc>
      </w:tr>
      <w:tr>
        <w:tc>
          <w:tcPr>
            <w:tcW w:type="dxa" w:w="4252"/>
            <w:tcBorders>
              <w:left w:val="single" w:sz="6" w:color="E3E7E1"/>
              <w:top w:val="single" w:sz="6" w:color="E3E7E1"/>
              <w:right w:val="single" w:sz="6" w:color="E3E7E1"/>
              <w:bottom w:val="single" w:sz="6" w:color="E3E7E1"/>
            </w:tcBorders>
            <w:tcMar>
              <w:top w:w="75" w:type="dxa"/>
              <w:start w:w="90" w:type="dxa"/>
              <w:bottom w:w="75" w:type="dxa"/>
              <w:end w:w="90" w:type="dxa"/>
            </w:tcMar>
          </w:tcPr>
          <w:p>
            <w:pPr>
              <w:spacing w:before="0" w:after="0" w:line="288" w:lineRule="auto"/>
            </w:pPr>
            <w:r>
              <w:rPr>
                <w:rFonts w:ascii="Aptos" w:hAnsi="Aptos" w:eastAsia="Microsoft YaHei" w:cs="Aptos"/>
                <w:color w:val="222222"/>
                <w:sz w:val="19"/>
              </w:rPr>
              <w:t>• 章节、表格、附件与提示语装配</w:t>
            </w:r>
          </w:p>
        </w:tc>
        <w:tc>
          <w:tcPr>
            <w:tcW w:type="dxa" w:w="4252"/>
            <w:tcBorders>
              <w:left w:val="single" w:sz="6" w:color="E3E7E1"/>
              <w:top w:val="single" w:sz="6" w:color="E3E7E1"/>
              <w:right w:val="single" w:sz="6" w:color="E3E7E1"/>
              <w:bottom w:val="single" w:sz="6" w:color="E3E7E1"/>
            </w:tcBorders>
            <w:tcMar>
              <w:top w:w="75" w:type="dxa"/>
              <w:start w:w="90" w:type="dxa"/>
              <w:bottom w:w="75" w:type="dxa"/>
              <w:end w:w="90" w:type="dxa"/>
            </w:tcMar>
          </w:tcPr>
          <w:p>
            <w:pPr>
              <w:spacing w:before="0" w:after="0" w:line="288" w:lineRule="auto"/>
            </w:pPr>
            <w:r>
              <w:rPr>
                <w:rFonts w:ascii="Aptos" w:hAnsi="Aptos" w:eastAsia="Microsoft YaHei" w:cs="Aptos"/>
                <w:color w:val="222222"/>
                <w:sz w:val="19"/>
              </w:rPr>
              <w:t>• 敏感区命中与特殊场景裁量</w:t>
            </w:r>
          </w:p>
        </w:tc>
      </w:tr>
      <w:tr>
        <w:tc>
          <w:tcPr>
            <w:tcW w:type="dxa" w:w="4252"/>
            <w:tcBorders>
              <w:left w:val="single" w:sz="6" w:color="E3E7E1"/>
              <w:top w:val="single" w:sz="6" w:color="E3E7E1"/>
              <w:right w:val="single" w:sz="6" w:color="E3E7E1"/>
              <w:bottom w:val="single" w:sz="6" w:color="E3E7E1"/>
            </w:tcBorders>
            <w:tcMar>
              <w:top w:w="75" w:type="dxa"/>
              <w:start w:w="90" w:type="dxa"/>
              <w:bottom w:w="75" w:type="dxa"/>
              <w:end w:w="90" w:type="dxa"/>
            </w:tcMar>
          </w:tcPr>
          <w:p>
            <w:pPr>
              <w:spacing w:before="0" w:after="0" w:line="288" w:lineRule="auto"/>
            </w:pPr>
            <w:r>
              <w:rPr>
                <w:rFonts w:ascii="Aptos" w:hAnsi="Aptos" w:eastAsia="Microsoft YaHei" w:cs="Aptos"/>
                <w:color w:val="222222"/>
                <w:sz w:val="19"/>
              </w:rPr>
              <w:t>• 缺项检查、规则触发与依据引用</w:t>
            </w:r>
          </w:p>
        </w:tc>
        <w:tc>
          <w:tcPr>
            <w:tcW w:type="dxa" w:w="4252"/>
            <w:tcBorders>
              <w:left w:val="single" w:sz="6" w:color="E3E7E1"/>
              <w:top w:val="single" w:sz="6" w:color="E3E7E1"/>
              <w:right w:val="single" w:sz="6" w:color="E3E7E1"/>
              <w:bottom w:val="single" w:sz="6" w:color="E3E7E1"/>
            </w:tcBorders>
            <w:tcMar>
              <w:top w:w="75" w:type="dxa"/>
              <w:start w:w="90" w:type="dxa"/>
              <w:bottom w:w="75" w:type="dxa"/>
              <w:end w:w="90" w:type="dxa"/>
            </w:tcMar>
          </w:tcPr>
          <w:p>
            <w:pPr>
              <w:spacing w:before="0" w:after="0" w:line="288" w:lineRule="auto"/>
            </w:pPr>
            <w:r>
              <w:rPr>
                <w:rFonts w:ascii="Aptos" w:hAnsi="Aptos" w:eastAsia="Microsoft YaHei" w:cs="Aptos"/>
                <w:color w:val="222222"/>
                <w:sz w:val="19"/>
              </w:rPr>
              <w:t>• 措施配置的专业合理性把关</w:t>
            </w:r>
          </w:p>
        </w:tc>
      </w:tr>
      <w:tr>
        <w:tc>
          <w:tcPr>
            <w:tcW w:type="dxa" w:w="4252"/>
            <w:tcBorders>
              <w:left w:val="single" w:sz="6" w:color="E3E7E1"/>
              <w:top w:val="single" w:sz="6" w:color="E3E7E1"/>
              <w:right w:val="single" w:sz="6" w:color="E3E7E1"/>
              <w:bottom w:val="single" w:sz="6" w:color="E3E7E1"/>
            </w:tcBorders>
            <w:tcMar>
              <w:top w:w="75" w:type="dxa"/>
              <w:start w:w="90" w:type="dxa"/>
              <w:bottom w:w="75" w:type="dxa"/>
              <w:end w:w="90" w:type="dxa"/>
            </w:tcMar>
          </w:tcPr>
          <w:p>
            <w:pPr>
              <w:spacing w:before="0" w:after="0" w:line="288" w:lineRule="auto"/>
            </w:pPr>
            <w:r>
              <w:rPr>
                <w:rFonts w:ascii="Aptos" w:hAnsi="Aptos" w:eastAsia="Microsoft YaHei" w:cs="Aptos"/>
                <w:color w:val="222222"/>
                <w:sz w:val="19"/>
              </w:rPr>
              <w:t>• 常见风险、冲突与材料缺口提示</w:t>
            </w:r>
          </w:p>
        </w:tc>
        <w:tc>
          <w:tcPr>
            <w:tcW w:type="dxa" w:w="4252"/>
            <w:tcBorders>
              <w:left w:val="single" w:sz="6" w:color="E3E7E1"/>
              <w:top w:val="single" w:sz="6" w:color="E3E7E1"/>
              <w:right w:val="single" w:sz="6" w:color="E3E7E1"/>
              <w:bottom w:val="single" w:sz="6" w:color="E3E7E1"/>
            </w:tcBorders>
            <w:tcMar>
              <w:top w:w="75" w:type="dxa"/>
              <w:start w:w="90" w:type="dxa"/>
              <w:bottom w:w="75" w:type="dxa"/>
              <w:end w:w="90" w:type="dxa"/>
            </w:tcMar>
          </w:tcPr>
          <w:p>
            <w:pPr>
              <w:spacing w:before="0" w:after="0" w:line="288" w:lineRule="auto"/>
            </w:pPr>
            <w:r>
              <w:rPr>
                <w:rFonts w:ascii="Aptos" w:hAnsi="Aptos" w:eastAsia="Microsoft YaHei" w:cs="Aptos"/>
                <w:color w:val="222222"/>
                <w:sz w:val="19"/>
              </w:rPr>
              <w:t>• 地方灰区口径与现场条件综合判断</w:t>
            </w:r>
          </w:p>
        </w:tc>
      </w:tr>
    </w:tbl>
    <w:p>
      <w:pPr>
        <w:pStyle w:val="HeadingCN1"/>
        <w:spacing w:before="0" w:after="160" w:line="324" w:lineRule="auto"/>
        <w:keepNext/>
        <w:keepLines/>
      </w:pPr>
      <w:r>
        <w:rPr>
          <w:rFonts w:ascii="Aptos" w:hAnsi="Aptos" w:eastAsia="Microsoft YaHei" w:cs="Aptos"/>
          <w:b/>
          <w:color w:val="145C7D"/>
          <w:sz w:val="34"/>
        </w:rPr>
        <w:t>六、阶段目标与发展路径</w:t>
      </w:r>
    </w:p>
    <w:p>
      <w:pPr>
        <w:spacing w:before="0" w:after="200" w:line="324" w:lineRule="auto"/>
        <w:shd w:fill="DDECF2"/>
      </w:pPr>
      <w:r>
        <w:t xml:space="preserve"> </w:t>
      </w:r>
    </w:p>
    <w:p>
      <w:pPr>
        <w:pStyle w:val="BodyCN"/>
        <w:spacing w:before="40" w:after="140" w:line="348" w:lineRule="auto"/>
      </w:pPr>
      <w:r>
        <w:rPr>
          <w:rFonts w:ascii="Aptos" w:hAnsi="Aptos" w:eastAsia="Microsoft YaHei" w:cs="Aptos"/>
          <w:color w:val="222222"/>
          <w:sz w:val="21"/>
        </w:rPr>
        <w:t>平台采用“架构全国通用、落地先从惠州/广东打穿、再向更多区域和行业扩展”的推进路线，确保每一步既能落地，又能积累长期能力。</w:t>
      </w:r>
    </w:p>
    <w:tbl>
      <w:tblPr>
        <w:tblW w:type="auto" w:w="0"/>
        <w:jc w:val="center"/>
        <w:tblLayout w:type="fixed"/>
        <w:tblLook w:firstColumn="1" w:firstRow="1" w:lastColumn="0" w:lastRow="0" w:noHBand="0" w:noVBand="1" w:val="04A0"/>
      </w:tblPr>
      <w:tblGrid>
        <w:gridCol w:w="3249"/>
        <w:gridCol w:w="3249"/>
        <w:gridCol w:w="3249"/>
      </w:tblGrid>
      <w:tr>
        <w:tc>
          <w:tcPr>
            <w:tcW w:type="dxa" w:w="1361"/>
            <w:shd w:fill="EAF3F7"/>
            <w:tcBorders>
              <w:left w:val="single" w:sz="8" w:color="C6DAE4"/>
              <w:top w:val="single" w:sz="8" w:color="C6DAE4"/>
              <w:right w:val="single" w:sz="8" w:color="C6DAE4"/>
              <w:bottom w:val="single" w:sz="8" w:color="C6DAE4"/>
            </w:tcBorders>
            <w:tcMar>
              <w:top w:w="90" w:type="dxa"/>
              <w:start w:w="90" w:type="dxa"/>
              <w:bottom w:w="90" w:type="dxa"/>
              <w:end w:w="90" w:type="dxa"/>
            </w:tcMar>
          </w:tcPr>
          <w:p>
            <w:pPr>
              <w:jc w:val="center"/>
            </w:pPr>
            <w:r>
              <w:rPr>
                <w:rFonts w:ascii="Aptos" w:hAnsi="Aptos" w:eastAsia="Microsoft YaHei" w:cs="Aptos"/>
                <w:b/>
                <w:color w:val="222222"/>
                <w:sz w:val="20"/>
              </w:rPr>
              <w:t>阶段</w:t>
            </w:r>
          </w:p>
        </w:tc>
        <w:tc>
          <w:tcPr>
            <w:tcW w:type="dxa" w:w="4082"/>
            <w:shd w:fill="EAF3F7"/>
            <w:tcBorders>
              <w:left w:val="single" w:sz="8" w:color="C6DAE4"/>
              <w:top w:val="single" w:sz="8" w:color="C6DAE4"/>
              <w:right w:val="single" w:sz="8" w:color="C6DAE4"/>
              <w:bottom w:val="single" w:sz="8" w:color="C6DAE4"/>
            </w:tcBorders>
            <w:tcMar>
              <w:top w:w="90" w:type="dxa"/>
              <w:start w:w="90" w:type="dxa"/>
              <w:bottom w:w="90" w:type="dxa"/>
              <w:end w:w="90" w:type="dxa"/>
            </w:tcMar>
          </w:tcPr>
          <w:p>
            <w:pPr>
              <w:jc w:val="center"/>
            </w:pPr>
            <w:r>
              <w:rPr>
                <w:rFonts w:ascii="Aptos" w:hAnsi="Aptos" w:eastAsia="Microsoft YaHei" w:cs="Aptos"/>
                <w:b/>
                <w:color w:val="222222"/>
                <w:sz w:val="20"/>
              </w:rPr>
              <w:t>阶段目标</w:t>
            </w:r>
          </w:p>
        </w:tc>
        <w:tc>
          <w:tcPr>
            <w:tcW w:type="dxa" w:w="2948"/>
            <w:shd w:fill="EAF3F7"/>
            <w:tcBorders>
              <w:left w:val="single" w:sz="8" w:color="C6DAE4"/>
              <w:top w:val="single" w:sz="8" w:color="C6DAE4"/>
              <w:right w:val="single" w:sz="8" w:color="C6DAE4"/>
              <w:bottom w:val="single" w:sz="8" w:color="C6DAE4"/>
            </w:tcBorders>
            <w:tcMar>
              <w:top w:w="90" w:type="dxa"/>
              <w:start w:w="90" w:type="dxa"/>
              <w:bottom w:w="90" w:type="dxa"/>
              <w:end w:w="90" w:type="dxa"/>
            </w:tcMar>
          </w:tcPr>
          <w:p>
            <w:pPr>
              <w:jc w:val="center"/>
            </w:pPr>
            <w:r>
              <w:rPr>
                <w:rFonts w:ascii="Aptos" w:hAnsi="Aptos" w:eastAsia="Microsoft YaHei" w:cs="Aptos"/>
                <w:b/>
                <w:color w:val="222222"/>
                <w:sz w:val="20"/>
              </w:rPr>
              <w:t>阶段结果</w:t>
            </w:r>
          </w:p>
        </w:tc>
      </w:tr>
      <w:tr>
        <w:tc>
          <w:tcPr>
            <w:tcW w:type="dxa" w:w="1361"/>
            <w:tcBorders>
              <w:left w:val="single" w:sz="6" w:color="E1E7EB"/>
              <w:top w:val="single" w:sz="6" w:color="E1E7EB"/>
              <w:right w:val="single" w:sz="6" w:color="E1E7EB"/>
              <w:bottom w:val="single" w:sz="6" w:color="E1E7EB"/>
            </w:tcBorders>
            <w:tcMar>
              <w:top w:w="85" w:type="dxa"/>
              <w:start w:w="90" w:type="dxa"/>
              <w:bottom w:w="85" w:type="dxa"/>
              <w:end w:w="90" w:type="dxa"/>
            </w:tcMar>
          </w:tcPr>
          <w:p>
            <w:pPr>
              <w:spacing w:before="0" w:after="0" w:line="300" w:lineRule="auto"/>
              <w:jc w:val="center"/>
            </w:pPr>
            <w:r>
              <w:rPr>
                <w:rFonts w:ascii="Aptos" w:hAnsi="Aptos" w:eastAsia="Microsoft YaHei" w:cs="Aptos"/>
                <w:b/>
                <w:color w:val="222222"/>
                <w:sz w:val="19"/>
              </w:rPr>
              <w:t>第一阶段</w:t>
            </w:r>
          </w:p>
        </w:tc>
        <w:tc>
          <w:tcPr>
            <w:tcW w:type="dxa" w:w="4082"/>
            <w:tcBorders>
              <w:left w:val="single" w:sz="6" w:color="E1E7EB"/>
              <w:top w:val="single" w:sz="6" w:color="E1E7EB"/>
              <w:right w:val="single" w:sz="6" w:color="E1E7EB"/>
              <w:bottom w:val="single" w:sz="6" w:color="E1E7EB"/>
            </w:tcBorders>
            <w:tcMar>
              <w:top w:w="85" w:type="dxa"/>
              <w:start w:w="90" w:type="dxa"/>
              <w:bottom w:w="85" w:type="dxa"/>
              <w:end w:w="90" w:type="dxa"/>
            </w:tcMar>
          </w:tcPr>
          <w:p>
            <w:pPr>
              <w:spacing w:before="0" w:after="0" w:line="300" w:lineRule="auto"/>
              <w:jc w:val="left"/>
            </w:pPr>
            <w:r>
              <w:rPr>
                <w:rFonts w:ascii="Aptos" w:hAnsi="Aptos" w:eastAsia="Microsoft YaHei" w:cs="Aptos"/>
                <w:b w:val="0"/>
                <w:color w:val="222222"/>
                <w:sz w:val="19"/>
              </w:rPr>
              <w:t>打通“能编、能检、能出”的基础闭环，建立事实层、规则层、工件层与基础输出链路。</w:t>
            </w:r>
          </w:p>
        </w:tc>
        <w:tc>
          <w:tcPr>
            <w:tcW w:type="dxa" w:w="2948"/>
            <w:tcBorders>
              <w:left w:val="single" w:sz="6" w:color="E1E7EB"/>
              <w:top w:val="single" w:sz="6" w:color="E1E7EB"/>
              <w:right w:val="single" w:sz="6" w:color="E1E7EB"/>
              <w:bottom w:val="single" w:sz="6" w:color="E1E7EB"/>
            </w:tcBorders>
            <w:tcMar>
              <w:top w:w="85" w:type="dxa"/>
              <w:start w:w="90" w:type="dxa"/>
              <w:bottom w:w="85" w:type="dxa"/>
              <w:end w:w="90" w:type="dxa"/>
            </w:tcMar>
          </w:tcPr>
          <w:p>
            <w:pPr>
              <w:spacing w:before="0" w:after="0" w:line="300" w:lineRule="auto"/>
              <w:jc w:val="left"/>
            </w:pPr>
            <w:r>
              <w:rPr>
                <w:rFonts w:ascii="Aptos" w:hAnsi="Aptos" w:eastAsia="Microsoft YaHei" w:cs="Aptos"/>
                <w:b w:val="0"/>
                <w:color w:val="222222"/>
                <w:sz w:val="19"/>
              </w:rPr>
              <w:t>形成可信的 v0 / v1 产品基础能力</w:t>
            </w:r>
          </w:p>
        </w:tc>
      </w:tr>
      <w:tr>
        <w:tc>
          <w:tcPr>
            <w:tcW w:type="dxa" w:w="1361"/>
            <w:tcBorders>
              <w:left w:val="single" w:sz="6" w:color="E1E7EB"/>
              <w:top w:val="single" w:sz="6" w:color="E1E7EB"/>
              <w:right w:val="single" w:sz="6" w:color="E1E7EB"/>
              <w:bottom w:val="single" w:sz="6" w:color="E1E7EB"/>
            </w:tcBorders>
            <w:tcMar>
              <w:top w:w="85" w:type="dxa"/>
              <w:start w:w="90" w:type="dxa"/>
              <w:bottom w:w="85" w:type="dxa"/>
              <w:end w:w="90" w:type="dxa"/>
            </w:tcMar>
          </w:tcPr>
          <w:p>
            <w:pPr>
              <w:spacing w:before="0" w:after="0" w:line="300" w:lineRule="auto"/>
              <w:jc w:val="center"/>
            </w:pPr>
            <w:r>
              <w:rPr>
                <w:rFonts w:ascii="Aptos" w:hAnsi="Aptos" w:eastAsia="Microsoft YaHei" w:cs="Aptos"/>
                <w:b/>
                <w:color w:val="222222"/>
                <w:sz w:val="19"/>
              </w:rPr>
              <w:t>第二阶段</w:t>
            </w:r>
          </w:p>
        </w:tc>
        <w:tc>
          <w:tcPr>
            <w:tcW w:type="dxa" w:w="4082"/>
            <w:tcBorders>
              <w:left w:val="single" w:sz="6" w:color="E1E7EB"/>
              <w:top w:val="single" w:sz="6" w:color="E1E7EB"/>
              <w:right w:val="single" w:sz="6" w:color="E1E7EB"/>
              <w:bottom w:val="single" w:sz="6" w:color="E1E7EB"/>
            </w:tcBorders>
            <w:tcMar>
              <w:top w:w="85" w:type="dxa"/>
              <w:start w:w="90" w:type="dxa"/>
              <w:bottom w:w="85" w:type="dxa"/>
              <w:end w:w="90" w:type="dxa"/>
            </w:tcMar>
          </w:tcPr>
          <w:p>
            <w:pPr>
              <w:spacing w:before="0" w:after="0" w:line="300" w:lineRule="auto"/>
              <w:jc w:val="left"/>
            </w:pPr>
            <w:r>
              <w:rPr>
                <w:rFonts w:ascii="Aptos" w:hAnsi="Aptos" w:eastAsia="Microsoft YaHei" w:cs="Aptos"/>
                <w:b w:val="0"/>
                <w:color w:val="222222"/>
                <w:sz w:val="19"/>
              </w:rPr>
              <w:t>形成“编制 + 审查”的双侧协同，引入更完整的审查规则、承诺制、验收链路、处罚映射与风险解释能力。</w:t>
            </w:r>
          </w:p>
        </w:tc>
        <w:tc>
          <w:tcPr>
            <w:tcW w:type="dxa" w:w="2948"/>
            <w:tcBorders>
              <w:left w:val="single" w:sz="6" w:color="E1E7EB"/>
              <w:top w:val="single" w:sz="6" w:color="E1E7EB"/>
              <w:right w:val="single" w:sz="6" w:color="E1E7EB"/>
              <w:bottom w:val="single" w:sz="6" w:color="E1E7EB"/>
            </w:tcBorders>
            <w:tcMar>
              <w:top w:w="85" w:type="dxa"/>
              <w:start w:w="90" w:type="dxa"/>
              <w:bottom w:w="85" w:type="dxa"/>
              <w:end w:w="90" w:type="dxa"/>
            </w:tcMar>
          </w:tcPr>
          <w:p>
            <w:pPr>
              <w:spacing w:before="0" w:after="0" w:line="300" w:lineRule="auto"/>
              <w:jc w:val="left"/>
            </w:pPr>
            <w:r>
              <w:rPr>
                <w:rFonts w:ascii="Aptos" w:hAnsi="Aptos" w:eastAsia="Microsoft YaHei" w:cs="Aptos"/>
                <w:b w:val="0"/>
                <w:color w:val="222222"/>
                <w:sz w:val="19"/>
              </w:rPr>
              <w:t>从生成工具升级为审查辅助平台</w:t>
            </w:r>
          </w:p>
        </w:tc>
      </w:tr>
      <w:tr>
        <w:tc>
          <w:tcPr>
            <w:tcW w:type="dxa" w:w="1361"/>
            <w:tcBorders>
              <w:left w:val="single" w:sz="6" w:color="E1E7EB"/>
              <w:top w:val="single" w:sz="6" w:color="E1E7EB"/>
              <w:right w:val="single" w:sz="6" w:color="E1E7EB"/>
              <w:bottom w:val="single" w:sz="6" w:color="E1E7EB"/>
            </w:tcBorders>
            <w:tcMar>
              <w:top w:w="85" w:type="dxa"/>
              <w:start w:w="90" w:type="dxa"/>
              <w:bottom w:w="85" w:type="dxa"/>
              <w:end w:w="90" w:type="dxa"/>
            </w:tcMar>
          </w:tcPr>
          <w:p>
            <w:pPr>
              <w:spacing w:before="0" w:after="0" w:line="300" w:lineRule="auto"/>
              <w:jc w:val="center"/>
            </w:pPr>
            <w:r>
              <w:rPr>
                <w:rFonts w:ascii="Aptos" w:hAnsi="Aptos" w:eastAsia="Microsoft YaHei" w:cs="Aptos"/>
                <w:b/>
                <w:color w:val="222222"/>
                <w:sz w:val="19"/>
              </w:rPr>
              <w:t>第三阶段</w:t>
            </w:r>
          </w:p>
        </w:tc>
        <w:tc>
          <w:tcPr>
            <w:tcW w:type="dxa" w:w="4082"/>
            <w:tcBorders>
              <w:left w:val="single" w:sz="6" w:color="E1E7EB"/>
              <w:top w:val="single" w:sz="6" w:color="E1E7EB"/>
              <w:right w:val="single" w:sz="6" w:color="E1E7EB"/>
              <w:bottom w:val="single" w:sz="6" w:color="E1E7EB"/>
            </w:tcBorders>
            <w:tcMar>
              <w:top w:w="85" w:type="dxa"/>
              <w:start w:w="90" w:type="dxa"/>
              <w:bottom w:w="85" w:type="dxa"/>
              <w:end w:w="90" w:type="dxa"/>
            </w:tcMar>
          </w:tcPr>
          <w:p>
            <w:pPr>
              <w:spacing w:before="0" w:after="0" w:line="300" w:lineRule="auto"/>
              <w:jc w:val="left"/>
            </w:pPr>
            <w:r>
              <w:rPr>
                <w:rFonts w:ascii="Aptos" w:hAnsi="Aptos" w:eastAsia="Microsoft YaHei" w:cs="Aptos"/>
                <w:b w:val="0"/>
                <w:color w:val="222222"/>
                <w:sz w:val="19"/>
              </w:rPr>
              <w:t>围绕地区差异与行业差异逐步扩展，覆盖更多区域、项目类型和专业场景。</w:t>
            </w:r>
          </w:p>
        </w:tc>
        <w:tc>
          <w:tcPr>
            <w:tcW w:type="dxa" w:w="2948"/>
            <w:tcBorders>
              <w:left w:val="single" w:sz="6" w:color="E1E7EB"/>
              <w:top w:val="single" w:sz="6" w:color="E1E7EB"/>
              <w:right w:val="single" w:sz="6" w:color="E1E7EB"/>
              <w:bottom w:val="single" w:sz="6" w:color="E1E7EB"/>
            </w:tcBorders>
            <w:tcMar>
              <w:top w:w="85" w:type="dxa"/>
              <w:start w:w="90" w:type="dxa"/>
              <w:bottom w:w="85" w:type="dxa"/>
              <w:end w:w="90" w:type="dxa"/>
            </w:tcMar>
          </w:tcPr>
          <w:p>
            <w:pPr>
              <w:spacing w:before="0" w:after="0" w:line="300" w:lineRule="auto"/>
              <w:jc w:val="left"/>
            </w:pPr>
            <w:r>
              <w:rPr>
                <w:rFonts w:ascii="Aptos" w:hAnsi="Aptos" w:eastAsia="Microsoft YaHei" w:cs="Aptos"/>
                <w:b w:val="0"/>
                <w:color w:val="222222"/>
                <w:sz w:val="19"/>
              </w:rPr>
              <w:t>沉淀全国通用底座 + 区域/行业扩展体系</w:t>
            </w:r>
          </w:p>
        </w:tc>
      </w:tr>
    </w:tbl>
    <w:p>
      <w:pPr>
        <w:pStyle w:val="HeadingCN1"/>
        <w:spacing w:before="0" w:after="160" w:line="324" w:lineRule="auto"/>
        <w:keepNext/>
        <w:keepLines/>
      </w:pPr>
      <w:r>
        <w:rPr>
          <w:rFonts w:ascii="Aptos" w:hAnsi="Aptos" w:eastAsia="Microsoft YaHei" w:cs="Aptos"/>
          <w:b/>
          <w:color w:val="145C7D"/>
          <w:sz w:val="34"/>
        </w:rPr>
        <w:t>七、长期价值主张</w:t>
      </w:r>
    </w:p>
    <w:p>
      <w:pPr>
        <w:spacing w:before="0" w:after="200" w:line="324" w:lineRule="auto"/>
        <w:shd w:fill="DDECF2"/>
      </w:pPr>
      <w:r>
        <w:t xml:space="preserve"> </w:t>
      </w:r>
    </w:p>
    <w:p>
      <w:pPr>
        <w:pStyle w:val="BodyCN"/>
        <w:spacing w:before="40" w:after="140" w:line="348" w:lineRule="auto"/>
      </w:pPr>
      <w:r>
        <w:rPr>
          <w:rFonts w:ascii="Aptos" w:hAnsi="Aptos" w:eastAsia="Microsoft YaHei" w:cs="Aptos"/>
          <w:color w:val="222222"/>
          <w:sz w:val="21"/>
        </w:rPr>
        <w:t>平台的长期价值，不止在于节省时间，而在于重塑行业工作方式：从经验驱动走向规则驱动，从人工拼接走向系统装配，从个人能力走向组织能力，从被动审查走向前置合规。</w:t>
      </w:r>
    </w:p>
    <w:tbl>
      <w:tblPr>
        <w:tblW w:type="auto" w:w="0"/>
        <w:jc w:val="center"/>
        <w:tblLayout w:type="fixed"/>
        <w:tblLook w:firstColumn="1" w:firstRow="1" w:lastColumn="0" w:lastRow="0" w:noHBand="0" w:noVBand="1" w:val="04A0"/>
      </w:tblPr>
      <w:tblGrid>
        <w:gridCol w:w="9746"/>
      </w:tblGrid>
      <w:tr>
        <w:tc>
          <w:tcPr>
            <w:tcW w:type="dxa" w:w="8844"/>
            <w:shd w:fill="EEF6F9"/>
            <w:tcBorders>
              <w:left w:val="single" w:sz="10" w:color="B6D6E3"/>
              <w:top w:val="single" w:sz="10" w:color="B6D6E3"/>
              <w:right w:val="single" w:sz="10" w:color="B6D6E3"/>
              <w:bottom w:val="single" w:sz="10" w:color="B6D6E3"/>
            </w:tcBorders>
            <w:tcMar>
              <w:top w:w="160" w:type="dxa"/>
              <w:start w:w="180" w:type="dxa"/>
              <w:bottom w:w="160" w:type="dxa"/>
              <w:end w:w="180" w:type="dxa"/>
            </w:tcMar>
          </w:tcPr>
          <w:p>
            <w:pPr>
              <w:spacing w:before="0" w:after="0" w:line="324" w:lineRule="auto"/>
              <w:jc w:val="center"/>
            </w:pPr>
            <w:r>
              <w:rPr>
                <w:rFonts w:ascii="Aptos" w:hAnsi="Aptos" w:eastAsia="Microsoft YaHei" w:cs="Aptos"/>
                <w:b/>
                <w:color w:val="2E7D32"/>
                <w:sz w:val="22"/>
              </w:rPr>
              <w:t>一句话定位</w:t>
              <w:br/>
            </w:r>
            <w:r>
              <w:rPr>
                <w:rFonts w:ascii="Aptos" w:hAnsi="Aptos" w:eastAsia="Microsoft YaHei" w:cs="Aptos"/>
                <w:b/>
                <w:color w:val="145C7D"/>
                <w:sz w:val="22"/>
              </w:rPr>
              <w:t>建设一套面向生产建设项目水土保持方案的专业智能编制与审查平台，让项目事实、法规规范、成果工件与审查逻辑在同一系统内闭环运行。</w:t>
            </w:r>
          </w:p>
        </w:tc>
      </w:tr>
    </w:tbl>
    <w:sectPr w:rsidR="00FC693F" w:rsidRPr="0006063C" w:rsidSect="00034616">
      <w:headerReference w:type="default" r:id="rId9"/>
      <w:footerReference w:type="default" r:id="rId10"/>
      <w:pgSz w:w="12240" w:h="15840"/>
      <w:pgMar w:top="1191"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s="Aptos"/>
        <w:color w:val="606060"/>
        <w:sz w:val="18"/>
      </w:rPr>
      <w:t>愿景与定位白皮书（V1）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Microsoft YaHei" w:cs="Aptos"/>
        <w:color w:val="606060"/>
        <w:sz w:val="18"/>
      </w:rPr>
      <w:t>生产建设项目水土保持方案智能编制与审查平台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Microsoft YaHe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N">
    <w:name w:val="Body CN"/>
    <w:basedOn w:val="Normal"/>
    <w:rPr>
      <w:rFonts w:ascii="Aptos" w:hAnsi="Aptos" w:eastAsia="Microsoft YaHei"/>
      <w:b w:val="0"/>
      <w:color w:val="222222"/>
      <w:sz w:val="21"/>
    </w:rPr>
  </w:style>
  <w:style w:type="paragraph" w:customStyle="1" w:styleId="SmallCN">
    <w:name w:val="Small CN"/>
    <w:basedOn w:val="Normal"/>
    <w:rPr>
      <w:rFonts w:ascii="Aptos" w:hAnsi="Aptos" w:eastAsia="Microsoft YaHei"/>
      <w:b w:val="0"/>
      <w:color w:val="606060"/>
      <w:sz w:val="18"/>
    </w:rPr>
  </w:style>
  <w:style w:type="paragraph" w:customStyle="1" w:styleId="HeadingCN1">
    <w:name w:val="Heading CN 1"/>
    <w:basedOn w:val="Normal"/>
    <w:rPr>
      <w:rFonts w:ascii="Aptos" w:hAnsi="Aptos" w:eastAsia="Microsoft YaHei"/>
      <w:b/>
      <w:color w:val="145C7D"/>
      <w:sz w:val="34"/>
    </w:rPr>
  </w:style>
  <w:style w:type="paragraph" w:customStyle="1" w:styleId="HeadingCN2">
    <w:name w:val="Heading CN 2"/>
    <w:basedOn w:val="Normal"/>
    <w:rPr>
      <w:rFonts w:ascii="Aptos" w:hAnsi="Aptos" w:eastAsia="Microsoft YaHei"/>
      <w:b/>
      <w:color w:val="145C7D"/>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