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25C3F" w14:textId="38A35CDE" w:rsidR="000B242B" w:rsidRDefault="000B242B" w:rsidP="000B242B">
      <w:pPr>
        <w:pStyle w:val="1"/>
        <w:jc w:val="center"/>
        <w:rPr>
          <w:rFonts w:hint="eastAsia"/>
        </w:rPr>
      </w:pPr>
      <w:r>
        <w:rPr>
          <w:rFonts w:hint="eastAsia"/>
        </w:rPr>
        <w:t>生猪数据字典</w:t>
      </w:r>
    </w:p>
    <w:p w14:paraId="2E4920FE" w14:textId="33524734" w:rsidR="0024248A" w:rsidRDefault="00000000">
      <w:pPr>
        <w:rPr>
          <w:rFonts w:hint="eastAsia"/>
        </w:rPr>
      </w:pPr>
      <w:r>
        <w:t>我们的生猪数据涵盖官方数据（统计局、农业农村部）、协会数据（畜牧业协会、饲料工业协会）和咨询机构（涌益、钢联、博亚和</w:t>
      </w:r>
      <w:proofErr w:type="gramStart"/>
      <w:r>
        <w:t>讯以及卓创部分</w:t>
      </w:r>
      <w:proofErr w:type="gramEnd"/>
      <w:r>
        <w:t>数据）。其中，核心数据是农业农村</w:t>
      </w:r>
      <w:proofErr w:type="gramStart"/>
      <w:r>
        <w:t>部规模场数据</w:t>
      </w:r>
      <w:proofErr w:type="gramEnd"/>
      <w:r>
        <w:t>并以此为基准建立生猪供给模型。其他口径数据无法建立完整的供给模型，但是在特定的指标上可以给与更详细的交叉验证。</w:t>
      </w:r>
    </w:p>
    <w:p w14:paraId="46837BF3" w14:textId="77777777" w:rsidR="0024248A" w:rsidRPr="006C6ACE" w:rsidRDefault="00000000" w:rsidP="006C6ACE">
      <w:pPr>
        <w:spacing w:beforeLines="100" w:before="312"/>
        <w:rPr>
          <w:rFonts w:hint="eastAsia"/>
          <w:b/>
          <w:sz w:val="28"/>
        </w:rPr>
      </w:pPr>
      <w:bookmarkStart w:id="0" w:name="g8o2-1749174733435"/>
      <w:bookmarkEnd w:id="0"/>
      <w:r>
        <w:rPr>
          <w:b/>
          <w:sz w:val="28"/>
        </w:rPr>
        <w:t>一、</w:t>
      </w:r>
      <w:proofErr w:type="gramStart"/>
      <w:r>
        <w:rPr>
          <w:b/>
          <w:sz w:val="28"/>
        </w:rPr>
        <w:t>能繁母猪</w:t>
      </w:r>
      <w:proofErr w:type="gramEnd"/>
      <w:r>
        <w:rPr>
          <w:b/>
          <w:sz w:val="28"/>
        </w:rPr>
        <w:t>样本：</w:t>
      </w:r>
    </w:p>
    <w:p w14:paraId="3D3704A6" w14:textId="77777777" w:rsidR="0024248A" w:rsidRDefault="00000000">
      <w:pPr>
        <w:rPr>
          <w:rFonts w:hint="eastAsia"/>
        </w:rPr>
      </w:pPr>
      <w:bookmarkStart w:id="1" w:name="LRoc-1749178468640"/>
      <w:bookmarkEnd w:id="1"/>
      <w:r>
        <w:t>1、官方数据主要是统计局季度数据和农业农村部月度数据两个，其中农业农村</w:t>
      </w:r>
      <w:proofErr w:type="gramStart"/>
      <w:r>
        <w:t>部数据</w:t>
      </w:r>
      <w:proofErr w:type="gramEnd"/>
      <w:r>
        <w:t>体系包括出栏500头以上的</w:t>
      </w:r>
      <w:proofErr w:type="gramStart"/>
      <w:r>
        <w:t>规模场</w:t>
      </w:r>
      <w:proofErr w:type="gramEnd"/>
      <w:r>
        <w:t>全国样本数据（大致18万家养殖场），和小散户抽样统计数据（样本量包含</w:t>
      </w:r>
      <w:r>
        <w:rPr>
          <w:color w:val="F33232"/>
        </w:rPr>
        <w:t>8000个村</w:t>
      </w:r>
      <w:r>
        <w:t>）；另外有统计局季度数据，但是因为频率过低在此简略，关于农业部生猪专题网页数据中农业部月度数据和统计局季度数据的结合，在附录1详细阐述。</w:t>
      </w:r>
    </w:p>
    <w:p w14:paraId="02BA3950" w14:textId="77777777" w:rsidR="0024248A" w:rsidRDefault="00000000">
      <w:pPr>
        <w:rPr>
          <w:rFonts w:hint="eastAsia"/>
        </w:rPr>
      </w:pPr>
      <w:bookmarkStart w:id="2" w:name="FDk6-1749178612398"/>
      <w:bookmarkEnd w:id="2"/>
      <w:r>
        <w:t>2、畜牧业协会生猪数据样本是石守定老师统计的大约110家核心种猪场的生产数据，同样包含了</w:t>
      </w:r>
      <w:proofErr w:type="gramStart"/>
      <w:r>
        <w:t>从能繁母猪</w:t>
      </w:r>
      <w:proofErr w:type="gramEnd"/>
      <w:r>
        <w:t>——仔猪——出栏的完整循环，但是勾</w:t>
      </w:r>
      <w:proofErr w:type="gramStart"/>
      <w:r>
        <w:t>稽</w:t>
      </w:r>
      <w:proofErr w:type="gramEnd"/>
      <w:r>
        <w:t>关系不如农业部</w:t>
      </w:r>
      <w:proofErr w:type="gramStart"/>
      <w:r>
        <w:t>规模场数据</w:t>
      </w:r>
      <w:proofErr w:type="gramEnd"/>
      <w:r>
        <w:t>严谨，一般主要参考其中</w:t>
      </w:r>
      <w:proofErr w:type="gramStart"/>
      <w:r>
        <w:t>的能繁母猪</w:t>
      </w:r>
      <w:proofErr w:type="gramEnd"/>
      <w:r>
        <w:t>和仔猪两个特定指标；</w:t>
      </w:r>
    </w:p>
    <w:p w14:paraId="3D355FD8" w14:textId="77777777" w:rsidR="0024248A" w:rsidRDefault="00000000">
      <w:pPr>
        <w:rPr>
          <w:rFonts w:hint="eastAsia"/>
        </w:rPr>
      </w:pPr>
      <w:bookmarkStart w:id="3" w:name="lBci-1749180501809"/>
      <w:bookmarkEnd w:id="3"/>
      <w:r>
        <w:t>3、钢联样本包含</w:t>
      </w:r>
      <w:proofErr w:type="gramStart"/>
      <w:r>
        <w:t>规模场</w:t>
      </w:r>
      <w:proofErr w:type="gramEnd"/>
      <w:r>
        <w:t>和小散户，其中</w:t>
      </w:r>
      <w:proofErr w:type="gramStart"/>
      <w:r>
        <w:t>规模场</w:t>
      </w:r>
      <w:proofErr w:type="gramEnd"/>
      <w:r>
        <w:t>样本包含123家大型规模企业，</w:t>
      </w:r>
      <w:proofErr w:type="gramStart"/>
      <w:r>
        <w:t>能繁母猪</w:t>
      </w:r>
      <w:proofErr w:type="gramEnd"/>
      <w:r>
        <w:t>体量500万头左右，户均4万头母猪；小散户样本包含85家养殖户，</w:t>
      </w:r>
      <w:proofErr w:type="gramStart"/>
      <w:r>
        <w:t>能繁母猪</w:t>
      </w:r>
      <w:proofErr w:type="gramEnd"/>
      <w:r>
        <w:t>规模在17万左右，户均2000头母猪；</w:t>
      </w:r>
    </w:p>
    <w:p w14:paraId="43AABAA3" w14:textId="77777777" w:rsidR="0024248A" w:rsidRDefault="00000000">
      <w:pPr>
        <w:rPr>
          <w:rFonts w:hint="eastAsia"/>
        </w:rPr>
      </w:pPr>
      <w:bookmarkStart w:id="4" w:name="DVEM-1749178896944"/>
      <w:bookmarkEnd w:id="4"/>
      <w:r>
        <w:t>4、</w:t>
      </w:r>
      <w:proofErr w:type="gramStart"/>
      <w:r>
        <w:t>涌益咨询</w:t>
      </w:r>
      <w:proofErr w:type="gramEnd"/>
      <w:r>
        <w:t>的各个数据指标并未采纳统一的统计样本，具体是：</w:t>
      </w:r>
    </w:p>
    <w:p w14:paraId="07C6CF8B" w14:textId="77777777" w:rsidR="0024248A" w:rsidRDefault="00000000">
      <w:pPr>
        <w:rPr>
          <w:rFonts w:hint="eastAsia"/>
        </w:rPr>
      </w:pPr>
      <w:bookmarkStart w:id="5" w:name="UH5j-1749193097439"/>
      <w:bookmarkEnd w:id="5"/>
      <w:r>
        <w:t>（1）出栏量以及出栏计划，统计各省区前15-20家养殖企业，2340万出栏；</w:t>
      </w:r>
    </w:p>
    <w:p w14:paraId="7114B02E" w14:textId="77777777" w:rsidR="0024248A" w:rsidRDefault="00000000">
      <w:pPr>
        <w:rPr>
          <w:rFonts w:hint="eastAsia"/>
        </w:rPr>
      </w:pPr>
      <w:bookmarkStart w:id="6" w:name="ogSt-1749193099938"/>
      <w:bookmarkEnd w:id="6"/>
      <w:r>
        <w:t>（2）</w:t>
      </w:r>
      <w:proofErr w:type="gramStart"/>
      <w:r>
        <w:t>能繁母猪</w:t>
      </w:r>
      <w:proofErr w:type="gramEnd"/>
      <w:r>
        <w:t>-新生仔猪两个指标结合的生产效率指标数据：21年5月7日样本（985万）；</w:t>
      </w:r>
    </w:p>
    <w:p w14:paraId="41B7C6C1" w14:textId="77777777" w:rsidR="0024248A" w:rsidRDefault="00000000">
      <w:pPr>
        <w:rPr>
          <w:rFonts w:hint="eastAsia"/>
        </w:rPr>
      </w:pPr>
      <w:bookmarkStart w:id="7" w:name="V4DG-1749193113106"/>
      <w:bookmarkEnd w:id="7"/>
      <w:r>
        <w:t>（3）</w:t>
      </w:r>
      <w:proofErr w:type="gramStart"/>
      <w:r>
        <w:t>能繁母猪</w:t>
      </w:r>
      <w:proofErr w:type="gramEnd"/>
      <w:r>
        <w:t>存栏/生猪存栏数据一套，20年2月新增样本（115万），统计419家养殖企业；户均2750头母猪</w:t>
      </w:r>
    </w:p>
    <w:p w14:paraId="29FB0D02" w14:textId="620D727B" w:rsidR="0024248A" w:rsidRDefault="00000000" w:rsidP="00BC5A59">
      <w:bookmarkStart w:id="8" w:name="tdQT-1749193118939"/>
      <w:bookmarkEnd w:id="8"/>
      <w:r>
        <w:t>（4）自2016年开始的数据，</w:t>
      </w:r>
      <w:proofErr w:type="gramStart"/>
      <w:r>
        <w:t>能繁规模</w:t>
      </w:r>
      <w:proofErr w:type="gramEnd"/>
      <w:r>
        <w:t>62.6万，</w:t>
      </w:r>
      <w:proofErr w:type="gramStart"/>
      <w:r>
        <w:t>包含能繁存栏</w:t>
      </w:r>
      <w:proofErr w:type="gramEnd"/>
      <w:r>
        <w:t>和生猪出栏数据，统计269家养殖企业；</w:t>
      </w:r>
      <w:r>
        <w:lastRenderedPageBreak/>
        <w:t>户均2330头母猪</w:t>
      </w:r>
      <w:bookmarkStart w:id="9" w:name="sr98-1749201006103"/>
      <w:bookmarkEnd w:id="9"/>
    </w:p>
    <w:p w14:paraId="57224D98" w14:textId="17D76D4F" w:rsidR="00BC5A59" w:rsidRDefault="00BC5A59" w:rsidP="000B242B">
      <w:pPr>
        <w:jc w:val="center"/>
        <w:rPr>
          <w:rFonts w:hint="eastAsia"/>
        </w:rPr>
      </w:pPr>
      <w:r>
        <w:rPr>
          <w:noProof/>
        </w:rPr>
        <w:drawing>
          <wp:inline distT="0" distB="0" distL="0" distR="0" wp14:anchorId="3E891EE8" wp14:editId="2EF7AC00">
            <wp:extent cx="6120130" cy="1924685"/>
            <wp:effectExtent l="0" t="0" r="0" b="0"/>
            <wp:docPr id="11" name="图片 10">
              <a:extLst xmlns:a="http://schemas.openxmlformats.org/drawingml/2006/main">
                <a:ext uri="{FF2B5EF4-FFF2-40B4-BE49-F238E27FC236}">
                  <a16:creationId xmlns:a16="http://schemas.microsoft.com/office/drawing/2014/main" id="{D15F894E-C8B8-FA6A-362F-7120FE5BE7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D15F894E-C8B8-FA6A-362F-7120FE5BE75C}"/>
                        </a:ext>
                      </a:extLst>
                    </pic:cNvP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20130" cy="1924685"/>
                    </a:xfrm>
                    <a:prstGeom prst="rect">
                      <a:avLst/>
                    </a:prstGeom>
                    <a:noFill/>
                  </pic:spPr>
                </pic:pic>
              </a:graphicData>
            </a:graphic>
          </wp:inline>
        </w:drawing>
      </w:r>
    </w:p>
    <w:p w14:paraId="1F2ED1A2" w14:textId="77777777" w:rsidR="0024248A" w:rsidRDefault="00000000" w:rsidP="006C6ACE">
      <w:pPr>
        <w:spacing w:beforeLines="100" w:before="312"/>
        <w:rPr>
          <w:rFonts w:hint="eastAsia"/>
        </w:rPr>
      </w:pPr>
      <w:bookmarkStart w:id="10" w:name="0qW6-1749193763259"/>
      <w:bookmarkEnd w:id="10"/>
      <w:r>
        <w:rPr>
          <w:b/>
          <w:sz w:val="28"/>
        </w:rPr>
        <w:t>二、饲料统计样本：</w:t>
      </w:r>
    </w:p>
    <w:p w14:paraId="622CE767" w14:textId="77777777" w:rsidR="0024248A" w:rsidRDefault="00000000">
      <w:pPr>
        <w:rPr>
          <w:rFonts w:hint="eastAsia"/>
        </w:rPr>
      </w:pPr>
      <w:bookmarkStart w:id="11" w:name="uuMa-1749194170165"/>
      <w:bookmarkEnd w:id="11"/>
      <w:r>
        <w:t>我们目前的饲料数据统计口径主要有三个，分别是饲料工业协会数据，涵盖了全国所有具备饲料生产许可证的饲料企业月度猪料生产数据；</w:t>
      </w:r>
      <w:proofErr w:type="gramStart"/>
      <w:r>
        <w:t>涌益咨询猪料环</w:t>
      </w:r>
      <w:proofErr w:type="gramEnd"/>
      <w:r>
        <w:t>比数据，主要包括15家大型饲料厂的月度环比数据；另外还有跟踪的六家主要上市公司的饲料生产数据。</w:t>
      </w:r>
    </w:p>
    <w:p w14:paraId="3BD19BB8" w14:textId="55BCEBF2" w:rsidR="0024248A" w:rsidRDefault="00000000">
      <w:pPr>
        <w:rPr>
          <w:rFonts w:hint="eastAsia"/>
        </w:rPr>
      </w:pPr>
      <w:bookmarkStart w:id="12" w:name="b2Ap-1749194336870"/>
      <w:bookmarkEnd w:id="12"/>
      <w:r>
        <w:t>饲料数据的应用主要是通过</w:t>
      </w:r>
      <w:proofErr w:type="gramStart"/>
      <w:r>
        <w:t>仔猪料环比</w:t>
      </w:r>
      <w:proofErr w:type="gramEnd"/>
      <w:r>
        <w:t>数据和仔猪</w:t>
      </w:r>
      <w:proofErr w:type="gramStart"/>
      <w:r>
        <w:t>产量环</w:t>
      </w:r>
      <w:proofErr w:type="gramEnd"/>
      <w:r>
        <w:t>比数据做拟合和验证；其次是使用母猪料</w:t>
      </w:r>
      <w:proofErr w:type="gramStart"/>
      <w:r>
        <w:t>和能繁母猪</w:t>
      </w:r>
      <w:proofErr w:type="gramEnd"/>
      <w:r>
        <w:t>环比数据判断趋势；由于协会育肥</w:t>
      </w:r>
      <w:proofErr w:type="gramStart"/>
      <w:r>
        <w:t>料数据</w:t>
      </w:r>
      <w:proofErr w:type="gramEnd"/>
      <w:r>
        <w:t>仅包含部分全价料，因此总体趋势逻辑上并无法和生猪存栏拟合，但是在特殊时点育肥料的单月环比增幅可以间接判断中大猪的压栏和抛售情况。</w:t>
      </w:r>
      <w:bookmarkStart w:id="13" w:name="rqgV-1749193387168"/>
      <w:bookmarkEnd w:id="13"/>
    </w:p>
    <w:p w14:paraId="734FB097" w14:textId="77777777" w:rsidR="0024248A" w:rsidRPr="006C6ACE" w:rsidRDefault="00000000" w:rsidP="006C6ACE">
      <w:pPr>
        <w:spacing w:beforeLines="100" w:before="312"/>
        <w:rPr>
          <w:rFonts w:hint="eastAsia"/>
          <w:b/>
          <w:sz w:val="28"/>
        </w:rPr>
      </w:pPr>
      <w:bookmarkStart w:id="14" w:name="IgqH-1749194834512"/>
      <w:bookmarkEnd w:id="14"/>
      <w:r>
        <w:rPr>
          <w:b/>
          <w:sz w:val="28"/>
        </w:rPr>
        <w:t>三、屠宰数据：</w:t>
      </w:r>
    </w:p>
    <w:p w14:paraId="53368D63" w14:textId="77777777" w:rsidR="0024248A" w:rsidRDefault="00000000">
      <w:pPr>
        <w:rPr>
          <w:rFonts w:hint="eastAsia"/>
        </w:rPr>
      </w:pPr>
      <w:bookmarkStart w:id="15" w:name="qFcu-1749195339099"/>
      <w:bookmarkEnd w:id="15"/>
      <w:r>
        <w:t>在整体的</w:t>
      </w:r>
      <w:proofErr w:type="gramStart"/>
      <w:r>
        <w:t>研</w:t>
      </w:r>
      <w:proofErr w:type="gramEnd"/>
      <w:r>
        <w:t>判框架中，生猪屠宰量一方面是验证出栏量和总体供给水平，另一方面也是通过屠宰量和价格的结合，观察供需平衡情况。</w:t>
      </w:r>
    </w:p>
    <w:p w14:paraId="6EDAE49B" w14:textId="77777777" w:rsidR="0024248A" w:rsidRDefault="00000000">
      <w:pPr>
        <w:rPr>
          <w:rFonts w:hint="eastAsia"/>
        </w:rPr>
      </w:pPr>
      <w:bookmarkStart w:id="16" w:name="lTym-1749195445328"/>
      <w:bookmarkEnd w:id="16"/>
      <w:r>
        <w:t>生猪屠宰量指标包含两个数据：（1）农业农村</w:t>
      </w:r>
      <w:proofErr w:type="gramStart"/>
      <w:r>
        <w:t>部规模</w:t>
      </w:r>
      <w:proofErr w:type="gramEnd"/>
      <w:r>
        <w:t>以上定点屠宰企业月度屠宰量数据，全国所有年屠宰量5万头以上的屠宰厂全部纳入统计范围，</w:t>
      </w:r>
      <w:proofErr w:type="gramStart"/>
      <w:r>
        <w:t>规</w:t>
      </w:r>
      <w:proofErr w:type="gramEnd"/>
      <w:r>
        <w:t>上定点屠宰量约占全国生猪总消费量的65-70%；（2）</w:t>
      </w:r>
      <w:proofErr w:type="gramStart"/>
      <w:r>
        <w:t>涌益咨询</w:t>
      </w:r>
      <w:proofErr w:type="gramEnd"/>
      <w:r>
        <w:t>的周度屠宰数据，共计包含115家屠宰企业，日均屠宰量在12-18万头。</w:t>
      </w:r>
    </w:p>
    <w:p w14:paraId="5E80FFC0" w14:textId="77777777" w:rsidR="0024248A" w:rsidRDefault="00000000">
      <w:pPr>
        <w:rPr>
          <w:rFonts w:hint="eastAsia"/>
        </w:rPr>
      </w:pPr>
      <w:bookmarkStart w:id="17" w:name="NPQa-1749195732342"/>
      <w:bookmarkEnd w:id="17"/>
      <w:r>
        <w:t>从实际使用效果来看，</w:t>
      </w:r>
      <w:proofErr w:type="gramStart"/>
      <w:r>
        <w:t>涌益日度</w:t>
      </w:r>
      <w:proofErr w:type="gramEnd"/>
      <w:r>
        <w:t>屠宰数据和农业农村</w:t>
      </w:r>
      <w:proofErr w:type="gramStart"/>
      <w:r>
        <w:t>部规模</w:t>
      </w:r>
      <w:proofErr w:type="gramEnd"/>
      <w:r>
        <w:t>以上定点屠宰数据拟合度很高，可以作为月度屠宰数据的一个前瞻性指标。</w:t>
      </w:r>
    </w:p>
    <w:p w14:paraId="15E042E4" w14:textId="77777777" w:rsidR="0024248A" w:rsidRDefault="00000000">
      <w:pPr>
        <w:rPr>
          <w:rFonts w:hint="eastAsia"/>
        </w:rPr>
      </w:pPr>
      <w:bookmarkStart w:id="18" w:name="veZY-1749196122723"/>
      <w:bookmarkEnd w:id="18"/>
      <w:r>
        <w:t>另外，</w:t>
      </w:r>
      <w:proofErr w:type="gramStart"/>
      <w:r>
        <w:t>涌益咨询</w:t>
      </w:r>
      <w:proofErr w:type="gramEnd"/>
      <w:r>
        <w:t>有一个周度</w:t>
      </w:r>
      <w:proofErr w:type="gramStart"/>
      <w:r>
        <w:t>分结构</w:t>
      </w:r>
      <w:proofErr w:type="gramEnd"/>
      <w:r>
        <w:t>的屠宰数据，包含全国规模以上屠宰企业，屠宰量120万头+，省市</w:t>
      </w:r>
      <w:r>
        <w:lastRenderedPageBreak/>
        <w:t>级规模屠宰企业，屠宰量60万头+，县及以上屠宰企业，屠宰量数百头。由于样本偏差太大，且小屠宰</w:t>
      </w:r>
      <w:proofErr w:type="gramStart"/>
      <w:r>
        <w:t>数据环</w:t>
      </w:r>
      <w:proofErr w:type="gramEnd"/>
      <w:r>
        <w:t>比变化太大不具有参考性，因此该项数据并没有纳入我们的数据体系之中，但是会在特殊的节日期间参考一下小屠宰企业的宰量。</w:t>
      </w:r>
    </w:p>
    <w:p w14:paraId="6ED4F7FE" w14:textId="2C778A79" w:rsidR="0024248A" w:rsidRDefault="00BC5A59">
      <w:pPr>
        <w:rPr>
          <w:rFonts w:hint="eastAsia"/>
        </w:rPr>
      </w:pPr>
      <w:bookmarkStart w:id="19" w:name="QAZa-1749201128106"/>
      <w:bookmarkEnd w:id="19"/>
      <w:r>
        <w:rPr>
          <w:noProof/>
        </w:rPr>
        <w:drawing>
          <wp:inline distT="0" distB="0" distL="0" distR="0" wp14:anchorId="6B807195" wp14:editId="508812B6">
            <wp:extent cx="6120130" cy="1355090"/>
            <wp:effectExtent l="0" t="0" r="0" b="0"/>
            <wp:docPr id="12" name="图片 11">
              <a:extLst xmlns:a="http://schemas.openxmlformats.org/drawingml/2006/main">
                <a:ext uri="{FF2B5EF4-FFF2-40B4-BE49-F238E27FC236}">
                  <a16:creationId xmlns:a16="http://schemas.microsoft.com/office/drawing/2014/main" id="{831E5076-100C-435C-5A74-C9DFE9AF1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831E5076-100C-435C-5A74-C9DFE9AF167D}"/>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1355090"/>
                    </a:xfrm>
                    <a:prstGeom prst="rect">
                      <a:avLst/>
                    </a:prstGeom>
                    <a:noFill/>
                  </pic:spPr>
                </pic:pic>
              </a:graphicData>
            </a:graphic>
          </wp:inline>
        </w:drawing>
      </w:r>
      <w:bookmarkStart w:id="20" w:name="Jf9i-1749201128110"/>
      <w:bookmarkEnd w:id="20"/>
    </w:p>
    <w:p w14:paraId="3C82F4C9" w14:textId="1BE788D9" w:rsidR="0024248A" w:rsidRPr="006C6ACE" w:rsidRDefault="00000000" w:rsidP="006C6ACE">
      <w:pPr>
        <w:spacing w:beforeLines="100" w:before="312"/>
        <w:rPr>
          <w:rFonts w:hint="eastAsia"/>
          <w:b/>
          <w:sz w:val="28"/>
        </w:rPr>
      </w:pPr>
      <w:bookmarkStart w:id="21" w:name="768i-1749196697753"/>
      <w:bookmarkEnd w:id="21"/>
      <w:r>
        <w:rPr>
          <w:b/>
          <w:sz w:val="28"/>
        </w:rPr>
        <w:t>四、其他数据：</w:t>
      </w:r>
      <w:bookmarkStart w:id="22" w:name="tuGz-1749196885091"/>
      <w:bookmarkEnd w:id="22"/>
    </w:p>
    <w:p w14:paraId="06F589AE" w14:textId="51559D66" w:rsidR="0024248A" w:rsidRDefault="00BC5A59" w:rsidP="00BC5A59">
      <w:pPr>
        <w:jc w:val="center"/>
        <w:rPr>
          <w:rFonts w:hint="eastAsia"/>
        </w:rPr>
      </w:pPr>
      <w:bookmarkStart w:id="23" w:name="Uy0U-1749201627119"/>
      <w:bookmarkEnd w:id="23"/>
      <w:r>
        <w:rPr>
          <w:noProof/>
        </w:rPr>
        <w:drawing>
          <wp:inline distT="0" distB="0" distL="0" distR="0" wp14:anchorId="5C84436B" wp14:editId="591B5941">
            <wp:extent cx="5491163" cy="2971800"/>
            <wp:effectExtent l="0" t="0" r="0" b="0"/>
            <wp:docPr id="13" name="图片 12">
              <a:extLst xmlns:a="http://schemas.openxmlformats.org/drawingml/2006/main">
                <a:ext uri="{FF2B5EF4-FFF2-40B4-BE49-F238E27FC236}">
                  <a16:creationId xmlns:a16="http://schemas.microsoft.com/office/drawing/2014/main" id="{7FB37B6C-8710-3584-45B3-D23C54524E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7FB37B6C-8710-3584-45B3-D23C54524EEA}"/>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91163" cy="29718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C79B691" w14:textId="77777777" w:rsidR="00BC5A59" w:rsidRDefault="00BC5A59" w:rsidP="00BC5A59">
      <w:pPr>
        <w:rPr>
          <w:rFonts w:hint="eastAsia"/>
        </w:rPr>
      </w:pPr>
      <w:bookmarkStart w:id="24" w:name="5T89-1749201627124"/>
      <w:bookmarkEnd w:id="24"/>
      <w:r>
        <w:rPr>
          <w:b/>
        </w:rPr>
        <w:t>1、淘汰母猪屠宰量和价格数据：</w:t>
      </w:r>
      <w:r>
        <w:t>采纳河南地区6家主要淘汰母猪屠宰场的周度日均屠宰量和价格数据；淘汰母猪数据和</w:t>
      </w:r>
      <w:proofErr w:type="gramStart"/>
      <w:r>
        <w:t>能繁数据</w:t>
      </w:r>
      <w:proofErr w:type="gramEnd"/>
      <w:r>
        <w:t>可以交叉验证，淘汰母猪往往对应宰量上升和价格大幅下降。其中特殊的原因在于，淘汰母猪屠宰是定向定点的，因此短期需求可以看作刚性，一旦明显放量往往对价格会有明显反应。</w:t>
      </w:r>
    </w:p>
    <w:p w14:paraId="045D98F8" w14:textId="77777777" w:rsidR="00BC5A59" w:rsidRDefault="00BC5A59" w:rsidP="00BC5A59">
      <w:pPr>
        <w:rPr>
          <w:rFonts w:hint="eastAsia"/>
        </w:rPr>
      </w:pPr>
      <w:bookmarkStart w:id="25" w:name="YxxV-1749197174247"/>
      <w:bookmarkEnd w:id="25"/>
      <w:r>
        <w:rPr>
          <w:b/>
        </w:rPr>
        <w:t>2、</w:t>
      </w:r>
      <w:proofErr w:type="gramStart"/>
      <w:r>
        <w:rPr>
          <w:b/>
        </w:rPr>
        <w:t>日度出栏</w:t>
      </w:r>
      <w:proofErr w:type="gramEnd"/>
      <w:r>
        <w:rPr>
          <w:b/>
        </w:rPr>
        <w:t>数据：</w:t>
      </w:r>
      <w:r>
        <w:t>分别是河南地区</w:t>
      </w:r>
      <w:proofErr w:type="gramStart"/>
      <w:r>
        <w:t>牧原出栏</w:t>
      </w:r>
      <w:proofErr w:type="gramEnd"/>
      <w:r>
        <w:t>量、出栏结构和价格数据，以及TOP5</w:t>
      </w:r>
      <w:proofErr w:type="gramStart"/>
      <w:r>
        <w:t>集团日度出栏</w:t>
      </w:r>
      <w:proofErr w:type="gramEnd"/>
      <w:r>
        <w:t>数据；该项数据在判断短期供需，特别是阶段性的放量抛售或者缩量挺价上相对可靠；</w:t>
      </w:r>
    </w:p>
    <w:p w14:paraId="15C20FBA" w14:textId="77777777" w:rsidR="00BC5A59" w:rsidRDefault="00BC5A59" w:rsidP="00BC5A59">
      <w:pPr>
        <w:rPr>
          <w:rFonts w:hint="eastAsia"/>
        </w:rPr>
      </w:pPr>
      <w:bookmarkStart w:id="26" w:name="E6vi-1749197960252"/>
      <w:bookmarkEnd w:id="26"/>
      <w:r>
        <w:rPr>
          <w:b/>
        </w:rPr>
        <w:t>3、均重数据：</w:t>
      </w:r>
      <w:r>
        <w:t>农业部宰后均重、三方机构也有相应的周度均重数据。均</w:t>
      </w:r>
      <w:proofErr w:type="gramStart"/>
      <w:r>
        <w:t>重数据主要研</w:t>
      </w:r>
      <w:proofErr w:type="gramEnd"/>
      <w:r>
        <w:t>判中长期抛压，以</w:t>
      </w:r>
      <w:r>
        <w:lastRenderedPageBreak/>
        <w:t>及当前压栏情况。</w:t>
      </w:r>
    </w:p>
    <w:p w14:paraId="50E21DCC" w14:textId="77777777" w:rsidR="00BC5A59" w:rsidRDefault="00BC5A59" w:rsidP="00BC5A59">
      <w:pPr>
        <w:rPr>
          <w:rFonts w:hint="eastAsia"/>
        </w:rPr>
      </w:pPr>
      <w:bookmarkStart w:id="27" w:name="wUJC-1749198174720"/>
      <w:bookmarkEnd w:id="27"/>
      <w:r>
        <w:rPr>
          <w:b/>
        </w:rPr>
        <w:t>4、标肥价差数据：</w:t>
      </w:r>
      <w:proofErr w:type="gramStart"/>
      <w:r>
        <w:t>涌益周度</w:t>
      </w:r>
      <w:proofErr w:type="gramEnd"/>
      <w:r>
        <w:t>数据</w:t>
      </w:r>
    </w:p>
    <w:p w14:paraId="14AF96B4" w14:textId="0D9E030A" w:rsidR="0024248A" w:rsidRDefault="00BC5A59" w:rsidP="00BC5A59">
      <w:pPr>
        <w:rPr>
          <w:rFonts w:hint="eastAsia"/>
        </w:rPr>
      </w:pPr>
      <w:bookmarkStart w:id="28" w:name="TeGX-1749198075413"/>
      <w:bookmarkEnd w:id="28"/>
      <w:r>
        <w:rPr>
          <w:b/>
        </w:rPr>
        <w:t>5、周度价格数据：</w:t>
      </w:r>
      <w:r>
        <w:t>包括商品猪、仔猪价格；标肥价差；地区价差（吉林-河南-四川-广东）；养殖利润（含自繁自养和外购仔猪育肥两部分）等，该部分数据直接采纳</w:t>
      </w:r>
      <w:proofErr w:type="gramStart"/>
      <w:r>
        <w:t>涌益咨询</w:t>
      </w:r>
      <w:proofErr w:type="gramEnd"/>
      <w:r>
        <w:t>的统计。猪粮比数据则</w:t>
      </w:r>
      <w:proofErr w:type="gramStart"/>
      <w:r>
        <w:t>是发改委</w:t>
      </w:r>
      <w:proofErr w:type="gramEnd"/>
      <w:r>
        <w:t>周度公布数据，猪粮比数据可以作为政策调控的要给重要前瞻指标。</w:t>
      </w:r>
    </w:p>
    <w:sectPr w:rsidR="0024248A" w:rsidSect="000B242B">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24248A"/>
    <w:rsid w:val="000B242B"/>
    <w:rsid w:val="0024248A"/>
    <w:rsid w:val="00284FBA"/>
    <w:rsid w:val="002F5F31"/>
    <w:rsid w:val="006C6ACE"/>
    <w:rsid w:val="007A2A39"/>
    <w:rsid w:val="00BC5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7C201"/>
  <w15:docId w15:val="{462A793A-097C-423A-B6E9-1B08DDC25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微软雅黑" w:hAnsi="微软雅黑" w:cs="Times New Roman"/>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0"/>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35D4"/>
    <w:rPr>
      <w:b/>
      <w:bCs/>
      <w:kern w:val="44"/>
      <w:sz w:val="44"/>
      <w:szCs w:val="44"/>
    </w:rPr>
  </w:style>
  <w:style w:type="character" w:customStyle="1" w:styleId="20">
    <w:name w:val="标题 2 字符"/>
    <w:basedOn w:val="a0"/>
    <w:link w:val="2"/>
    <w:uiPriority w:val="9"/>
    <w:rsid w:val="004535D4"/>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535D4"/>
    <w:rPr>
      <w:b/>
      <w:bCs/>
      <w:sz w:val="32"/>
      <w:szCs w:val="32"/>
    </w:rPr>
  </w:style>
  <w:style w:type="character" w:customStyle="1" w:styleId="40">
    <w:name w:val="标题 4 字符"/>
    <w:basedOn w:val="a0"/>
    <w:link w:val="4"/>
    <w:uiPriority w:val="9"/>
    <w:rsid w:val="004535D4"/>
    <w:rPr>
      <w:rFonts w:asciiTheme="majorHAnsi" w:eastAsiaTheme="majorEastAsia" w:hAnsiTheme="majorHAnsi" w:cstheme="majorBidi"/>
      <w:b/>
      <w:bCs/>
      <w:sz w:val="28"/>
      <w:szCs w:val="28"/>
    </w:rPr>
  </w:style>
  <w:style w:type="character" w:customStyle="1" w:styleId="50">
    <w:name w:val="标题 5 字符"/>
    <w:basedOn w:val="a0"/>
    <w:link w:val="5"/>
    <w:uiPriority w:val="9"/>
    <w:rsid w:val="004535D4"/>
    <w:rPr>
      <w:b/>
      <w:bCs/>
      <w:sz w:val="28"/>
      <w:szCs w:val="28"/>
    </w:rPr>
  </w:style>
  <w:style w:type="character" w:customStyle="1" w:styleId="60">
    <w:name w:val="标题 6 字符"/>
    <w:basedOn w:val="a0"/>
    <w:link w:val="6"/>
    <w:uiPriority w:val="9"/>
    <w:rsid w:val="004535D4"/>
    <w:rPr>
      <w:rFonts w:asciiTheme="majorHAnsi" w:eastAsiaTheme="majorEastAsia" w:hAnsiTheme="majorHAnsi" w:cstheme="majorBidi"/>
      <w:b/>
      <w:bCs/>
      <w:sz w:val="24"/>
      <w:szCs w:val="24"/>
    </w:rPr>
  </w:style>
  <w:style w:type="character" w:customStyle="1" w:styleId="70">
    <w:name w:val="标题 7 字符"/>
    <w:basedOn w:val="a0"/>
    <w:link w:val="7"/>
    <w:uiPriority w:val="9"/>
    <w:rsid w:val="004535D4"/>
    <w:rPr>
      <w:b/>
      <w:bCs/>
      <w:sz w:val="24"/>
      <w:szCs w:val="24"/>
    </w:rPr>
  </w:style>
  <w:style w:type="character" w:customStyle="1" w:styleId="80">
    <w:name w:val="标题 8 字符"/>
    <w:basedOn w:val="a0"/>
    <w:link w:val="8"/>
    <w:uiPriority w:val="9"/>
    <w:rsid w:val="004535D4"/>
    <w:rPr>
      <w:rFonts w:asciiTheme="majorHAnsi" w:eastAsiaTheme="majorEastAsia" w:hAnsiTheme="majorHAnsi" w:cstheme="majorBidi"/>
      <w:sz w:val="24"/>
      <w:szCs w:val="24"/>
    </w:rPr>
  </w:style>
  <w:style w:type="character" w:customStyle="1" w:styleId="90">
    <w:name w:val="标题 9 字符"/>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a4"/>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a4">
    <w:name w:val="标题 字符"/>
    <w:basedOn w:val="a0"/>
    <w:link w:val="a3"/>
    <w:uiPriority w:val="10"/>
    <w:rsid w:val="00E73C16"/>
    <w:rPr>
      <w:rFonts w:asciiTheme="majorHAnsi" w:eastAsia="宋体" w:hAnsiTheme="majorHAnsi" w:cstheme="majorBidi"/>
      <w:b/>
      <w:bCs/>
      <w:sz w:val="32"/>
      <w:szCs w:val="32"/>
    </w:rPr>
  </w:style>
  <w:style w:type="paragraph" w:styleId="a5">
    <w:name w:val="Subtitle"/>
    <w:basedOn w:val="a"/>
    <w:next w:val="a"/>
    <w:link w:val="a6"/>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6">
    <w:name w:val="副标题 字符"/>
    <w:basedOn w:val="a0"/>
    <w:link w:val="a5"/>
    <w:uiPriority w:val="11"/>
    <w:rsid w:val="00E73C16"/>
    <w:rPr>
      <w:rFonts w:asciiTheme="majorHAnsi" w:eastAsia="宋体" w:hAnsiTheme="majorHAnsi" w:cstheme="maj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277</Words>
  <Characters>1581</Characters>
  <Application>Microsoft Office Word</Application>
  <DocSecurity>0</DocSecurity>
  <Lines>13</Lines>
  <Paragraphs>3</Paragraphs>
  <ScaleCrop>false</ScaleCrop>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Di Lu</cp:lastModifiedBy>
  <cp:revision>6</cp:revision>
  <dcterms:created xsi:type="dcterms:W3CDTF">2025-06-06T09:21:00Z</dcterms:created>
  <dcterms:modified xsi:type="dcterms:W3CDTF">2025-06-06T09:28:00Z</dcterms:modified>
</cp:coreProperties>
</file>