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B18878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C23ED4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Пензенский государственный университет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5834EEC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Кафедра «Вычислительная техника»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B67868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422A37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ABB526B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DE71B4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C6B5CF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B0B2AF5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526486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D28794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курсу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ЭВМ и периферийные устройства»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9E59B83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тему «Выполнение ветвлений вычислительного процесса»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87BF0D9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4D890AA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5AF8DB2">
      <w:pPr>
        <w:pBdr/>
        <w:spacing w:after="0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8FA5513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7CA16D5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Выполнили: ст. группы 24ВВИ1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7A626D0A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Будников А.С.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B7CEC4D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Гурин А.Н.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92607F0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Приняли: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988F097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к.т.н., доцент Голенков Е.П.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C7BA5B9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ст.преподаватель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Патунин Д.В.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84F5EFB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CB24491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0993E88">
      <w:pPr>
        <w:pBdr/>
        <w:spacing w:after="0" w:line="360" w:lineRule="auto"/>
        <w:ind w:right="0" w:firstLine="540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CEC4B81"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06B2458">
      <w:pPr>
        <w:pBdr/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Пенза 2026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411B271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45CEEA83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Научиться составлять </w:t>
      </w:r>
      <w:r>
        <w:rPr>
          <w:highlight w:val="none"/>
          <w:lang w:val="ru-RU"/>
        </w:rPr>
        <w:t xml:space="preserve">микропрограммы, содержащие операции условных переходов и выполнять их на программном эмуляторе микропроцессорного комплекса К1804.</w:t>
      </w: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4E35B0A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Лабораторное задание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00F8562">
      <w:pPr>
        <w:pBdr/>
        <w:spacing w:after="0" w:line="360" w:lineRule="auto"/>
        <w:ind w:firstLine="708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При выполнении работы должна быть составлена и отлажена микропрограмма, реализую</w:t>
      </w:r>
      <w:r>
        <w:rPr>
          <w:highlight w:val="none"/>
          <w:lang w:val="ru-RU"/>
        </w:rPr>
        <w:t xml:space="preserve">щая последовательность действий, в соответствие с вариантом 2: </w:t>
      </w:r>
      <w:r>
        <w:rPr>
          <w14:ligatures w14:val="none"/>
        </w:rPr>
      </w:r>
      <w:r>
        <w:rPr>
          <w14:ligatures w14:val="none"/>
        </w:rPr>
      </w:r>
      <w:r>
        <w:rPr>
          <w:highlight w:val="none"/>
          <w14:ligatures w14:val="none"/>
        </w:rPr>
        <w:t xml:space="preserve">Записать в R2 наибольшее из чисел, хранящихся в регистрах R0 и R1 (числа це</w:t>
      </w:r>
      <w:r>
        <w:rPr>
          <w:highlight w:val="none"/>
          <w14:ligatures w14:val="none"/>
        </w:rPr>
        <w:t xml:space="preserve">лые в дополнительном коде)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</w:p>
    <w:p w14:paraId="43678E6F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Алгоритм решения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6B66FF10">
      <w:pPr>
        <w:pBdr/>
        <w:spacing w:after="0" w:line="360" w:lineRule="auto"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Схема алгоритма программы представлена на рисунке 1.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6D5659F">
      <w:pPr>
        <w:pStyle w:val="667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4805" cy="45100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653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604805" cy="4510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3.84pt;height:355.1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 w14:paraId="37D0843F">
      <w:pPr>
        <w:pStyle w:val="667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Рисунок 1 – Блок-схема алгоритма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A52FF4D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Ручной расчет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7259E537">
      <w:pPr>
        <w:pStyle w:val="667"/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Возьмем два произвольных числа, например,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X1 =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-1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subscript"/>
          <w:lang w:val="ru-RU"/>
        </w:rPr>
        <w:t xml:space="preserve">10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X2 =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2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vertAlign w:val="subscript"/>
          <w:lang w:val="ru-RU"/>
        </w:rPr>
        <w:t xml:space="preserve">10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Переведем их в дополнительный код: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899D03F">
      <w:pPr>
        <w:pStyle w:val="667"/>
        <w:pBdr/>
        <w:spacing/>
        <w:ind/>
        <w:jc w:val="center"/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X1 =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10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0010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sub>
        </m:sSub>
      </m:oMath>
      <w:r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r>
      <w:r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r>
    </w:p>
    <w:p w14:paraId="641414CE">
      <w:pPr>
        <w:pStyle w:val="667"/>
        <w:pBdr/>
        <w:spacing/>
        <w:ind/>
        <w:jc w:val="center"/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pPr>
      <w:r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r>
      <w:r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r>
      <w:r>
        <w:rPr>
          <w:rFonts w:ascii="Cambria Math" w:hAnsi="Cambria Math" w:eastAsia="Cambria Math" w:cs="Cambria Math"/>
          <w:sz w:val="28"/>
          <w:szCs w:val="28"/>
          <w:highlight w:val="none"/>
          <w:lang w:val="ru-RU" w:bidi="ru-RU"/>
        </w:rPr>
      </w:r>
    </w:p>
    <w:p w14:paraId="59D7F3D5">
      <w:pPr>
        <w:pBdr/>
        <w:spacing w:after="0" w:line="360" w:lineRule="auto"/>
        <w:ind w:firstLine="708"/>
        <w:jc w:val="center"/>
        <w:rPr>
          <w:highlight w:val="none"/>
          <w14:ligatures w14:val="none"/>
        </w:rPr>
      </w:pPr>
      <w:r>
        <w:rPr>
          <w:highlight w:val="none"/>
          <w:lang w:val="en-US"/>
          <w14:ligatures w14:val="none"/>
        </w:rPr>
        <w:t xml:space="preserve">X2 = </w:t>
      </w:r>
      <w:r>
        <w:rPr>
          <w:highlight w:val="none"/>
          <w14:ligatures w14:val="none"/>
        </w:rPr>
      </w:r>
      <m:oMath>
        <m:r>
          <w:rPr>
            <w:rFonts w:hint="default" w:ascii="Cambria Math" w:hAnsi="Cambria Math" w:eastAsia="Cambria Math" w:cs="Cambria Math"/>
            <w:highlight w:val="none"/>
            <w14:ligatures w14:val="none"/>
          </w:rPr>
          <m:rPr>
            <m:sty m:val="i"/>
          </m:rPr>
          <m:t>-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1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10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14:ligatures w14:val="none"/>
          </w:rPr>
          <m:rPr>
            <m:sty m:val="i"/>
          </m:rPr>
          <m:t>=¬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0001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14:ligatures w14:val="none"/>
          </w:rPr>
          <m:rPr>
            <m:sty m:val="i"/>
          </m:rPr>
          <m:t>+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0001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14:ligatures w14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1110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14:ligatures w14:val="none"/>
          </w:rPr>
          <m:rPr>
            <m:sty m:val="i"/>
          </m:rPr>
          <m:t>+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0001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14:ligatures w14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1111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14:ligatures w14:val="none"/>
              </w:rPr>
              <m:rPr>
                <m:sty m:val="i"/>
              </m:rPr>
              <m:t>2</m:t>
            </m:r>
          </m:sub>
        </m:sSub>
      </m:oMath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firstLine="0"/>
        <w:rPr>
          <w:highlight w:val="none"/>
        </w:rPr>
      </w:pPr>
      <m:oMathPara>
        <m:oMathParaPr/>
        <m:oMath>
          <m:r>
            <w:rPr>
              <w:rFonts w:hint="default" w:ascii="Cambria Math" w:hAnsi="Cambria Math" w:eastAsia="Cambria Math" w:cs="Cambria Math"/>
              <w:lang w:val="en-US" w:bidi="en-US"/>
            </w:rPr>
            <m:rPr/>
            <m:t>Y =</m:t>
          </m:r>
          <m:sSub>
            <m:sSubPr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0010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-</m:t>
          </m:r>
          <m:sSub>
            <m:sSubPr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1111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=</m:t>
          </m:r>
          <m:sSub>
            <m:sSubPr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0010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0001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lang w:val="en-US" w:bidi="en-US"/>
            </w:rPr>
            <m:rPr>
              <m:sty m:val="i"/>
            </m:rPr>
            <m:t>=</m:t>
          </m:r>
          <m:sSub>
            <m:sSubPr>
              <m:ctrlPr>
                <w:rPr>
                  <w:rFonts w:ascii="Cambria Math" w:hAnsi="Cambria Math" w:eastAsia="Cambria Math" w:cs="Cambria Math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0011</m:t>
              </m:r>
            </m:e>
            <m:sub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2</m:t>
              </m:r>
            </m:sub>
          </m:sSub>
        </m:oMath>
      </m:oMathPara>
      <w:r/>
      <w:r>
        <w:rPr>
          <w:highlight w:val="none"/>
        </w:rPr>
      </w:r>
    </w:p>
    <w:p w14:paraId="42FEA551">
      <w:pPr>
        <w:pBdr/>
        <w:spacing/>
        <w:ind/>
        <w:rPr>
          <w:highlight w:val="none"/>
          <w:vertAlign w:val="baseline"/>
          <w:lang w:val="en-US"/>
        </w:rPr>
      </w:pPr>
      <w:r>
        <w:rPr>
          <w:highlight w:val="none"/>
        </w:rPr>
        <w:t xml:space="preserve">Итого, </w:t>
      </w:r>
      <w:r>
        <w:rPr>
          <w:highlight w:val="none"/>
          <w:lang w:val="en-US"/>
        </w:rPr>
        <w:t xml:space="preserve">Y = </w:t>
      </w:r>
      <w:r>
        <w:rPr>
          <w:highlight w:val="none"/>
          <w:lang w:val="en-US"/>
        </w:rPr>
        <w:t xml:space="preserve">0011</w:t>
      </w:r>
      <w:r>
        <w:rPr>
          <w:highlight w:val="none"/>
          <w:vertAlign w:val="subscript"/>
          <w:lang w:val="en-US"/>
        </w:rPr>
        <w:t xml:space="preserve">2</w:t>
      </w:r>
      <w:r>
        <w:rPr>
          <w:highlight w:val="none"/>
          <w:vertAlign w:val="baseline"/>
          <w:lang w:val="en-US"/>
        </w:rPr>
        <w:t xml:space="preserve"> = 3</w:t>
      </w:r>
      <w:r>
        <w:rPr>
          <w:highlight w:val="none"/>
          <w:vertAlign w:val="subscript"/>
          <w:lang w:val="en-US"/>
        </w:rPr>
        <w:t xml:space="preserve">10</w:t>
      </w:r>
      <w:r>
        <w:rPr>
          <w:highlight w:val="none"/>
          <w:vertAlign w:val="baseline"/>
          <w:lang w:val="en-US"/>
        </w:rPr>
        <w:t xml:space="preserve">. </w:t>
      </w:r>
      <w:r>
        <w:rPr>
          <w:highlight w:val="none"/>
          <w:vertAlign w:val="baseline"/>
          <w:lang w:val="ru-RU"/>
        </w:rPr>
        <w:t xml:space="preserve">В данном случае флаг </w:t>
      </w:r>
      <w:r>
        <w:rPr>
          <w:highlight w:val="none"/>
          <w:vertAlign w:val="baseline"/>
          <w:lang w:val="en-US"/>
        </w:rPr>
        <w:t xml:space="preserve">F3, </w:t>
      </w:r>
      <w:r>
        <w:rPr>
          <w:highlight w:val="none"/>
          <w:vertAlign w:val="baseline"/>
          <w:lang w:val="ru-RU"/>
        </w:rPr>
        <w:t xml:space="preserve">дублирующий старший разряд результат АЛУ, будет рав</w:t>
      </w:r>
      <w:r>
        <w:rPr>
          <w:highlight w:val="none"/>
          <w:vertAlign w:val="baseline"/>
          <w:lang w:val="ru-RU"/>
        </w:rPr>
        <w:t xml:space="preserve">ен </w:t>
      </w:r>
      <w:r>
        <w:rPr>
          <w:highlight w:val="none"/>
          <w:vertAlign w:val="baseline"/>
          <w:lang w:val="en-US"/>
        </w:rPr>
        <w:t xml:space="preserve">0</w:t>
      </w:r>
      <w:r>
        <w:rPr>
          <w:highlight w:val="none"/>
          <w:vertAlign w:val="baseline"/>
          <w:lang w:val="ru-RU"/>
        </w:rPr>
        <w:t xml:space="preserve">. </w:t>
      </w:r>
      <w:r>
        <w:rPr>
          <w:highlight w:val="none"/>
          <w:vertAlign w:val="baseline"/>
          <w:lang w:val="ru-RU"/>
        </w:rPr>
        <w:t xml:space="preserve">Из этого следует, что </w:t>
      </w:r>
      <w:r>
        <w:rPr>
          <w:highlight w:val="none"/>
          <w:vertAlign w:val="baseline"/>
          <w:lang w:val="en-US"/>
        </w:rPr>
        <w:t xml:space="preserve">X2 &gt;= X1.</w:t>
      </w:r>
      <w:r>
        <w:rPr>
          <w:highlight w:val="none"/>
          <w:vertAlign w:val="baseline"/>
        </w:rPr>
      </w:r>
    </w:p>
    <w:p w14:paraId="7F505AEF">
      <w:pPr>
        <w:pBdr/>
        <w:spacing/>
        <w:ind w:right="0" w:firstLine="708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  <w:t xml:space="preserve">Кодирование таблицы микропрограмм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158"/>
        <w:gridCol w:w="799"/>
        <w:gridCol w:w="799"/>
        <w:gridCol w:w="799"/>
        <w:gridCol w:w="799"/>
        <w:gridCol w:w="799"/>
        <w:gridCol w:w="799"/>
        <w:gridCol w:w="799"/>
        <w:gridCol w:w="799"/>
        <w:gridCol w:w="1810"/>
      </w:tblGrid>
      <w:tr>
        <w:trPr/>
        <w:tc>
          <w:tcPr>
            <w:tcBorders/>
            <w:tcW w:w="1158" w:type="dxa"/>
            <w:vMerge w:val="restart"/>
          </w:tcPr>
          <w:p w14:paraId="6494DF3F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Адрес памяти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gridSpan w:val="8"/>
            <w:tcBorders/>
            <w:tcW w:w="6392" w:type="dxa"/>
          </w:tcPr>
          <w:p w14:paraId="36F0B19A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Номер тетрад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  <w:vMerge w:val="restart"/>
          </w:tcPr>
          <w:p w14:paraId="6308F4FF">
            <w:pPr>
              <w:suppressLineNumbers w:val="false"/>
              <w:pBdr/>
              <w:spacing/>
              <w:ind w:firstLine="0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</w:tr>
      <w:tr>
        <w:trPr/>
        <w:tc>
          <w:tcPr>
            <w:tcBorders/>
            <w:tcW w:w="1158" w:type="dxa"/>
            <w:vMerge w:val="continue"/>
          </w:tcPr>
          <w:p w14:paraId="5DBA5BB1">
            <w:pPr>
              <w:pBdr/>
              <w:spacing/>
              <w:ind/>
              <w:rPr/>
            </w:pPr>
            <w:r/>
          </w:p>
        </w:tc>
        <w:tc>
          <w:tcPr>
            <w:tcBorders/>
            <w:tcW w:w="799" w:type="dxa"/>
          </w:tcPr>
          <w:p w14:paraId="32BE8F3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2C1790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A6859F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49971B8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D49A7A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46183B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798E25D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7B335F11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  <w:vMerge w:val="continue"/>
          </w:tcPr>
          <w:p w14:paraId="4BF6F374">
            <w:pPr>
              <w:pBdr/>
              <w:spacing/>
              <w:ind/>
              <w:rPr/>
            </w:pPr>
            <w:r/>
          </w:p>
        </w:tc>
      </w:tr>
      <w:tr>
        <w:trPr/>
        <w:tc>
          <w:tcPr>
            <w:tcBorders/>
            <w:tcW w:w="1158" w:type="dxa"/>
          </w:tcPr>
          <w:p w14:paraId="2B6A836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4716881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2C8BC681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48AC354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AE24B1D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BFBFB73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874105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60CB84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22C1053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</w:tcPr>
          <w:p w14:paraId="5B45015A">
            <w:pPr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subscript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highlight w:val="none"/>
                <w:vertAlign w:val="baseli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</w:tcPr>
          <w:p w14:paraId="4C1E657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80E68E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40F129C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AFA662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23DF42B3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051C01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585A3A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2300A6AD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3316F4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</w:tcPr>
          <w:p w14:paraId="5B45015A">
            <w:pPr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vertAlign w:val="subscript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highlight w:val="none"/>
                <w:vertAlign w:val="baseli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</w:tcPr>
          <w:p w14:paraId="726A64D3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7DE1F2E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1E80B7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513F2F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07F05C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1484B08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4F0A40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72D2D92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00FF1A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</w:tcPr>
          <w:p w14:paraId="246EF68D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/>
              </w:rPr>
              <w:t xml:space="preserve"> – 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</w:tcPr>
          <w:p w14:paraId="3139CD0A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7A403FD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77353F8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4FBDCE05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43774041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FF0B21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B71F18F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7F9BE1F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D3EDF73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</w:tcPr>
          <w:p w14:paraId="0B99115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/>
              </w:rPr>
              <w:t xml:space="preserve">Jovr 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</w:tr>
      <w:tr>
        <w:trPr/>
        <w:tc>
          <w:tcPr>
            <w:tcBorders/>
            <w:tcW w:w="1158" w:type="dxa"/>
          </w:tcPr>
          <w:p w14:paraId="0A1250B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33DCB65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DD3D04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3B3A7C2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C86D1F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6917571D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5E6D5FD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1E5FEA5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799" w:type="dxa"/>
          </w:tcPr>
          <w:p w14:paraId="2A0FB4D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1810" w:type="dxa"/>
          </w:tcPr>
          <w:p w14:paraId="41BEFAF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– 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Jf3 AR</w:t>
            </w: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  <w:vMerge w:val="restart"/>
          </w:tcPr>
          <w:p w14:paraId="55864FA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03510AA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7FCC415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970BD2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291D007F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40458A8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BF1604D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42083E9B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23C9DCF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1810" w:type="dxa"/>
            <w:vMerge w:val="restart"/>
          </w:tcPr>
          <w:p w14:paraId="3DEB455D">
            <w:pPr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  <w:lang w:val="en-US"/>
              </w:rPr>
              <w:t xml:space="preserve"> Jmp 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  <w:vMerge w:val="restart"/>
          </w:tcPr>
          <w:p w14:paraId="1A91160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4C854DD2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4D6D253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BD4FF3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E1F3271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940633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3BAEFE7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0677DDA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59E48CC8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1810" w:type="dxa"/>
            <w:vMerge w:val="restart"/>
          </w:tcPr>
          <w:p w14:paraId="7B26EFF5">
            <w:pPr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vertAlign w:val="subscript"/>
                <w:lang w:val="en-US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vertAlign w:val="baseline"/>
                <w:lang w:val="en-US"/>
              </w:rPr>
              <w:t xml:space="preserve">Jmp 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  <w:vMerge w:val="restart"/>
          </w:tcPr>
          <w:p w14:paraId="46B81760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47DB745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DA7953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57C987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48EE4C60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3FDDB7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77BE815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E555C1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0AC05D2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1810" w:type="dxa"/>
            <w:vMerge w:val="restart"/>
          </w:tcPr>
          <w:p w14:paraId="156BE5E5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 – 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  <w:lang w:val="en-US"/>
              </w:rPr>
              <w:t xml:space="preserve">Jf3 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  <w:r/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1158" w:type="dxa"/>
            <w:vMerge w:val="restart"/>
          </w:tcPr>
          <w:p w14:paraId="4E97379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79106C5A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4E284A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3EC96746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9B0996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0DE739B5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6A3B0E5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BA20901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0E99090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1810" w:type="dxa"/>
            <w:vMerge w:val="restart"/>
          </w:tcPr>
          <w:p w14:paraId="0B20363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/>
              </w:rPr>
              <w:t xml:space="preserve">Jmp 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</w:tr>
      <w:tr>
        <w:trPr/>
        <w:tc>
          <w:tcPr>
            <w:tcBorders/>
            <w:tcW w:w="1158" w:type="dxa"/>
            <w:vMerge w:val="restart"/>
          </w:tcPr>
          <w:p w14:paraId="5E0AC8B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6CB4687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5C1CF02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3D9A020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2C36C84C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1914C611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7F48D894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5128936E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799" w:type="dxa"/>
            <w:vMerge w:val="restart"/>
          </w:tcPr>
          <w:p w14:paraId="6AE20389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1810" w:type="dxa"/>
            <w:vMerge w:val="restart"/>
          </w:tcPr>
          <w:p w14:paraId="5FD0AAC8">
            <w:pPr>
              <w:suppressLineNumbers w:val="false"/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en-US"/>
              </w:rPr>
              <w:t xml:space="preserve">Jmp 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</w:tr>
    </w:tbl>
    <w:p w14:paraId="544BCFF5">
      <w:pPr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6532A010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Трассировка работы программы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325CF118"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Последовательное выполнение заданных команд эмулятором представлено на рисунках 2 - 5.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0A55BB11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7298" cy="36644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955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027298" cy="3664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7.11pt;height:288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 w:bidi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vertAlign w:val="baseline"/>
          <w:lang w:val="ru-RU"/>
        </w:rPr>
      </w:r>
    </w:p>
    <w:p w14:paraId="7D53FF54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Рисунок 2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Загрузка чис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ел в РОН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0 и РОН1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1E2B88B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37AD8F5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0770" cy="386325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765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70769" cy="3863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6.28pt;height:304.1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51274D13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Рисунок 3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Операция вычитания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перед проверкой флага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F3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72206497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70770" cy="38849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031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70769" cy="3884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6.28pt;height:305.9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62469BDD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Рисунок 4 – Запись значения из РОН0 в РОН2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1B3E00DC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1DC6640D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5192" cy="36630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220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055191" cy="3663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9.31pt;height:288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68AD8B5C">
      <w:pPr>
        <w:pStyle w:val="667"/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Рисунок 5 – Окончание выполнения программы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436C0B1D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Результат работы программы совпадает с ожидаемым результатом, следовательно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расчет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и программирование микропроцессора были выполнены верно.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4F0A828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6C4412B7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28ED8060">
      <w:pPr>
        <w:pBdr/>
        <w:spacing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t xml:space="preserve">В ходе выполнения лабораторной работы была разработана </w:t>
      </w:r>
      <w:r>
        <w:t xml:space="preserve">микро</w:t>
      </w:r>
      <w:r>
        <w:t xml:space="preserve">программа, которая </w:t>
      </w:r>
      <w:r>
        <w:t xml:space="preserve">получает на  вход некоторый набор </w:t>
      </w:r>
      <w:r>
        <w:t xml:space="preserve">из двух чисел в дополнительно коде и в ходе работы записывает большее из них в выделенный регистр</w:t>
      </w:r>
      <w:r>
        <w:t xml:space="preserve">. Результаты работы программы совпали с результатами расчета вручную.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D4E595">
      <w:pPr>
        <w:pBdr/>
        <w:spacing/>
        <w:ind w:firstLine="0"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360" w:lineRule="auto"/>
      <w:ind w:firstLine="708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2026-09-16T13:41:41Z</dcterms:modified>
</cp:coreProperties>
</file>