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5845D8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 xml:space="preserve">Conception – Chapitre </w:t>
      </w:r>
      <w:r w:rsidR="001552EE">
        <w:rPr>
          <w:sz w:val="28"/>
        </w:rPr>
        <w:t>4</w:t>
      </w:r>
      <w:r w:rsidR="00245FC4" w:rsidRPr="001D3CA8">
        <w:rPr>
          <w:sz w:val="28"/>
        </w:rPr>
        <w:t xml:space="preserve"> : </w:t>
      </w:r>
      <w:r>
        <w:rPr>
          <w:sz w:val="28"/>
        </w:rPr>
        <w:t xml:space="preserve">Liaison </w:t>
      </w:r>
      <w:r w:rsidR="001552EE">
        <w:rPr>
          <w:sz w:val="28"/>
        </w:rPr>
        <w:t>pivot par paliers Lisses</w:t>
      </w:r>
    </w:p>
    <w:p w:rsidR="001D3CA8" w:rsidRDefault="001D3CA8" w:rsidP="00617A95"/>
    <w:p w:rsidR="001D3CA8" w:rsidRPr="001D3CA8" w:rsidRDefault="005845D8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Application</w:t>
      </w:r>
      <w:r w:rsidR="008E26D8">
        <w:rPr>
          <w:sz w:val="28"/>
        </w:rPr>
        <w:t xml:space="preserve"> 01 – </w:t>
      </w:r>
      <w:bookmarkEnd w:id="0"/>
      <w:bookmarkEnd w:id="1"/>
      <w:r w:rsidR="001552EE">
        <w:rPr>
          <w:sz w:val="28"/>
        </w:rPr>
        <w:t xml:space="preserve">Tendeur de Courroie </w:t>
      </w:r>
    </w:p>
    <w:p w:rsidR="00CC07BF" w:rsidRDefault="00CC07BF" w:rsidP="00CC07BF"/>
    <w:p w:rsidR="001552EE" w:rsidRDefault="001552EE" w:rsidP="00CC07BF"/>
    <w:p w:rsidR="001552EE" w:rsidRDefault="001552EE" w:rsidP="001552EE">
      <w:pPr>
        <w:pStyle w:val="Titre2"/>
        <w:numPr>
          <w:ilvl w:val="0"/>
          <w:numId w:val="0"/>
        </w:numPr>
        <w:ind w:left="360" w:hanging="360"/>
      </w:pPr>
      <w:r>
        <w:t>1°- Description</w:t>
      </w:r>
    </w:p>
    <w:p w:rsidR="001552EE" w:rsidRDefault="001552EE" w:rsidP="001552EE">
      <w:r>
        <w:t xml:space="preserve">Le mécanisme représente un dispositif pour tendre une courroie de transmission d’une machine. </w:t>
      </w:r>
    </w:p>
    <w:p w:rsidR="001552EE" w:rsidRDefault="001552EE" w:rsidP="001552EE">
      <w:r>
        <w:t xml:space="preserve"> </w:t>
      </w:r>
      <w:r>
        <w:tab/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8"/>
        <w:gridCol w:w="2056"/>
        <w:gridCol w:w="4198"/>
      </w:tblGrid>
      <w:tr w:rsidR="001552EE" w:rsidTr="001552EE">
        <w:tc>
          <w:tcPr>
            <w:tcW w:w="3448" w:type="dxa"/>
            <w:vAlign w:val="center"/>
          </w:tcPr>
          <w:p w:rsidR="001552EE" w:rsidRDefault="001552EE" w:rsidP="001552E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532380" cy="2068195"/>
                  <wp:effectExtent l="19050" t="0" r="127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6000" contrast="2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38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vAlign w:val="center"/>
          </w:tcPr>
          <w:p w:rsidR="001552EE" w:rsidRDefault="001552EE" w:rsidP="001552E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169670" cy="1802130"/>
                  <wp:effectExtent l="19050" t="0" r="0" b="0"/>
                  <wp:docPr id="5" name="Image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670" cy="180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vAlign w:val="center"/>
          </w:tcPr>
          <w:p w:rsidR="001552EE" w:rsidRDefault="001552EE" w:rsidP="001552E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549525" cy="1916430"/>
                  <wp:effectExtent l="19050" t="0" r="317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12000" contrast="4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525" cy="191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52EE" w:rsidRDefault="001552EE" w:rsidP="001552EE"/>
    <w:p w:rsidR="001552EE" w:rsidRDefault="001552EE" w:rsidP="001552EE">
      <w:r>
        <w:t>Il comprend un bâti fixe 6 sur lequel est monté un support 1 supportant la poulie 2. Ce support peut être réglé par pivotement pour assurer la tension de la courroie.</w:t>
      </w:r>
    </w:p>
    <w:p w:rsidR="001552EE" w:rsidRDefault="001552EE" w:rsidP="001552EE"/>
    <w:p w:rsidR="001552EE" w:rsidRDefault="001552EE" w:rsidP="001552EE">
      <w:pPr>
        <w:pStyle w:val="Titre2"/>
        <w:numPr>
          <w:ilvl w:val="0"/>
          <w:numId w:val="0"/>
        </w:numPr>
        <w:ind w:left="360" w:hanging="360"/>
      </w:pPr>
      <w:r>
        <w:t>2°- Propositions de construction</w:t>
      </w:r>
    </w:p>
    <w:p w:rsidR="001552EE" w:rsidRDefault="001552EE" w:rsidP="001552EE">
      <w:r>
        <w:t xml:space="preserve"> Il faudra donc s’attacher aux points suivants :</w:t>
      </w:r>
    </w:p>
    <w:p w:rsidR="001552EE" w:rsidRDefault="001552EE" w:rsidP="001552EE">
      <w:pPr>
        <w:pStyle w:val="Paragraphedeliste"/>
        <w:numPr>
          <w:ilvl w:val="0"/>
          <w:numId w:val="33"/>
        </w:numPr>
      </w:pPr>
      <w:r>
        <w:t>le support 1 est en liaison pivot avec un axe 7 lié à 6 par une liaison encastrement démontable ;</w:t>
      </w:r>
    </w:p>
    <w:p w:rsidR="001552EE" w:rsidRDefault="001552EE" w:rsidP="001552EE">
      <w:pPr>
        <w:pStyle w:val="Paragraphedeliste"/>
        <w:numPr>
          <w:ilvl w:val="0"/>
          <w:numId w:val="33"/>
        </w:numPr>
      </w:pPr>
      <w:r>
        <w:t>la position réglable du support 1 est fixée par un élément fileté 5 à concevoir. L’amplitude du réglage doit être de 45° ;</w:t>
      </w:r>
    </w:p>
    <w:p w:rsidR="001552EE" w:rsidRDefault="001552EE" w:rsidP="001552EE">
      <w:pPr>
        <w:pStyle w:val="Paragraphedeliste"/>
        <w:numPr>
          <w:ilvl w:val="0"/>
          <w:numId w:val="33"/>
        </w:numPr>
      </w:pPr>
      <w:r>
        <w:t>la poulie est munie d’une bague en bronze 4. Elle est en liaison pivot avec un axe 3 ;</w:t>
      </w:r>
    </w:p>
    <w:p w:rsidR="001552EE" w:rsidRDefault="001552EE" w:rsidP="001552EE">
      <w:pPr>
        <w:pStyle w:val="Paragraphedeliste"/>
        <w:numPr>
          <w:ilvl w:val="0"/>
          <w:numId w:val="33"/>
        </w:numPr>
      </w:pPr>
      <w:r>
        <w:t>l’axe 3 est lié à 1 par une liaison encastrement démontable ;</w:t>
      </w:r>
    </w:p>
    <w:p w:rsidR="001552EE" w:rsidRDefault="001552EE" w:rsidP="001552EE">
      <w:pPr>
        <w:pStyle w:val="Paragraphedeliste"/>
        <w:numPr>
          <w:ilvl w:val="0"/>
          <w:numId w:val="33"/>
        </w:numPr>
      </w:pPr>
      <w:r>
        <w:t>le support 1 vient de fonderie au sable.</w:t>
      </w:r>
    </w:p>
    <w:p w:rsidR="001552EE" w:rsidRDefault="001552EE" w:rsidP="001552EE"/>
    <w:p w:rsidR="001552EE" w:rsidRDefault="001552EE" w:rsidP="001552EE">
      <w:pPr>
        <w:pStyle w:val="Titre2"/>
        <w:numPr>
          <w:ilvl w:val="0"/>
          <w:numId w:val="0"/>
        </w:numPr>
        <w:ind w:left="360" w:hanging="360"/>
      </w:pPr>
      <w:r>
        <w:t>3°- Travail à faire</w:t>
      </w:r>
    </w:p>
    <w:p w:rsidR="001552EE" w:rsidRDefault="001552EE" w:rsidP="001552EE">
      <w:pPr>
        <w:pStyle w:val="Titre7"/>
      </w:pPr>
      <w:r w:rsidRPr="001552EE">
        <w:rPr>
          <w:rFonts w:cs="Calibri"/>
          <w:b/>
        </w:rPr>
        <w:t>Q1.</w:t>
      </w:r>
      <w:r>
        <w:rPr>
          <w:rFonts w:cs="Calibri"/>
        </w:rPr>
        <w:t xml:space="preserve"> Traduisez sous forme de schéma cinématique les propositions de construction.</w:t>
      </w:r>
    </w:p>
    <w:p w:rsidR="001552EE" w:rsidRDefault="001552EE" w:rsidP="001552EE"/>
    <w:p w:rsidR="001552EE" w:rsidRDefault="001552EE" w:rsidP="001552EE">
      <w:pPr>
        <w:pStyle w:val="Titre7"/>
      </w:pPr>
      <w:r w:rsidRPr="001552EE">
        <w:rPr>
          <w:b/>
        </w:rPr>
        <w:t>Q2.</w:t>
      </w:r>
      <w:r>
        <w:t xml:space="preserve"> Complétez la coupe A – A montrant l’ensemble monté.</w:t>
      </w:r>
    </w:p>
    <w:p w:rsidR="001552EE" w:rsidRDefault="001552EE" w:rsidP="001552EE"/>
    <w:p w:rsidR="001552EE" w:rsidRDefault="001552EE" w:rsidP="001552EE">
      <w:pPr>
        <w:pStyle w:val="Titre7"/>
      </w:pPr>
      <w:r w:rsidRPr="001552EE">
        <w:rPr>
          <w:rFonts w:cs="Calibri"/>
          <w:b/>
        </w:rPr>
        <w:t>Q3.</w:t>
      </w:r>
      <w:r>
        <w:rPr>
          <w:rFonts w:cs="Calibri"/>
        </w:rPr>
        <w:t xml:space="preserve"> Indiquez les ajustements e</w:t>
      </w:r>
      <w:r>
        <w:t>n vous contentant de préciser s’ils sont « libres » ou « serrés ».</w:t>
      </w:r>
    </w:p>
    <w:p w:rsidR="008F113F" w:rsidRDefault="008F113F" w:rsidP="00CC07BF"/>
    <w:p w:rsidR="00A80A11" w:rsidRDefault="00A80A11" w:rsidP="00CC07BF"/>
    <w:p w:rsidR="00A80A11" w:rsidRDefault="00A80A11" w:rsidP="00CC07BF"/>
    <w:p w:rsidR="00A80A11" w:rsidRDefault="00A80A11" w:rsidP="00CC07BF"/>
    <w:p w:rsidR="008F113F" w:rsidRDefault="008F113F" w:rsidP="00CC07BF"/>
    <w:p w:rsidR="008F113F" w:rsidRDefault="008F113F" w:rsidP="00CC07BF"/>
    <w:sectPr w:rsidR="008F113F" w:rsidSect="00DE73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847" w:rsidRPr="00DC02BB" w:rsidRDefault="0055684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556847" w:rsidRPr="00DC02BB" w:rsidRDefault="0055684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E0" w:rsidRDefault="00C57FE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D8" w:rsidRDefault="00556847" w:rsidP="00DA6248">
    <w:pPr>
      <w:pStyle w:val="Pieddepage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2E07AD" w:rsidRPr="002E07AD">
      <w:rPr>
        <w:rFonts w:eastAsiaTheme="minorHAnsi" w:cs="Calibri"/>
        <w:noProof/>
        <w:sz w:val="16"/>
        <w:szCs w:val="16"/>
      </w:rPr>
      <w:t>07_Cpt</w:t>
    </w:r>
    <w:r w:rsidR="002E07AD" w:rsidRPr="002E07AD">
      <w:rPr>
        <w:noProof/>
        <w:sz w:val="16"/>
        <w:szCs w:val="16"/>
      </w:rPr>
      <w:t>_04_LiaisonPivotPaliersLisses_Application_01_Tendeur.docx</w:t>
    </w:r>
    <w:r>
      <w:rPr>
        <w:noProof/>
        <w:sz w:val="16"/>
        <w:szCs w:val="16"/>
      </w:rPr>
      <w:fldChar w:fldCharType="end"/>
    </w:r>
  </w:p>
  <w:p w:rsidR="00245FC4" w:rsidRPr="005845D8" w:rsidRDefault="005845D8" w:rsidP="00DA6248">
    <w:pPr>
      <w:pStyle w:val="Pieddepage"/>
      <w:pBdr>
        <w:top w:val="single" w:sz="4" w:space="1" w:color="auto"/>
      </w:pBdr>
    </w:pPr>
    <w:r w:rsidRPr="005845D8">
      <w:rPr>
        <w:sz w:val="16"/>
      </w:rPr>
      <w:t>Xavier Pessoles – Jean-Pierre Pupier</w:t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7C3534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5845D8">
      <w:rPr>
        <w:rFonts w:eastAsiaTheme="minorHAnsi" w:cs="Calibri"/>
        <w:b/>
        <w:sz w:val="16"/>
        <w:szCs w:val="16"/>
      </w:rPr>
      <w:instrText xml:space="preserve"> PAGE </w:instrText>
    </w:r>
    <w:r w:rsidR="007C3534" w:rsidRPr="008E26D8">
      <w:rPr>
        <w:rFonts w:eastAsiaTheme="minorHAnsi" w:cs="Calibri"/>
        <w:b/>
        <w:sz w:val="16"/>
        <w:szCs w:val="16"/>
      </w:rPr>
      <w:fldChar w:fldCharType="separate"/>
    </w:r>
    <w:r w:rsidR="00C57FE0">
      <w:rPr>
        <w:rFonts w:eastAsiaTheme="minorHAnsi" w:cs="Calibri"/>
        <w:b/>
        <w:noProof/>
        <w:sz w:val="16"/>
        <w:szCs w:val="16"/>
      </w:rPr>
      <w:t>1</w:t>
    </w:r>
    <w:r w:rsidR="007C3534" w:rsidRPr="008E26D8">
      <w:rPr>
        <w:rFonts w:eastAsiaTheme="minorHAnsi" w:cs="Calibri"/>
        <w:b/>
        <w:sz w:val="16"/>
        <w:szCs w:val="16"/>
      </w:rPr>
      <w:fldChar w:fldCharType="end"/>
    </w:r>
    <w:r w:rsidR="00245FC4" w:rsidRPr="005845D8">
      <w:rPr>
        <w:rFonts w:eastAsiaTheme="minorHAnsi" w:cs="Calibri"/>
        <w:b/>
        <w:sz w:val="16"/>
        <w:szCs w:val="16"/>
      </w:rPr>
      <w:t>/</w:t>
    </w:r>
    <w:r w:rsidR="00556847">
      <w:fldChar w:fldCharType="begin"/>
    </w:r>
    <w:r w:rsidR="00556847">
      <w:instrText xml:space="preserve"> NUMPAGES  \* MERGEFORMAT </w:instrText>
    </w:r>
    <w:r w:rsidR="00556847">
      <w:fldChar w:fldCharType="separate"/>
    </w:r>
    <w:r w:rsidR="00C57FE0" w:rsidRPr="00C57FE0">
      <w:rPr>
        <w:rFonts w:eastAsiaTheme="minorHAnsi" w:cs="Calibri"/>
        <w:b/>
        <w:noProof/>
        <w:sz w:val="16"/>
        <w:szCs w:val="16"/>
      </w:rPr>
      <w:t>1</w:t>
    </w:r>
    <w:r w:rsidR="00556847">
      <w:rPr>
        <w:rFonts w:eastAsiaTheme="minorHAnsi" w:cs="Calibri"/>
        <w:b/>
        <w:noProof/>
        <w:sz w:val="16"/>
        <w:szCs w:val="16"/>
      </w:rPr>
      <w:fldChar w:fldCharType="end"/>
    </w:r>
  </w:p>
  <w:p w:rsidR="00245FC4" w:rsidRPr="005845D8" w:rsidRDefault="00245FC4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E0" w:rsidRDefault="00C57F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847" w:rsidRPr="00DC02BB" w:rsidRDefault="0055684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556847" w:rsidRPr="00DC02BB" w:rsidRDefault="0055684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E0" w:rsidRDefault="00C57FE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556847">
            <w:rPr>
              <w:rFonts w:eastAsiaTheme="minorHAnsi" w:cs="Calibri"/>
              <w:i/>
              <w:sz w:val="16"/>
              <w:szCs w:val="16"/>
            </w:rPr>
          </w:r>
          <w:r w:rsidR="00556847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C57FE0" w:rsidP="005845D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Chapitre 5 – Transmissions de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puissance</w:t>
          </w:r>
          <w:bookmarkStart w:id="2" w:name="_GoBack"/>
          <w:bookmarkEnd w:id="2"/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E0" w:rsidRDefault="00C57F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F6A87"/>
    <w:multiLevelType w:val="hybridMultilevel"/>
    <w:tmpl w:val="95265C08"/>
    <w:lvl w:ilvl="0" w:tplc="EEDC2D0C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1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05105"/>
    <w:multiLevelType w:val="hybridMultilevel"/>
    <w:tmpl w:val="612646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957C4"/>
    <w:multiLevelType w:val="hybridMultilevel"/>
    <w:tmpl w:val="A9049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1">
    <w:nsid w:val="76131269"/>
    <w:multiLevelType w:val="hybridMultilevel"/>
    <w:tmpl w:val="CE3C7692"/>
    <w:lvl w:ilvl="0" w:tplc="02CEE476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1D80FF90" w:tentative="1">
      <w:start w:val="1"/>
      <w:numFmt w:val="lowerLetter"/>
      <w:lvlText w:val="%2."/>
      <w:lvlJc w:val="left"/>
      <w:pPr>
        <w:ind w:left="1440" w:hanging="360"/>
      </w:pPr>
    </w:lvl>
    <w:lvl w:ilvl="2" w:tplc="F5484D72" w:tentative="1">
      <w:start w:val="1"/>
      <w:numFmt w:val="lowerRoman"/>
      <w:lvlText w:val="%3."/>
      <w:lvlJc w:val="right"/>
      <w:pPr>
        <w:ind w:left="2160" w:hanging="180"/>
      </w:pPr>
    </w:lvl>
    <w:lvl w:ilvl="3" w:tplc="A3A22C2C" w:tentative="1">
      <w:start w:val="1"/>
      <w:numFmt w:val="decimal"/>
      <w:lvlText w:val="%4."/>
      <w:lvlJc w:val="left"/>
      <w:pPr>
        <w:ind w:left="2880" w:hanging="360"/>
      </w:pPr>
    </w:lvl>
    <w:lvl w:ilvl="4" w:tplc="E9F4D786" w:tentative="1">
      <w:start w:val="1"/>
      <w:numFmt w:val="lowerLetter"/>
      <w:lvlText w:val="%5."/>
      <w:lvlJc w:val="left"/>
      <w:pPr>
        <w:ind w:left="3600" w:hanging="360"/>
      </w:pPr>
    </w:lvl>
    <w:lvl w:ilvl="5" w:tplc="BA6C310E" w:tentative="1">
      <w:start w:val="1"/>
      <w:numFmt w:val="lowerRoman"/>
      <w:lvlText w:val="%6."/>
      <w:lvlJc w:val="right"/>
      <w:pPr>
        <w:ind w:left="4320" w:hanging="180"/>
      </w:pPr>
    </w:lvl>
    <w:lvl w:ilvl="6" w:tplc="5FCEDFEA" w:tentative="1">
      <w:start w:val="1"/>
      <w:numFmt w:val="decimal"/>
      <w:lvlText w:val="%7."/>
      <w:lvlJc w:val="left"/>
      <w:pPr>
        <w:ind w:left="5040" w:hanging="360"/>
      </w:pPr>
    </w:lvl>
    <w:lvl w:ilvl="7" w:tplc="C7163CD4" w:tentative="1">
      <w:start w:val="1"/>
      <w:numFmt w:val="lowerLetter"/>
      <w:lvlText w:val="%8."/>
      <w:lvlJc w:val="left"/>
      <w:pPr>
        <w:ind w:left="5760" w:hanging="360"/>
      </w:pPr>
    </w:lvl>
    <w:lvl w:ilvl="8" w:tplc="2544E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ED5696"/>
    <w:multiLevelType w:val="hybridMultilevel"/>
    <w:tmpl w:val="EF46F0DE"/>
    <w:lvl w:ilvl="0" w:tplc="3AC03088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</w:num>
  <w:num w:numId="2">
    <w:abstractNumId w:val="3"/>
  </w:num>
  <w:num w:numId="3">
    <w:abstractNumId w:val="21"/>
  </w:num>
  <w:num w:numId="4">
    <w:abstractNumId w:val="18"/>
  </w:num>
  <w:num w:numId="5">
    <w:abstractNumId w:val="22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17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12"/>
  </w:num>
  <w:num w:numId="21">
    <w:abstractNumId w:val="8"/>
  </w:num>
  <w:num w:numId="22">
    <w:abstractNumId w:val="11"/>
    <w:lvlOverride w:ilvl="0">
      <w:startOverride w:val="1"/>
    </w:lvlOverride>
  </w:num>
  <w:num w:numId="23">
    <w:abstractNumId w:val="20"/>
  </w:num>
  <w:num w:numId="24">
    <w:abstractNumId w:val="16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14"/>
  </w:num>
  <w:num w:numId="30">
    <w:abstractNumId w:val="1"/>
  </w:num>
  <w:num w:numId="31">
    <w:abstractNumId w:val="1"/>
  </w:num>
  <w:num w:numId="32">
    <w:abstractNumId w:val="1"/>
  </w:num>
  <w:num w:numId="33">
    <w:abstractNumId w:val="15"/>
  </w:num>
  <w:num w:numId="3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1" type="connector" idref="#_x0000_s2182"/>
        <o:r id="V:Rule2" type="connector" idref="#_x0000_s2194"/>
        <o:r id="V:Rule3" type="connector" idref="#_x0000_s2196"/>
        <o:r id="V:Rule4" type="connector" idref="#_x0000_s2186"/>
        <o:r id="V:Rule5" type="connector" idref="#_x0000_s2198"/>
        <o:r id="V:Rule6" type="connector" idref="#_x0000_s2184"/>
        <o:r id="V:Rule7" type="connector" idref="#_x0000_s2192"/>
        <o:r id="V:Rule8" type="connector" idref="#_x0000_s2185"/>
        <o:r id="V:Rule9" type="connector" idref="#_x0000_s2190"/>
        <o:r id="V:Rule10" type="connector" idref="#_x0000_s2200"/>
        <o:r id="V:Rule11" type="connector" idref="#_x0000_s2205"/>
        <o:r id="V:Rule12" type="connector" idref="#_x0000_s2187"/>
        <o:r id="V:Rule13" type="connector" idref="#_x0000_s2195"/>
        <o:r id="V:Rule14" type="connector" idref="#_x0000_s2207"/>
        <o:r id="V:Rule15" type="connector" idref="#_x0000_s2202"/>
        <o:r id="V:Rule16" type="connector" idref="#_x0000_s2193"/>
        <o:r id="V:Rule17" type="connector" idref="#_x0000_s2210"/>
        <o:r id="V:Rule18" type="connector" idref="#_x0000_s2183"/>
        <o:r id="V:Rule19" type="connector" idref="#_x0000_s2188"/>
        <o:r id="V:Rule20" type="connector" idref="#_x0000_s2199"/>
        <o:r id="V:Rule21" type="connector" idref="#_x0000_s2180"/>
        <o:r id="V:Rule22" type="connector" idref="#_x0000_s2191"/>
        <o:r id="V:Rule23" type="connector" idref="#_x0000_s2204"/>
        <o:r id="V:Rule24" type="connector" idref="#_x0000_s2197"/>
        <o:r id="V:Rule25" type="connector" idref="#_x0000_s2189"/>
        <o:r id="V:Rule26" type="connector" idref="#_x0000_s2209"/>
        <o:r id="V:Rule27" type="connector" idref="#_x0000_s2206"/>
        <o:r id="V:Rule28" type="connector" idref="#_x0000_s2201"/>
        <o:r id="V:Rule29" type="connector" idref="#_x0000_s2203"/>
        <o:r id="V:Rule30" type="connector" idref="#_x0000_s220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52EE"/>
    <w:rsid w:val="001565D4"/>
    <w:rsid w:val="00163A43"/>
    <w:rsid w:val="001B0EFB"/>
    <w:rsid w:val="001B1CF5"/>
    <w:rsid w:val="001B1D33"/>
    <w:rsid w:val="001B2F7F"/>
    <w:rsid w:val="001B37B9"/>
    <w:rsid w:val="001B7613"/>
    <w:rsid w:val="001D3CA8"/>
    <w:rsid w:val="001D4657"/>
    <w:rsid w:val="001D5C47"/>
    <w:rsid w:val="001E318F"/>
    <w:rsid w:val="00200685"/>
    <w:rsid w:val="00234DE6"/>
    <w:rsid w:val="002413D7"/>
    <w:rsid w:val="00245203"/>
    <w:rsid w:val="00245FC4"/>
    <w:rsid w:val="00252522"/>
    <w:rsid w:val="0025636C"/>
    <w:rsid w:val="00270772"/>
    <w:rsid w:val="00275FC9"/>
    <w:rsid w:val="00280481"/>
    <w:rsid w:val="00283495"/>
    <w:rsid w:val="002A2D89"/>
    <w:rsid w:val="002A737A"/>
    <w:rsid w:val="002B4476"/>
    <w:rsid w:val="002C12F0"/>
    <w:rsid w:val="002E07AD"/>
    <w:rsid w:val="002E3294"/>
    <w:rsid w:val="002E3395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4F30"/>
    <w:rsid w:val="00517D63"/>
    <w:rsid w:val="00526EFA"/>
    <w:rsid w:val="0053179F"/>
    <w:rsid w:val="0053549F"/>
    <w:rsid w:val="00556847"/>
    <w:rsid w:val="00556B47"/>
    <w:rsid w:val="00574884"/>
    <w:rsid w:val="0057545C"/>
    <w:rsid w:val="005845D8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37C97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630BB"/>
    <w:rsid w:val="00775922"/>
    <w:rsid w:val="0079370F"/>
    <w:rsid w:val="007A0E21"/>
    <w:rsid w:val="007B2118"/>
    <w:rsid w:val="007B4C79"/>
    <w:rsid w:val="007B50C9"/>
    <w:rsid w:val="007C3534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431BA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8F113F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0A11"/>
    <w:rsid w:val="00AB3D9A"/>
    <w:rsid w:val="00AD114E"/>
    <w:rsid w:val="00AD184D"/>
    <w:rsid w:val="00AD7ED3"/>
    <w:rsid w:val="00AE04FF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57FE0"/>
    <w:rsid w:val="00C636F3"/>
    <w:rsid w:val="00C669CB"/>
    <w:rsid w:val="00C70209"/>
    <w:rsid w:val="00C962DA"/>
    <w:rsid w:val="00CA4350"/>
    <w:rsid w:val="00CB37CD"/>
    <w:rsid w:val="00CC07BF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18C9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4705B-BBE0-4D59-86C5-BEF1D5A0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375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59</cp:revision>
  <cp:lastPrinted>2014-11-26T08:48:00Z</cp:lastPrinted>
  <dcterms:created xsi:type="dcterms:W3CDTF">2013-09-01T12:24:00Z</dcterms:created>
  <dcterms:modified xsi:type="dcterms:W3CDTF">2014-12-15T09:27:00Z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