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342" w:rsidRPr="00125132" w:rsidRDefault="00D35342" w:rsidP="00A50225">
      <w:pPr>
        <w:pStyle w:val="Titre3"/>
      </w:pPr>
      <w:bookmarkStart w:id="0" w:name="_Toc382341750"/>
      <w:bookmarkStart w:id="1" w:name="_Toc415045393"/>
      <w:bookmarkStart w:id="2" w:name="_GoBack"/>
      <w:bookmarkEnd w:id="2"/>
      <w:r w:rsidRPr="00A50225">
        <w:t>Désignation</w:t>
      </w:r>
      <w:r w:rsidRPr="00125132">
        <w:t xml:space="preserve"> normalisée</w:t>
      </w:r>
      <w:bookmarkEnd w:id="0"/>
      <w:bookmarkEnd w:id="1"/>
      <w:r w:rsidR="000C5AFD">
        <w:t xml:space="preserve"> des fontes et des aciers</w:t>
      </w:r>
    </w:p>
    <w:p w:rsidR="00D35342" w:rsidRPr="00125132" w:rsidRDefault="00D35342" w:rsidP="00C06FE9">
      <w:pPr>
        <w:pStyle w:val="Titre4"/>
        <w:numPr>
          <w:ilvl w:val="0"/>
          <w:numId w:val="45"/>
        </w:numPr>
      </w:pPr>
      <w:bookmarkStart w:id="3" w:name="_Toc415045394"/>
      <w:r w:rsidRPr="00125132">
        <w:t>Fontes</w:t>
      </w:r>
      <w:bookmarkEnd w:id="3"/>
    </w:p>
    <w:p w:rsidR="00D35342" w:rsidRPr="00125132" w:rsidRDefault="00D35342" w:rsidP="00A50225">
      <w:pPr>
        <w:pStyle w:val="Para"/>
      </w:pPr>
      <w:bookmarkStart w:id="4" w:name="_Toc415045395"/>
      <w:r w:rsidRPr="00125132">
        <w:t>Fontes à graphite lamellaire</w:t>
      </w:r>
      <w:bookmarkEnd w:id="4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97"/>
              <w:gridCol w:w="7581"/>
            </w:tblGrid>
            <w:tr w:rsidR="00FC0134" w:rsidRPr="00125132" w:rsidTr="007F1B8E">
              <w:tc>
                <w:tcPr>
                  <w:tcW w:w="2197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EN-GJL-250</w:t>
                  </w:r>
                </w:p>
              </w:tc>
              <w:tc>
                <w:tcPr>
                  <w:tcW w:w="7581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14"/>
                    </w:numPr>
                    <w:spacing w:before="40" w:after="40"/>
                    <w:ind w:left="213" w:firstLine="0"/>
                  </w:pPr>
                  <w:r w:rsidRPr="00125132">
                    <w:t>EN-GJ : Fonte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14"/>
                    </w:numPr>
                    <w:spacing w:before="40" w:after="40"/>
                    <w:ind w:left="213" w:firstLine="0"/>
                  </w:pPr>
                  <w:r w:rsidRPr="00125132">
                    <w:t>L : à graphite lamellaire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14"/>
                    </w:numPr>
                    <w:spacing w:before="40" w:after="40"/>
                    <w:ind w:left="213" w:firstLine="0"/>
                  </w:pPr>
                  <w:r w:rsidRPr="00125132">
                    <w:t xml:space="preserve">250 : résistance minimale à la rupture en traction exprimée en </w:t>
                  </w:r>
                  <w:proofErr w:type="spellStart"/>
                  <w:r w:rsidRPr="00125132">
                    <w:t>MPa</w:t>
                  </w:r>
                  <w:proofErr w:type="spellEnd"/>
                  <w:r w:rsidRPr="00125132">
                    <w:t>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FC0134" w:rsidRDefault="00FC0134" w:rsidP="00D35342"/>
    <w:p w:rsidR="00D35342" w:rsidRPr="00125132" w:rsidRDefault="00D35342" w:rsidP="00A50225">
      <w:pPr>
        <w:pStyle w:val="Para"/>
      </w:pPr>
      <w:bookmarkStart w:id="5" w:name="_Toc415045396"/>
      <w:r w:rsidRPr="00125132">
        <w:t>Fontes malléables.</w:t>
      </w:r>
      <w:bookmarkEnd w:id="5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80"/>
              <w:gridCol w:w="7298"/>
            </w:tblGrid>
            <w:tr w:rsidR="00FC0134" w:rsidRPr="00125132" w:rsidTr="007F1B8E">
              <w:tc>
                <w:tcPr>
                  <w:tcW w:w="2480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EN-GJMW 400-5</w:t>
                  </w:r>
                </w:p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</w:p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EN-GJMB 600-3</w:t>
                  </w:r>
                </w:p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</w:p>
              </w:tc>
              <w:tc>
                <w:tcPr>
                  <w:tcW w:w="7298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EN-GJ : Fonte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MW : malléable à cœur blanc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MB : malléable à cœur noir ou à graphite nodulaire.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 xml:space="preserve">400 est la résistance minimale à la rupture en traction exprimée en </w:t>
                  </w:r>
                  <w:proofErr w:type="spellStart"/>
                  <w:r w:rsidRPr="00125132">
                    <w:t>MPa</w:t>
                  </w:r>
                  <w:proofErr w:type="spellEnd"/>
                  <w:r w:rsidRPr="00125132">
                    <w:t>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5 est l'allongement en % de l'éprouvette après rupture. Plus ce chiffre est grand, plus la fonte est malléable.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4A1BBC" w:rsidRPr="004A1BBC" w:rsidRDefault="004A1BBC" w:rsidP="004A1BBC"/>
    <w:p w:rsidR="00D35342" w:rsidRPr="00125132" w:rsidRDefault="00D35342" w:rsidP="00A50225">
      <w:pPr>
        <w:pStyle w:val="Para"/>
      </w:pPr>
      <w:bookmarkStart w:id="6" w:name="_Toc415045397"/>
      <w:r w:rsidRPr="00125132">
        <w:t>Fontes à graphite sphéroïdal</w:t>
      </w:r>
      <w:bookmarkEnd w:id="6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622"/>
              <w:gridCol w:w="7156"/>
            </w:tblGrid>
            <w:tr w:rsidR="00FC0134" w:rsidRPr="00125132" w:rsidTr="007F1B8E">
              <w:tc>
                <w:tcPr>
                  <w:tcW w:w="2622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EN-GJS-600-3</w:t>
                  </w:r>
                </w:p>
              </w:tc>
              <w:tc>
                <w:tcPr>
                  <w:tcW w:w="7156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ind w:left="214"/>
                  </w:pPr>
                  <w:r w:rsidRPr="00125132">
                    <w:t>Même significations des nombres que les fontes EN-GJMW et EN-GJMB.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D35342" w:rsidRPr="00125132" w:rsidRDefault="00D35342" w:rsidP="00A50225">
      <w:pPr>
        <w:pStyle w:val="Titre4"/>
      </w:pPr>
      <w:bookmarkStart w:id="7" w:name="_Toc382341751"/>
      <w:bookmarkStart w:id="8" w:name="_Toc415045398"/>
      <w:r w:rsidRPr="00125132">
        <w:t>Aciers</w:t>
      </w:r>
      <w:bookmarkEnd w:id="7"/>
      <w:bookmarkEnd w:id="8"/>
    </w:p>
    <w:p w:rsidR="00FC0134" w:rsidRPr="00FC0134" w:rsidRDefault="00D35342" w:rsidP="00C06FE9">
      <w:pPr>
        <w:pStyle w:val="Para"/>
        <w:numPr>
          <w:ilvl w:val="0"/>
          <w:numId w:val="46"/>
        </w:numPr>
      </w:pPr>
      <w:bookmarkStart w:id="9" w:name="_Toc415045399"/>
      <w:r w:rsidRPr="00125132">
        <w:t>Aciers non alliés d'usage général</w:t>
      </w:r>
      <w:bookmarkEnd w:id="9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04"/>
              <w:gridCol w:w="8574"/>
            </w:tblGrid>
            <w:tr w:rsidR="00FC0134" w:rsidRPr="00125132" w:rsidTr="007F1B8E">
              <w:tc>
                <w:tcPr>
                  <w:tcW w:w="1204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S 235</w:t>
                  </w:r>
                </w:p>
                <w:p w:rsidR="00FC0134" w:rsidRPr="00125132" w:rsidRDefault="00FC0134" w:rsidP="007F1B8E">
                  <w:pPr>
                    <w:spacing w:before="240" w:after="40"/>
                    <w:jc w:val="center"/>
                  </w:pPr>
                  <w:r w:rsidRPr="00125132">
                    <w:t>E 335</w:t>
                  </w:r>
                </w:p>
              </w:tc>
              <w:tc>
                <w:tcPr>
                  <w:tcW w:w="8574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6" w:firstLine="0"/>
                  </w:pPr>
                  <w:r w:rsidRPr="00125132">
                    <w:t>S : acier d'usage général.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6" w:firstLine="0"/>
                  </w:pPr>
                  <w:r w:rsidRPr="00125132">
                    <w:t>E : acier de construction mécanique.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6" w:firstLine="0"/>
                  </w:pPr>
                  <w:r w:rsidRPr="00125132">
                    <w:t xml:space="preserve">Le nombre indique la valeur minimale de la limite élastique en </w:t>
                  </w:r>
                  <w:proofErr w:type="spellStart"/>
                  <w:r w:rsidRPr="00125132">
                    <w:t>mégapascals</w:t>
                  </w:r>
                  <w:proofErr w:type="spellEnd"/>
                  <w:r w:rsidRPr="00125132">
                    <w:t xml:space="preserve"> (</w:t>
                  </w:r>
                  <w:proofErr w:type="spellStart"/>
                  <w:r w:rsidRPr="00125132">
                    <w:t>MPa</w:t>
                  </w:r>
                  <w:proofErr w:type="spellEnd"/>
                  <w:r w:rsidRPr="00125132">
                    <w:t>).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FC0134" w:rsidRPr="00FC0134" w:rsidRDefault="00D35342" w:rsidP="00C06FE9">
      <w:pPr>
        <w:pStyle w:val="Para"/>
      </w:pPr>
      <w:bookmarkStart w:id="10" w:name="_Toc415045400"/>
      <w:r w:rsidRPr="00125132">
        <w:t>Aciers non alliés (teneur en manganèse &lt; 1%)</w:t>
      </w:r>
      <w:bookmarkEnd w:id="10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55"/>
              <w:gridCol w:w="7723"/>
            </w:tblGrid>
            <w:tr w:rsidR="00FC0134" w:rsidRPr="00125132" w:rsidTr="007F1B8E">
              <w:tc>
                <w:tcPr>
                  <w:tcW w:w="2055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 xml:space="preserve">C 22 </w:t>
                  </w:r>
                </w:p>
              </w:tc>
              <w:tc>
                <w:tcPr>
                  <w:tcW w:w="7723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C : acier non allié.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22 : 0,22% de carbone (pourcentage réel de carbone multiplié par 100).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FC0134" w:rsidRPr="00FC0134" w:rsidRDefault="00FC0134" w:rsidP="00C06FE9">
      <w:pPr>
        <w:pStyle w:val="Para"/>
      </w:pPr>
      <w:bookmarkStart w:id="11" w:name="_Toc415045401"/>
      <w:r>
        <w:t>A</w:t>
      </w:r>
      <w:r w:rsidR="00D35342" w:rsidRPr="00125132">
        <w:t>ciers faiblement alliés (tout élément d'addition &lt; 5%) et teneur en manganèse &lt; 1%</w:t>
      </w:r>
      <w:bookmarkEnd w:id="11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7F1B8E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55"/>
              <w:gridCol w:w="7723"/>
            </w:tblGrid>
            <w:tr w:rsidR="00FC0134" w:rsidRPr="00125132" w:rsidTr="007F1B8E">
              <w:tc>
                <w:tcPr>
                  <w:tcW w:w="2055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42 Cr Mo 6</w:t>
                  </w:r>
                </w:p>
              </w:tc>
              <w:tc>
                <w:tcPr>
                  <w:tcW w:w="7723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5" w:firstLine="0"/>
                  </w:pPr>
                  <w:r w:rsidRPr="00125132">
                    <w:t xml:space="preserve">42 : 0,42 % de carbone. 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5" w:firstLine="0"/>
                  </w:pPr>
                  <w:r w:rsidRPr="00125132">
                    <w:t>Cr Mo : symboles chimiques des éléments d'addition (voir dessous) en pourcentages décroissants (ici chrome, molybdène).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5" w:firstLine="0"/>
                  </w:pPr>
                  <w:r w:rsidRPr="00125132">
                    <w:t>6 : pourcentage de chrome multiplié par 4 (valeur du multiplicateur pour le chrome, voir ci-dessous). Il y a ici 1,5 % de chrome.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D35342" w:rsidRPr="00125132" w:rsidRDefault="00D35342" w:rsidP="00D35342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993"/>
        <w:gridCol w:w="992"/>
        <w:gridCol w:w="1276"/>
        <w:gridCol w:w="992"/>
        <w:gridCol w:w="1134"/>
        <w:gridCol w:w="1176"/>
        <w:gridCol w:w="1008"/>
        <w:gridCol w:w="936"/>
      </w:tblGrid>
      <w:tr w:rsidR="00D35342" w:rsidRPr="00125132" w:rsidTr="00084B79"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Élément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Symbole chimique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Multiplicateur.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Élément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Symbole chimique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Multiplicateur.</w:t>
            </w:r>
          </w:p>
        </w:tc>
        <w:tc>
          <w:tcPr>
            <w:tcW w:w="1176" w:type="dxa"/>
            <w:tcBorders>
              <w:top w:val="single" w:sz="12" w:space="0" w:color="auto"/>
              <w:left w:val="nil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Élément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Symbole chimique</w:t>
            </w:r>
          </w:p>
        </w:tc>
        <w:tc>
          <w:tcPr>
            <w:tcW w:w="936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Multiplicateur.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Aluminium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Al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Magnésium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Mg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</w:p>
        </w:tc>
        <w:tc>
          <w:tcPr>
            <w:tcW w:w="1176" w:type="dxa"/>
            <w:tcBorders>
              <w:top w:val="single" w:sz="12" w:space="0" w:color="auto"/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Soufre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</w:t>
            </w:r>
          </w:p>
        </w:tc>
        <w:tc>
          <w:tcPr>
            <w:tcW w:w="936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100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8E7A3D" w:rsidP="00084B79">
            <w:pPr>
              <w:spacing w:before="40" w:after="40"/>
              <w:jc w:val="center"/>
            </w:pPr>
            <w:r w:rsidRPr="00125132">
              <w:t>Béryllium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Be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Manganèse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Mn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Strontium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Sr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Bore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B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1000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Molybdène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Mo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Tantale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Ta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Cérium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Ce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100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Nickel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Ni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Titane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Ti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Chrome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 xml:space="preserve">Cr 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Niobium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Nb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Tungstène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W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Cobalt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 xml:space="preserve">Co 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Plomb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Pb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Vanadium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V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lastRenderedPageBreak/>
              <w:t>Cuivre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 xml:space="preserve">Cu 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Phosphore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P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100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Zinc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Zn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  <w:bottom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Étain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 xml:space="preserve">Sn 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</w:p>
        </w:tc>
        <w:tc>
          <w:tcPr>
            <w:tcW w:w="1276" w:type="dxa"/>
            <w:tcBorders>
              <w:left w:val="nil"/>
              <w:bottom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Silicium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Si</w:t>
            </w: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176" w:type="dxa"/>
            <w:tcBorders>
              <w:left w:val="nil"/>
              <w:bottom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Zirconium</w:t>
            </w:r>
          </w:p>
        </w:tc>
        <w:tc>
          <w:tcPr>
            <w:tcW w:w="100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Zr</w:t>
            </w:r>
          </w:p>
        </w:tc>
        <w:tc>
          <w:tcPr>
            <w:tcW w:w="93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</w:tr>
    </w:tbl>
    <w:p w:rsidR="00D35342" w:rsidRPr="00125132" w:rsidRDefault="00D35342" w:rsidP="00D35342"/>
    <w:p w:rsidR="00D35342" w:rsidRPr="00125132" w:rsidRDefault="00D35342" w:rsidP="00A50225">
      <w:pPr>
        <w:pStyle w:val="Para"/>
      </w:pPr>
      <w:bookmarkStart w:id="12" w:name="_Toc415045402"/>
      <w:r w:rsidRPr="00125132">
        <w:t>Aciers fortement alliés. (un élément d'addition atteint au moins 5 %)</w:t>
      </w:r>
      <w:bookmarkEnd w:id="12"/>
    </w:p>
    <w:p w:rsidR="00FC0134" w:rsidRPr="00FC0134" w:rsidRDefault="00FC0134" w:rsidP="00FC0134">
      <w:pPr>
        <w:pStyle w:val="Exemple"/>
        <w:numPr>
          <w:ilvl w:val="0"/>
          <w:numId w:val="0"/>
        </w:numPr>
        <w:jc w:val="left"/>
        <w:rPr>
          <w:i w:val="0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Default="00FC0134" w:rsidP="007F1B8E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Ind w:w="35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44"/>
              <w:gridCol w:w="7580"/>
            </w:tblGrid>
            <w:tr w:rsidR="00FC0134" w:rsidRPr="00125132" w:rsidTr="007F1B8E">
              <w:tc>
                <w:tcPr>
                  <w:tcW w:w="1844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X 5 Cr Ni 18-10</w:t>
                  </w:r>
                </w:p>
              </w:tc>
              <w:tc>
                <w:tcPr>
                  <w:tcW w:w="7580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84" w:hanging="72"/>
                  </w:pPr>
                  <w:r w:rsidRPr="00125132">
                    <w:t xml:space="preserve">X : acier fortement allié. 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84" w:hanging="72"/>
                  </w:pPr>
                  <w:r w:rsidRPr="00125132">
                    <w:t xml:space="preserve">5 : 0,05 % de carbone. 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84" w:hanging="72"/>
                  </w:pPr>
                  <w:r w:rsidRPr="00125132">
                    <w:t xml:space="preserve">Cr Ni : éléments d'addition en pourcentages décroissants (chrome et nickel). 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84" w:hanging="72"/>
                  </w:pPr>
                  <w:r w:rsidRPr="00125132">
                    <w:t xml:space="preserve">18-10 : 18 % de chrome et 10 % de nickel. 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FC0134" w:rsidRDefault="00FC0134" w:rsidP="00FC0134"/>
    <w:p w:rsidR="00D35342" w:rsidRPr="00125132" w:rsidRDefault="00D35342" w:rsidP="003A20AD">
      <w:pPr>
        <w:pStyle w:val="Titre3"/>
      </w:pPr>
      <w:bookmarkStart w:id="13" w:name="_Toc527014945"/>
      <w:bookmarkStart w:id="14" w:name="_Toc527014983"/>
      <w:bookmarkStart w:id="15" w:name="_Toc527015142"/>
      <w:bookmarkStart w:id="16" w:name="_Toc21705680"/>
      <w:bookmarkStart w:id="17" w:name="_Toc22889751"/>
      <w:bookmarkStart w:id="18" w:name="_Toc22889964"/>
      <w:bookmarkStart w:id="19" w:name="_Toc113768378"/>
      <w:bookmarkStart w:id="20" w:name="_Toc382341754"/>
      <w:bookmarkStart w:id="21" w:name="_Toc415045407"/>
      <w:r w:rsidRPr="00125132">
        <w:t>Désignation de l’aluminium et des alliages d’aluminium (exemples)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D35342" w:rsidRPr="00125132" w:rsidRDefault="00D35342" w:rsidP="00C06FE9">
      <w:pPr>
        <w:pStyle w:val="Titre4"/>
        <w:numPr>
          <w:ilvl w:val="0"/>
          <w:numId w:val="49"/>
        </w:numPr>
      </w:pPr>
      <w:bookmarkStart w:id="22" w:name="_Toc21705681"/>
      <w:bookmarkStart w:id="23" w:name="_Toc415045408"/>
      <w:r w:rsidRPr="00125132">
        <w:t>Aluminium non allié</w:t>
      </w:r>
      <w:bookmarkEnd w:id="22"/>
      <w:bookmarkEnd w:id="23"/>
    </w:p>
    <w:p w:rsidR="00D35342" w:rsidRPr="00125132" w:rsidRDefault="00D35342" w:rsidP="00D35342">
      <w:r w:rsidRPr="00125132">
        <w:t>Désignation alphanumérique  (symboles métallurgiques)</w:t>
      </w:r>
    </w:p>
    <w:p w:rsidR="00D35342" w:rsidRPr="00125132" w:rsidRDefault="00D35342" w:rsidP="00D35342">
      <w:r w:rsidRPr="00125132">
        <w:tab/>
        <w:t>A5 : aluminium pur à 99,5 %</w:t>
      </w:r>
    </w:p>
    <w:p w:rsidR="00D35342" w:rsidRPr="00125132" w:rsidRDefault="00D35342" w:rsidP="00D35342">
      <w:r w:rsidRPr="00125132">
        <w:t>Désignation numérique  (norme internationale)</w:t>
      </w:r>
    </w:p>
    <w:p w:rsidR="00D35342" w:rsidRPr="00125132" w:rsidRDefault="00D35342" w:rsidP="00D35342">
      <w:r w:rsidRPr="00125132">
        <w:tab/>
        <w:t xml:space="preserve">EN AW 1050 A : (AW =  aluminium corroyé, 1 = pureté &gt;99%  et 050 = pureté +0,50%) </w:t>
      </w:r>
    </w:p>
    <w:p w:rsidR="00D35342" w:rsidRPr="00125132" w:rsidRDefault="00D35342" w:rsidP="00D35342"/>
    <w:p w:rsidR="00D35342" w:rsidRPr="00125132" w:rsidRDefault="00D35342" w:rsidP="003A20AD">
      <w:pPr>
        <w:pStyle w:val="Titre4"/>
      </w:pPr>
      <w:bookmarkStart w:id="24" w:name="_Toc21705682"/>
      <w:bookmarkStart w:id="25" w:name="_Toc415045409"/>
      <w:r w:rsidRPr="00125132">
        <w:t>Aluminium allié</w:t>
      </w:r>
      <w:bookmarkEnd w:id="24"/>
      <w:bookmarkEnd w:id="25"/>
    </w:p>
    <w:p w:rsidR="00D35342" w:rsidRPr="00125132" w:rsidRDefault="00D35342" w:rsidP="00D35342">
      <w:r w:rsidRPr="00125132">
        <w:t>Désignation alphanumérique  (symboles métallurgiques)</w:t>
      </w:r>
    </w:p>
    <w:p w:rsidR="00D35342" w:rsidRPr="00125132" w:rsidRDefault="00D35342" w:rsidP="00D35342">
      <w:r w:rsidRPr="00125132">
        <w:tab/>
        <w:t>Al Si10 Mg Alpax : 10 % de silicium + magnésium</w:t>
      </w:r>
    </w:p>
    <w:p w:rsidR="00D35342" w:rsidRPr="00125132" w:rsidRDefault="00D35342" w:rsidP="00D35342">
      <w:r w:rsidRPr="00125132">
        <w:tab/>
        <w:t>Al Cu</w:t>
      </w:r>
      <w:r w:rsidR="00FE1CDE">
        <w:t xml:space="preserve"> 4 </w:t>
      </w:r>
      <w:r w:rsidRPr="00125132">
        <w:t xml:space="preserve">Duralumin : 4% de cuivre + magnésium </w:t>
      </w:r>
    </w:p>
    <w:p w:rsidR="00D35342" w:rsidRPr="00125132" w:rsidRDefault="00D35342" w:rsidP="00D35342">
      <w:r w:rsidRPr="00125132">
        <w:tab/>
        <w:t>Al Mg</w:t>
      </w:r>
      <w:r w:rsidR="00FE1CDE">
        <w:t xml:space="preserve"> 6 </w:t>
      </w:r>
      <w:r w:rsidRPr="00125132">
        <w:t xml:space="preserve">Alumag : 6 % de magnésium </w:t>
      </w:r>
    </w:p>
    <w:p w:rsidR="00D35342" w:rsidRPr="00125132" w:rsidRDefault="00D35342" w:rsidP="00D35342"/>
    <w:p w:rsidR="00D35342" w:rsidRPr="00125132" w:rsidRDefault="00D35342" w:rsidP="00D35342">
      <w:r w:rsidRPr="00125132">
        <w:t>Désignation numérique (norme internationale)</w:t>
      </w:r>
    </w:p>
    <w:p w:rsidR="00D35342" w:rsidRPr="00125132" w:rsidRDefault="00D35342" w:rsidP="00D35342">
      <w:r w:rsidRPr="00125132">
        <w:tab/>
        <w:t xml:space="preserve">EN AW 2001 </w:t>
      </w:r>
      <w:r w:rsidRPr="00125132">
        <w:tab/>
        <w:t xml:space="preserve">2 = aluminium + cuivre (1%) </w:t>
      </w:r>
      <w:r w:rsidRPr="00125132">
        <w:tab/>
      </w:r>
    </w:p>
    <w:p w:rsidR="00D35342" w:rsidRPr="00125132" w:rsidRDefault="00D35342" w:rsidP="00D35342"/>
    <w:p w:rsidR="00D35342" w:rsidRPr="00125132" w:rsidRDefault="00D35342" w:rsidP="00D35342">
      <w:pPr>
        <w:pStyle w:val="Titre3"/>
        <w:jc w:val="left"/>
      </w:pPr>
      <w:bookmarkStart w:id="26" w:name="_Toc527014951"/>
      <w:bookmarkStart w:id="27" w:name="_Toc527014989"/>
      <w:bookmarkStart w:id="28" w:name="_Toc527015148"/>
      <w:bookmarkStart w:id="29" w:name="_Toc21705696"/>
      <w:bookmarkStart w:id="30" w:name="_Toc22889757"/>
      <w:bookmarkStart w:id="31" w:name="_Toc22889970"/>
      <w:bookmarkStart w:id="32" w:name="_Toc113768384"/>
      <w:bookmarkStart w:id="33" w:name="_Toc415045414"/>
      <w:r w:rsidRPr="00125132">
        <w:t>Désignation du cuivre et des alliages de cuivre (exemples)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D35342" w:rsidRPr="00125132" w:rsidRDefault="00D35342" w:rsidP="00C06FE9">
      <w:pPr>
        <w:pStyle w:val="Titre4"/>
        <w:numPr>
          <w:ilvl w:val="0"/>
          <w:numId w:val="12"/>
        </w:numPr>
        <w:ind w:left="0"/>
        <w:jc w:val="left"/>
      </w:pPr>
      <w:bookmarkStart w:id="34" w:name="_Toc415045415"/>
      <w:r w:rsidRPr="00125132">
        <w:t>Cuivre non allié :</w:t>
      </w:r>
      <w:bookmarkEnd w:id="34"/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Cu-ETP </w:t>
      </w:r>
      <w:proofErr w:type="gramStart"/>
      <w:r w:rsidRPr="00125132">
        <w:t>:  affiné</w:t>
      </w:r>
      <w:proofErr w:type="gramEnd"/>
      <w:r w:rsidR="000C5AFD">
        <w:t xml:space="preserve"> </w:t>
      </w:r>
      <w:proofErr w:type="spellStart"/>
      <w:r w:rsidRPr="00125132">
        <w:t>électrolytiquement</w:t>
      </w:r>
      <w:proofErr w:type="spellEnd"/>
    </w:p>
    <w:p w:rsidR="00D35342" w:rsidRPr="00125132" w:rsidRDefault="00D35342" w:rsidP="00D35342"/>
    <w:p w:rsidR="00D35342" w:rsidRPr="00125132" w:rsidRDefault="00D35342" w:rsidP="00D35342">
      <w:pPr>
        <w:pStyle w:val="Titre4"/>
        <w:ind w:left="0"/>
        <w:jc w:val="left"/>
      </w:pPr>
      <w:bookmarkStart w:id="35" w:name="_Toc415045416"/>
      <w:r w:rsidRPr="00125132">
        <w:t>Cuivre allié</w:t>
      </w:r>
      <w:bookmarkEnd w:id="35"/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 Zn 40 : laiton, 40 % de zinc</w:t>
      </w:r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 Sn 5   : bronze, 5 % d’étain</w:t>
      </w:r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 Al 9   : cupro-aluminium 9 % d’aluminium</w:t>
      </w:r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 xml:space="preserve">Cu Ni 10 : cupro-nickel 10 % de nickel </w:t>
      </w:r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 Zn28 Ni9 : 28 % de zinc et 9 % de nickel</w:t>
      </w:r>
    </w:p>
    <w:p w:rsidR="00D35342" w:rsidRPr="00125132" w:rsidRDefault="00D35342" w:rsidP="00D35342"/>
    <w:sectPr w:rsidR="00D35342" w:rsidRPr="00125132" w:rsidSect="00DE736B">
      <w:headerReference w:type="default" r:id="rId10"/>
      <w:footerReference w:type="default" r:id="rId11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rgValue="AgB0AHIAYQBuAHMAcABhAHIAZQBuAHQAIAAxADIA"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D81" w:rsidRPr="00DC02BB" w:rsidRDefault="00623D8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623D81" w:rsidRPr="00DC02BB" w:rsidRDefault="00623D8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077" w:rsidRPr="00245FC4" w:rsidRDefault="00623D81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E8430E" w:rsidRPr="00E8430E">
      <w:rPr>
        <w:rFonts w:eastAsiaTheme="minorHAnsi" w:cs="Calibri"/>
        <w:noProof/>
        <w:sz w:val="16"/>
        <w:szCs w:val="16"/>
      </w:rPr>
      <w:t>07_Rea</w:t>
    </w:r>
    <w:r w:rsidR="00E8430E" w:rsidRPr="00E8430E">
      <w:rPr>
        <w:noProof/>
        <w:sz w:val="16"/>
        <w:szCs w:val="16"/>
      </w:rPr>
      <w:t>_01_Materiaux_Designation</w:t>
    </w:r>
    <w:r w:rsidR="00E8430E">
      <w:rPr>
        <w:noProof/>
      </w:rPr>
      <w:t>.docx</w:t>
    </w:r>
    <w:r>
      <w:rPr>
        <w:noProof/>
        <w:sz w:val="16"/>
        <w:szCs w:val="16"/>
      </w:rPr>
      <w:fldChar w:fldCharType="end"/>
    </w:r>
    <w:r w:rsidR="00F34077" w:rsidRPr="00245FC4">
      <w:rPr>
        <w:rFonts w:eastAsiaTheme="minorHAnsi" w:cs="Calibri"/>
        <w:sz w:val="16"/>
        <w:szCs w:val="16"/>
      </w:rPr>
      <w:tab/>
    </w:r>
    <w:r w:rsidR="00F34077" w:rsidRPr="00245FC4">
      <w:rPr>
        <w:rFonts w:eastAsiaTheme="minorHAnsi" w:cs="Calibri"/>
        <w:sz w:val="16"/>
        <w:szCs w:val="16"/>
      </w:rPr>
      <w:tab/>
    </w:r>
    <w:r w:rsidR="00F34077" w:rsidRPr="00245FC4">
      <w:rPr>
        <w:rFonts w:eastAsiaTheme="minorHAnsi" w:cs="Calibri"/>
        <w:sz w:val="16"/>
        <w:szCs w:val="16"/>
      </w:rPr>
      <w:tab/>
    </w:r>
    <w:r w:rsidR="00F52709" w:rsidRPr="00245FC4">
      <w:rPr>
        <w:rFonts w:eastAsiaTheme="minorHAnsi" w:cs="Calibri"/>
        <w:b/>
        <w:sz w:val="16"/>
        <w:szCs w:val="16"/>
      </w:rPr>
      <w:fldChar w:fldCharType="begin"/>
    </w:r>
    <w:r w:rsidR="00F34077" w:rsidRPr="00245FC4">
      <w:rPr>
        <w:rFonts w:eastAsiaTheme="minorHAnsi" w:cs="Calibri"/>
        <w:b/>
        <w:sz w:val="16"/>
        <w:szCs w:val="16"/>
      </w:rPr>
      <w:instrText xml:space="preserve"> PAGE </w:instrText>
    </w:r>
    <w:r w:rsidR="00F52709" w:rsidRPr="00245FC4">
      <w:rPr>
        <w:rFonts w:eastAsiaTheme="minorHAnsi" w:cs="Calibri"/>
        <w:b/>
        <w:sz w:val="16"/>
        <w:szCs w:val="16"/>
      </w:rPr>
      <w:fldChar w:fldCharType="separate"/>
    </w:r>
    <w:r w:rsidR="00E8430E">
      <w:rPr>
        <w:rFonts w:eastAsiaTheme="minorHAnsi" w:cs="Calibri"/>
        <w:b/>
        <w:sz w:val="16"/>
        <w:szCs w:val="16"/>
      </w:rPr>
      <w:t>1</w:t>
    </w:r>
    <w:r w:rsidR="00F52709" w:rsidRPr="00245FC4">
      <w:rPr>
        <w:rFonts w:eastAsiaTheme="minorHAnsi" w:cs="Calibri"/>
        <w:b/>
        <w:sz w:val="16"/>
        <w:szCs w:val="16"/>
      </w:rPr>
      <w:fldChar w:fldCharType="end"/>
    </w:r>
    <w:r w:rsidR="00F34077" w:rsidRPr="00245FC4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E8430E" w:rsidRPr="00E8430E">
      <w:rPr>
        <w:rFonts w:eastAsiaTheme="minorHAnsi" w:cs="Calibri"/>
        <w:b/>
        <w:noProof/>
        <w:sz w:val="16"/>
        <w:szCs w:val="16"/>
      </w:rPr>
      <w:t>2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F34077" w:rsidRPr="00671D30" w:rsidRDefault="00F34077" w:rsidP="00671D30">
    <w:pPr>
      <w:pStyle w:val="Pieddepage"/>
      <w:rPr>
        <w:rFonts w:asciiTheme="minorHAnsi" w:eastAsiaTheme="minorHAnsi" w:hAnsiTheme="minorHAnsi" w:cstheme="minorBidi"/>
        <w:sz w:val="16"/>
      </w:rPr>
    </w:pPr>
    <w:r w:rsidRPr="00270B94">
      <w:rPr>
        <w:rFonts w:asciiTheme="minorHAnsi" w:eastAsiaTheme="minorHAnsi" w:hAnsiTheme="minorHAnsi" w:cstheme="minorBidi"/>
        <w:sz w:val="16"/>
      </w:rPr>
      <w:t>Xavie</w:t>
    </w:r>
    <w:r>
      <w:rPr>
        <w:rFonts w:asciiTheme="minorHAnsi" w:eastAsiaTheme="minorHAnsi" w:hAnsiTheme="minorHAnsi" w:cstheme="minorBidi"/>
        <w:sz w:val="16"/>
      </w:rPr>
      <w:t>r Pessoles – Jean-Pierre Pupier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D81" w:rsidRPr="00DC02BB" w:rsidRDefault="00623D8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623D81" w:rsidRPr="00DC02BB" w:rsidRDefault="00623D8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F34077" w:rsidTr="00270772">
      <w:tc>
        <w:tcPr>
          <w:tcW w:w="4644" w:type="dxa"/>
        </w:tcPr>
        <w:p w:rsidR="00F34077" w:rsidRDefault="00F34077" w:rsidP="009C2E7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 xml:space="preserve">PTSI –07 – Étude des systèmes mécaniques – </w:t>
          </w:r>
          <w:r>
            <w:rPr>
              <w:rFonts w:eastAsiaTheme="minorHAnsi" w:cs="Calibri"/>
              <w:i/>
              <w:sz w:val="16"/>
              <w:szCs w:val="16"/>
            </w:rPr>
            <w:t>Réaliser</w:t>
          </w:r>
        </w:p>
      </w:tc>
      <w:tc>
        <w:tcPr>
          <w:tcW w:w="2253" w:type="dxa"/>
        </w:tcPr>
        <w:p w:rsidR="00F34077" w:rsidRDefault="00F3407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F34077" w:rsidRDefault="00F34077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623D81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623D81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04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080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<v:group id="Group 133" o:spid="_x0000_s2050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AutoShape 134" o:spid="_x0000_s207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<v:shape id="AutoShape 135" o:spid="_x0000_s2078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<v:shape id="AutoShape 136" o:spid="_x0000_s2077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<v:shape id="AutoShape 137" o:spid="_x0000_s2076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1ee8EAAADbAAAADwAAAGRycy9kb3ducmV2LnhtbESPQYvCMBSE7wv+h/AEL6KpLitSjSKC&#10;4EnYKujx0TzbYvNSm9jWf28EweMwM98wy3VnStFQ7QrLCibjCARxanXBmYLTcTeag3AeWWNpmRQ8&#10;ycF61ftZYqxty//UJD4TAcIuRgW591UspUtzMujGtiIO3tXWBn2QdSZ1jW2Am1JOo2gmDRYcFnKs&#10;aJtTekseRsHhbzhrGn8fOjxcsE3OLNvyV6lBv9ssQHjq/Df8ae+1gukE3l/C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vV57wQAAANsAAAAPAAAAAAAAAAAAAAAA&#10;AKECAABkcnMvZG93bnJldi54bWxQSwUGAAAAAAQABAD5AAAAjwMAAAAA&#10;" strokeweight="1pt"/>
                  <v:shape id="AutoShape 138" o:spid="_x0000_s2075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<v:shape id="AutoShape 139" o:spid="_x0000_s207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40" o:spid="_x0000_s2073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41" o:spid="_x0000_s2072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2" o:spid="_x0000_s2071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3" o:spid="_x0000_s2070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4" o:spid="_x0000_s206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5" o:spid="_x0000_s2068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/W8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SRr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9bxAAAANsAAAAPAAAAAAAAAAAA&#10;AAAAAKECAABkcnMvZG93bnJldi54bWxQSwUGAAAAAAQABAD5AAAAkgMAAAAA&#10;" strokeweight="1pt"/>
                  <v:shape id="AutoShape 146" o:spid="_x0000_s2067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<v:shape id="AutoShape 147" o:spid="_x0000_s2066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8" o:spid="_x0000_s2065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mqIcUAAADeAAAADwAAAGRycy9kb3ducmV2LnhtbESPT2vCMBjG7wO/Q3gHXsZM9eBiZ1rc&#10;QJDdpiIeX5rXtix5U5q01m+/HAY7Pjz/+G3LyVkxUh9azxqWiwwEceVNy7WG82n/qkCEiGzQeiYN&#10;DwpQFrOnLebG3/mbxmOsRRrhkKOGJsYulzJUDTkMC98RJ+/me4cxyb6Wpsd7GndWrrJsLR22nB4a&#10;7OizoernODgNg/16OQ2XuBzrj/HtpjbqOl2D1vPnafcOItIU/8N/7YPRsForlQASTkI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mqIcUAAADeAAAADwAAAAAAAAAA&#10;AAAAAAChAgAAZHJzL2Rvd25yZXYueG1sUEsFBgAAAAAEAAQA+QAAAJMDAAAAAA==&#10;" strokeweight="1pt"/>
                  <v:shape id="AutoShape 149" o:spid="_x0000_s206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LS8UAAADeAAAADwAAAGRycy9kb3ducmV2LnhtbESPQWuDQBSE74H+h+UVepG6JiUixk0I&#10;gUBPQm2hPT7cF5W6b627UfPvs4VCj8PMfMMUh8X0YqLRdZYVrOMEBHFtdceNgo/383MGwnlkjb1l&#10;UnAjB4f9w6rAXNuZ32iqfCMChF2OClrvh1xKV7dk0MV2IA7exY4GfZBjI/WIc4CbXm6SJJUGOw4L&#10;LQ50aqn+rq5GQbmN0mnyP5HD8gvn6pPl3L8o9fS4HHcgPC3+P/zXftUKNmmWreH3TrgC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rLS8UAAADeAAAADwAAAAAAAAAA&#10;AAAAAAChAgAAZHJzL2Rvd25yZXYueG1sUEsFBgAAAAAEAAQA+QAAAJMDAAAAAA==&#10;" strokeweight="1pt"/>
                  <v:shape id="AutoShape 150" o:spid="_x0000_s2063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RzcUAAADeAAAADwAAAGRycy9kb3ducmV2LnhtbESPQWvCQBSE7wX/w/IEL0U35mDX6Cpa&#10;KBRvaikeH9lnEsy+DdlNjP++Kwg9DjPzDbPeDrYWPbW+cqxhPktAEOfOVFxo+Dl/TRUIH5AN1o5J&#10;w4M8bDejtzVmxt35SP0pFCJC2GeooQyhyaT0eUkW/cw1xNG7utZiiLItpGnxHuG2lmmSLKTFiuNC&#10;iQ19lpTfTp3V0NWH93P3G+Z9se8/rmqpLsPFaz0ZD7sViEBD+A+/2t9GQ7pQKoXnnXgF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eRzcUAAADeAAAADwAAAAAAAAAA&#10;AAAAAAChAgAAZHJzL2Rvd25yZXYueG1sUEsFBgAAAAAEAAQA+QAAAJMDAAAAAA==&#10;" strokeweight="1pt"/>
                  <v:shape id="AutoShape 151" o:spid="_x0000_s2062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Twp8UAAADeAAAADwAAAGRycy9kb3ducmV2LnhtbESPQWuDQBSE74H+h+UVcpG6NhIR4yaU&#10;QqGnQE0gPT7cF5W6b627VfPvu4VCjsPMfMOUh8X0YqLRdZYVPMcJCOLa6o4bBefT21MOwnlkjb1l&#10;UnAjB4f9w6rEQtuZP2iqfCMChF2BClrvh0JKV7dk0MV2IA7e1Y4GfZBjI/WIc4CbXm6SJJMGOw4L&#10;LQ702lL9Vf0YBcdtlE2T/44cHj9xri4s5z5Vav24vOxAeFr8PfzfftcKNlmep/B3J1wBu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Twp8UAAADeAAAADwAAAAAAAAAA&#10;AAAAAAChAgAAZHJzL2Rvd25yZXYueG1sUEsFBgAAAAAEAAQA+QAAAJMDAAAAAA==&#10;" strokeweight="1pt"/>
                  <v:shape id="AutoShape 152" o:spid="_x0000_s2061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sIsYAAADeAAAADwAAAGRycy9kb3ducmV2LnhtbESPQWvCQBSE7wX/w/IEL0U3StE1uooK&#10;QumtKuLxkX0mwezbkN3E+O+7hUKPw8x8w6y3va1ER40vHWuYThIQxJkzJecaLufjWIHwAdlg5Zg0&#10;vMjDdjN4W2Nq3JO/qTuFXEQI+xQ1FCHUqZQ+K8iin7iaOHp311gMUTa5NA0+I9xWcpYkc2mx5LhQ&#10;YE2HgrLHqbUa2urr/dxew7TL993irpbq1t+81qNhv1uBCNSH//Bf+9NomM2V+oDfO/EK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yrCLGAAAA3gAAAA8AAAAAAAAA&#10;AAAAAAAAoQIAAGRycy9kb3ducmV2LnhtbFBLBQYAAAAABAAEAPkAAACUAwAAAAA=&#10;" strokeweight="1pt"/>
                  <v:shape id="AutoShape 153" o:spid="_x0000_s2060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HNSMUAAADeAAAADwAAAGRycy9kb3ducmV2LnhtbESPQWuDQBSE74H+h+UVepG6JkUR4yaE&#10;QKGnQEyhPT7cF5W6b627Ufvvs4VCj8PMfMOU+8X0YqLRdZYVrOMEBHFtdceNgvfL63MOwnlkjb1l&#10;UvBDDva7h1WJhbYzn2mqfCMChF2BClrvh0JKV7dk0MV2IA7e1Y4GfZBjI/WIc4CbXm6SJJMGOw4L&#10;LQ50bKn+qm5GwSmNsmny35HD0yfO1QfLuX9R6ulxOWxBeFr8f/iv/aYVbLI8T+H3TrgCcn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HNSMUAAADeAAAADwAAAAAAAAAA&#10;AAAAAAChAgAAZHJzL2Rvd25yZXYueG1sUEsFBgAAAAAEAAQA+QAAAJMDAAAAAA==&#10;" strokeweight="1pt"/>
                  <v:shape id="AutoShape 154" o:spid="_x0000_s205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NTP8QAAADeAAAADwAAAGRycy9kb3ducmV2LnhtbESPQYvCMBSE78L+h/AWvMiaqlhKNcoi&#10;CJ4Eq7B7fDRv22Lz0m1iW/+9EQSPw8x8w6y3g6lFR62rLCuYTSMQxLnVFRcKLuf9VwLCeWSNtWVS&#10;cCcH283HaI2ptj2fqMt8IQKEXYoKSu+bVEqXl2TQTW1DHLw/2xr0QbaF1C32AW5qOY+iWBqsOCyU&#10;2NCupPya3YyC43ISd53/nzg8/mKf/bDs64VS48/hewXC0+Df4Vf7oBXM4ySJ4XknX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81M/xAAAAN4AAAAPAAAAAAAAAAAA&#10;AAAAAKECAABkcnMvZG93bnJldi54bWxQSwUGAAAAAAQABAD5AAAAkgMAAAAA&#10;" strokeweight="1pt"/>
                  <v:shape id="AutoShape 155" o:spid="_x0000_s2058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yVcUAAADeAAAADwAAAGRycy9kb3ducmV2LnhtbESPT4vCMBTE74LfITxhL6KpHjRWo7gL&#10;C8ve/IN4fDTPtti8lCat3W+/EQSPw8z8htnseluJjhpfOtYwmyYgiDNnSs41nE/fEwXCB2SDlWPS&#10;8EcedtvhYIOpcQ8+UHcMuYgQ9ilqKEKoUyl9VpBFP3U1cfRurrEYomxyaRp8RLit5DxJFtJiyXGh&#10;wJq+Csrux9ZqaKvf8am9hFmXf3bLm1qpa3/1Wn+M+v0aRKA+vMOv9o/RMF8otYTnnXgF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AyVcUAAADeAAAADwAAAAAAAAAA&#10;AAAAAAChAgAAZHJzL2Rvd25yZXYueG1sUEsFBgAAAAAEAAQA+QAAAJMDAAAAAA==&#10;" strokeweight="1pt"/>
                  <v:shape id="AutoShape 156" o:spid="_x0000_s2057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Bi1sIAAADeAAAADwAAAGRycy9kb3ducmV2LnhtbERPTYvCMBC9C/6HMAt7EZuqWErXKCII&#10;noStgh6HZrYt20xqE9vuv98cBI+P973ZjaYRPXWutqxgEcUgiAuray4VXC/HeQrCeWSNjWVS8EcO&#10;dtvpZIOZtgN/U5/7UoQQdhkqqLxvMyldUZFBF9mWOHA/tjPoA+xKqTscQrhp5DKOE2mw5tBQYUuH&#10;iorf/GkUnNezpO/9Y+bwfMchv7EcmpVSnx/j/guEp9G/xS/3SStYJmka9oY74Qr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Bi1sIAAADeAAAADwAAAAAAAAAAAAAA&#10;AAChAgAAZHJzL2Rvd25yZXYueG1sUEsFBgAAAAAEAAQA+QAAAJADAAAAAA==&#10;" strokeweight="1pt"/>
                  <v:shape id="AutoShape 157" o:spid="_x0000_s2056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MDvMUAAADeAAAADwAAAGRycy9kb3ducmV2LnhtbESPT4vCMBTE7wt+h/AEL4umenBjNYou&#10;LCze/IN4fDTPtti8lCat9dtvBGGPw8z8hllteluJjhpfOtYwnSQgiDNnSs41nE8/YwXCB2SDlWPS&#10;8CQPm/XgY4WpcQ8+UHcMuYgQ9ilqKEKoUyl9VpBFP3E1cfRurrEYomxyaRp8RLit5CxJ5tJiyXGh&#10;wJq+C8rux9ZqaKv956m9hGmX77qvm1qoa3/1Wo+G/XYJIlAf/sPv9q/RMJsrtYDXnXgF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MDvMUAAADeAAAADwAAAAAAAAAA&#10;AAAAAAChAgAAZHJzL2Rvd25yZXYueG1sUEsFBgAAAAAEAAQA+QAAAJMDAAAAAA==&#10;" strokeweight="1pt"/>
                  <v:shape id="AutoShape 158" o:spid="_x0000_s2055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8/MQAAADeAAAADwAAAGRycy9kb3ducmV2LnhtbESPy4rCMBSG94LvEM6AG5mmutDaMYoK&#10;grhTh8HloTm9MM1JadJa394sBJc//41vvR1MLXpqXWVZwSyKQRBnVldcKPi9Hb8TEM4ja6wtk4In&#10;OdhuxqM1pto++EL91RcijLBLUUHpfZNK6bKSDLrINsTBy21r0AfZFlK3+AjjppbzOF5IgxWHhxIb&#10;OpSU/V87o6Crz9Nb9+dnfbHvl3mySu7D3Sk1+Rp2PyA8Df4TfrdPWsF8kawCQMAJKCA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Dz8xAAAAN4AAAAPAAAAAAAAAAAA&#10;AAAAAKECAABkcnMvZG93bnJldi54bWxQSwUGAAAAAAQABAD5AAAAkgMAAAAA&#10;" strokeweight="1pt"/>
                  <v:shape id="AutoShape 159" o:spid="_x0000_s2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ZZ8UAAADeAAAADwAAAGRycy9kb3ducmV2LnhtbESPQYvCMBSE74L/ITxhL7Km9aC1GmVX&#10;EBZvWlk8PppnW2xeSpPW7r/fCILHYWa+YTa7wdSip9ZVlhXEswgEcW51xYWCS3b4TEA4j6yxtkwK&#10;/sjBbjsebTDV9sEn6s++EAHCLkUFpfdNKqXLSzLoZrYhDt7NtgZ9kG0hdYuPADe1nEfRQhqsOCyU&#10;2NC+pPx+7oyCrj5Os+7Xx33x3S9vySq5Dlen1Mdk+FqD8DT4d/jV/tEK5o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yZZ8UAAADeAAAADwAAAAAAAAAA&#10;AAAAAAChAgAAZHJzL2Rvd25yZXYueG1sUEsFBgAAAAAEAAQA+QAAAJMDAAAAAA==&#10;" strokeweight="1pt"/>
                  <v:shape id="AutoShape 160" o:spid="_x0000_s2053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4HEMUAAADeAAAADwAAAGRycy9kb3ducmV2LnhtbESPQYvCMBSE74L/ITxhL7Km9qC1GmVX&#10;EBZvWlk8PppnW2xeSpPW7r/fCILHYWa+YTa7wdSip9ZVlhXMZxEI4tzqigsFl+zwmYBwHlljbZkU&#10;/JGD3XY82mCq7YNP1J99IQKEXYoKSu+bVEqXl2TQzWxDHLybbQ36INtC6hYfAW5qGUfRQhqsOCyU&#10;2NC+pPx+7oyCrj5Os+7Xz/viu1/eklVyHa5OqY/J8LUG4Wnw7/Cr/aMVxI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4HEMUAAADeAAAADwAAAAAAAAAA&#10;AAAAAAChAgAAZHJzL2Rvd25yZXYueG1sUEsFBgAAAAAEAAQA+QAAAJMDAAAAAA==&#10;" strokeweight="1pt"/>
                  <v:shape id="AutoShape 161" o:spid="_x0000_s2052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1mesQAAADeAAAADwAAAGRycy9kb3ducmV2LnhtbESPQYvCMBSE78L+h/AWvMiaqli0axQR&#10;BE+CdWH3+GiebdnmpTaxrf/eCILHYWa+YVab3lSipcaVlhVMxhEI4szqknMFP+f91wKE88gaK8uk&#10;4E4ONuuPwQoTbTs+UZv6XAQIuwQVFN7XiZQuK8igG9uaOHgX2xj0QTa51A12AW4qOY2iWBosOSwU&#10;WNOuoOw/vRkFx/koblt/HTk8/mGX/rLsqplSw89++w3CU+/f4Vf7oBVM48VyBs874Qr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WZ6xAAAAN4AAAAPAAAAAAAAAAAA&#10;AAAAAKECAABkcnMvZG93bnJldi54bWxQSwUGAAAAAAQABAD5AAAAkgMAAAAA&#10;" strokeweight="1pt"/>
                  <v:shape id="AutoShape 162" o:spid="_x0000_s2051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6/8cAAADeAAAADwAAAGRycy9kb3ducmV2LnhtbESPT2vCQBTE7wW/w/KEXopulJLG6CZo&#10;QSi9VYt4fGSfSTD7NmQ3f/z23UKhx2FmfsPs8sk0YqDO1ZYVrJYRCOLC6ppLBd/n4yIB4TyyxsYy&#10;KXiQgzybPe0w1XbkLxpOvhQBwi5FBZX3bSqlKyoy6Ja2JQ7ezXYGfZBdKXWHY4CbRq6jKJYGaw4L&#10;Fbb0XlFxP/VGQd98vpz7i18N5WF4uyWb5DpdnVLP82m/BeFp8v/hv/aHVrCOk80r/N4JV0Bm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Kzr/xwAAAN4AAAAPAAAAAAAA&#10;AAAAAAAAAKECAABkcnMvZG93bnJldi54bWxQSwUGAAAAAAQABAD5AAAAlQMAAAAA&#10;" strokeweight="1pt"/>
                </v:group>
                <w10:wrap type="none"/>
                <w10:anchorlock/>
              </v:group>
            </w:pict>
          </w:r>
        </w:p>
      </w:tc>
    </w:tr>
    <w:tr w:rsidR="00F34077" w:rsidTr="00270772">
      <w:tc>
        <w:tcPr>
          <w:tcW w:w="4644" w:type="dxa"/>
        </w:tcPr>
        <w:p w:rsidR="00F34077" w:rsidRDefault="00F34077" w:rsidP="009C2E7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Réaliser – 1 – Matériaux</w:t>
          </w:r>
        </w:p>
      </w:tc>
      <w:tc>
        <w:tcPr>
          <w:tcW w:w="2253" w:type="dxa"/>
        </w:tcPr>
        <w:p w:rsidR="00F34077" w:rsidRDefault="00F3407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F34077" w:rsidRDefault="00F3407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F34077" w:rsidRDefault="00F34077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592471"/>
    <w:multiLevelType w:val="hybridMultilevel"/>
    <w:tmpl w:val="D11CDD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B6178"/>
    <w:multiLevelType w:val="hybridMultilevel"/>
    <w:tmpl w:val="64C0824C"/>
    <w:lvl w:ilvl="0" w:tplc="1F28C9E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1A6F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8CC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EA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04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AAE1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0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A7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E5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37D95"/>
    <w:multiLevelType w:val="hybridMultilevel"/>
    <w:tmpl w:val="9EA476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97603C1"/>
    <w:multiLevelType w:val="hybridMultilevel"/>
    <w:tmpl w:val="6A0EFD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7519D"/>
    <w:multiLevelType w:val="hybridMultilevel"/>
    <w:tmpl w:val="BDC850B8"/>
    <w:lvl w:ilvl="0" w:tplc="2B7C773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A68F8"/>
    <w:multiLevelType w:val="hybridMultilevel"/>
    <w:tmpl w:val="A086DB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D7728"/>
    <w:multiLevelType w:val="hybridMultilevel"/>
    <w:tmpl w:val="2B5491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73E3A"/>
    <w:multiLevelType w:val="hybridMultilevel"/>
    <w:tmpl w:val="EBA0EF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4">
    <w:nsid w:val="2EEE11FE"/>
    <w:multiLevelType w:val="hybridMultilevel"/>
    <w:tmpl w:val="79CE4754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01E1CA9"/>
    <w:multiLevelType w:val="hybridMultilevel"/>
    <w:tmpl w:val="8B746F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DC2AD3"/>
    <w:multiLevelType w:val="hybridMultilevel"/>
    <w:tmpl w:val="20F8229C"/>
    <w:lvl w:ilvl="0" w:tplc="6F7448EA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1F963C8"/>
    <w:multiLevelType w:val="hybridMultilevel"/>
    <w:tmpl w:val="F8DA797C"/>
    <w:lvl w:ilvl="0" w:tplc="E9F88F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0F307B"/>
    <w:multiLevelType w:val="hybridMultilevel"/>
    <w:tmpl w:val="F7029F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576"/>
    <w:multiLevelType w:val="hybridMultilevel"/>
    <w:tmpl w:val="CDFA6B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35AAD"/>
    <w:multiLevelType w:val="hybridMultilevel"/>
    <w:tmpl w:val="4F40AD2E"/>
    <w:lvl w:ilvl="0" w:tplc="29343E44">
      <w:start w:val="1"/>
      <w:numFmt w:val="lowerLetter"/>
      <w:pStyle w:val="Par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12EAA"/>
    <w:multiLevelType w:val="singleLevel"/>
    <w:tmpl w:val="040C0005"/>
    <w:lvl w:ilvl="0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</w:abstractNum>
  <w:abstractNum w:abstractNumId="22">
    <w:nsid w:val="49120358"/>
    <w:multiLevelType w:val="hybridMultilevel"/>
    <w:tmpl w:val="CCE03CEE"/>
    <w:lvl w:ilvl="0" w:tplc="CB5071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F34D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CE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C3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A6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2D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295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429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55FCB"/>
    <w:multiLevelType w:val="hybridMultilevel"/>
    <w:tmpl w:val="888AB3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00309"/>
    <w:multiLevelType w:val="single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6">
    <w:nsid w:val="52E61092"/>
    <w:multiLevelType w:val="hybridMultilevel"/>
    <w:tmpl w:val="503C650E"/>
    <w:lvl w:ilvl="0" w:tplc="301A9C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22275B"/>
    <w:multiLevelType w:val="hybridMultilevel"/>
    <w:tmpl w:val="1696B6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4D1446"/>
    <w:multiLevelType w:val="hybridMultilevel"/>
    <w:tmpl w:val="C9AC4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07402B"/>
    <w:multiLevelType w:val="hybridMultilevel"/>
    <w:tmpl w:val="D778CA8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946DDA"/>
    <w:multiLevelType w:val="singleLevel"/>
    <w:tmpl w:val="2A80C17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</w:abstractNum>
  <w:abstractNum w:abstractNumId="3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214DB"/>
    <w:multiLevelType w:val="hybridMultilevel"/>
    <w:tmpl w:val="AF8E60E2"/>
    <w:lvl w:ilvl="0" w:tplc="CEA635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055C41"/>
    <w:multiLevelType w:val="hybridMultilevel"/>
    <w:tmpl w:val="E2988C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AA4433"/>
    <w:multiLevelType w:val="hybridMultilevel"/>
    <w:tmpl w:val="467439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131269"/>
    <w:multiLevelType w:val="hybridMultilevel"/>
    <w:tmpl w:val="D2549026"/>
    <w:lvl w:ilvl="0" w:tplc="C5028A28">
      <w:start w:val="1"/>
      <w:numFmt w:val="decimal"/>
      <w:pStyle w:val="Titre4"/>
      <w:suff w:val="space"/>
      <w:lvlText w:val="%1-"/>
      <w:lvlJc w:val="left"/>
      <w:pPr>
        <w:ind w:left="57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B95565"/>
    <w:multiLevelType w:val="hybridMultilevel"/>
    <w:tmpl w:val="1A5EF9CC"/>
    <w:lvl w:ilvl="0" w:tplc="375644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15EA0"/>
    <w:multiLevelType w:val="hybridMultilevel"/>
    <w:tmpl w:val="81B6C3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EC6815"/>
    <w:multiLevelType w:val="hybridMultilevel"/>
    <w:tmpl w:val="694639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</w:num>
  <w:num w:numId="2">
    <w:abstractNumId w:val="5"/>
  </w:num>
  <w:num w:numId="3">
    <w:abstractNumId w:val="35"/>
  </w:num>
  <w:num w:numId="4">
    <w:abstractNumId w:val="24"/>
  </w:num>
  <w:num w:numId="5">
    <w:abstractNumId w:val="39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13"/>
  </w:num>
  <w:num w:numId="11">
    <w:abstractNumId w:val="20"/>
  </w:num>
  <w:num w:numId="12">
    <w:abstractNumId w:val="35"/>
    <w:lvlOverride w:ilvl="0">
      <w:startOverride w:val="1"/>
    </w:lvlOverride>
  </w:num>
  <w:num w:numId="13">
    <w:abstractNumId w:val="8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5">
    <w:abstractNumId w:val="11"/>
  </w:num>
  <w:num w:numId="16">
    <w:abstractNumId w:val="29"/>
  </w:num>
  <w:num w:numId="17">
    <w:abstractNumId w:val="12"/>
  </w:num>
  <w:num w:numId="18">
    <w:abstractNumId w:val="34"/>
  </w:num>
  <w:num w:numId="19">
    <w:abstractNumId w:val="22"/>
  </w:num>
  <w:num w:numId="20">
    <w:abstractNumId w:val="1"/>
  </w:num>
  <w:num w:numId="21">
    <w:abstractNumId w:val="16"/>
  </w:num>
  <w:num w:numId="22">
    <w:abstractNumId w:val="30"/>
  </w:num>
  <w:num w:numId="23">
    <w:abstractNumId w:val="21"/>
  </w:num>
  <w:num w:numId="24">
    <w:abstractNumId w:val="37"/>
  </w:num>
  <w:num w:numId="25">
    <w:abstractNumId w:val="32"/>
  </w:num>
  <w:num w:numId="26">
    <w:abstractNumId w:val="36"/>
  </w:num>
  <w:num w:numId="27">
    <w:abstractNumId w:val="18"/>
  </w:num>
  <w:num w:numId="28">
    <w:abstractNumId w:val="26"/>
  </w:num>
  <w:num w:numId="29">
    <w:abstractNumId w:val="2"/>
  </w:num>
  <w:num w:numId="30">
    <w:abstractNumId w:val="17"/>
  </w:num>
  <w:num w:numId="31">
    <w:abstractNumId w:val="10"/>
  </w:num>
  <w:num w:numId="32">
    <w:abstractNumId w:val="38"/>
  </w:num>
  <w:num w:numId="33">
    <w:abstractNumId w:val="6"/>
  </w:num>
  <w:num w:numId="34">
    <w:abstractNumId w:val="4"/>
    <w:lvlOverride w:ilvl="0">
      <w:startOverride w:val="1"/>
    </w:lvlOverride>
  </w:num>
  <w:num w:numId="35">
    <w:abstractNumId w:val="35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3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35"/>
    <w:lvlOverride w:ilvl="0">
      <w:startOverride w:val="1"/>
    </w:lvlOverride>
  </w:num>
  <w:num w:numId="40">
    <w:abstractNumId w:val="35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35"/>
    <w:lvlOverride w:ilvl="0">
      <w:startOverride w:val="1"/>
    </w:lvlOverride>
  </w:num>
  <w:num w:numId="43">
    <w:abstractNumId w:val="35"/>
    <w:lvlOverride w:ilvl="0">
      <w:startOverride w:val="1"/>
    </w:lvlOverride>
  </w:num>
  <w:num w:numId="44">
    <w:abstractNumId w:val="35"/>
    <w:lvlOverride w:ilvl="0">
      <w:startOverride w:val="1"/>
    </w:lvlOverride>
  </w:num>
  <w:num w:numId="45">
    <w:abstractNumId w:val="35"/>
    <w:lvlOverride w:ilvl="0">
      <w:startOverride w:val="1"/>
    </w:lvlOverride>
  </w:num>
  <w:num w:numId="46">
    <w:abstractNumId w:val="20"/>
    <w:lvlOverride w:ilvl="0">
      <w:startOverride w:val="1"/>
    </w:lvlOverride>
  </w:num>
  <w:num w:numId="47">
    <w:abstractNumId w:val="9"/>
    <w:lvlOverride w:ilvl="0">
      <w:startOverride w:val="1"/>
    </w:lvlOverride>
  </w:num>
  <w:num w:numId="48">
    <w:abstractNumId w:val="35"/>
    <w:lvlOverride w:ilvl="0">
      <w:startOverride w:val="1"/>
    </w:lvlOverride>
  </w:num>
  <w:num w:numId="49">
    <w:abstractNumId w:val="35"/>
    <w:lvlOverride w:ilvl="0">
      <w:startOverride w:val="1"/>
    </w:lvlOverride>
  </w:num>
  <w:num w:numId="50">
    <w:abstractNumId w:val="35"/>
    <w:lvlOverride w:ilvl="0">
      <w:startOverride w:val="1"/>
    </w:lvlOverride>
  </w:num>
  <w:num w:numId="51">
    <w:abstractNumId w:val="35"/>
    <w:lvlOverride w:ilvl="0">
      <w:startOverride w:val="1"/>
    </w:lvlOverride>
  </w:num>
  <w:num w:numId="52">
    <w:abstractNumId w:val="9"/>
    <w:lvlOverride w:ilvl="0">
      <w:startOverride w:val="1"/>
    </w:lvlOverride>
  </w:num>
  <w:num w:numId="53">
    <w:abstractNumId w:val="9"/>
    <w:lvlOverride w:ilvl="0">
      <w:startOverride w:val="1"/>
    </w:lvlOverride>
  </w:num>
  <w:num w:numId="54">
    <w:abstractNumId w:val="35"/>
    <w:lvlOverride w:ilvl="0">
      <w:startOverride w:val="1"/>
    </w:lvlOverride>
  </w:num>
  <w:num w:numId="55">
    <w:abstractNumId w:val="35"/>
    <w:lvlOverride w:ilvl="0">
      <w:startOverride w:val="1"/>
    </w:lvlOverride>
  </w:num>
  <w:num w:numId="56">
    <w:abstractNumId w:val="35"/>
    <w:lvlOverride w:ilvl="0">
      <w:startOverride w:val="1"/>
    </w:lvlOverride>
  </w:num>
  <w:num w:numId="57">
    <w:abstractNumId w:val="25"/>
  </w:num>
  <w:num w:numId="58">
    <w:abstractNumId w:val="19"/>
  </w:num>
  <w:num w:numId="59">
    <w:abstractNumId w:val="33"/>
  </w:num>
  <w:num w:numId="60">
    <w:abstractNumId w:val="23"/>
  </w:num>
  <w:num w:numId="61">
    <w:abstractNumId w:val="28"/>
  </w:num>
  <w:num w:numId="62">
    <w:abstractNumId w:val="15"/>
  </w:num>
  <w:num w:numId="63">
    <w:abstractNumId w:val="27"/>
  </w:num>
  <w:num w:numId="64">
    <w:abstractNumId w:val="1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1"/>
    <o:shapelayout v:ext="edit">
      <o:idmap v:ext="edit" data="2"/>
      <o:rules v:ext="edit">
        <o:r id="V:Rule1" type="connector" idref="#AutoShape 132"/>
        <o:r id="V:Rule2" type="connector" idref="#AutoShape 162"/>
        <o:r id="V:Rule3" type="connector" idref="#AutoShape 135"/>
        <o:r id="V:Rule4" type="connector" idref="#AutoShape 134"/>
        <o:r id="V:Rule5" type="connector" idref="#AutoShape 161"/>
        <o:r id="V:Rule6" type="connector" idref="#AutoShape 139"/>
        <o:r id="V:Rule7" type="connector" idref="#AutoShape 150"/>
        <o:r id="V:Rule8" type="connector" idref="#AutoShape 138"/>
        <o:r id="V:Rule9" type="connector" idref="#AutoShape 151"/>
        <o:r id="V:Rule10" type="connector" idref="#AutoShape 160"/>
        <o:r id="V:Rule11" type="connector" idref="#AutoShape 136"/>
        <o:r id="V:Rule12" type="connector" idref="#AutoShape 137"/>
        <o:r id="V:Rule13" type="connector" idref="#AutoShape 142"/>
        <o:r id="V:Rule14" type="connector" idref="#AutoShape 153"/>
        <o:r id="V:Rule15" type="connector" idref="#AutoShape 152"/>
        <o:r id="V:Rule16" type="connector" idref="#AutoShape 143"/>
        <o:r id="V:Rule17" type="connector" idref="#AutoShape 154"/>
        <o:r id="V:Rule18" type="connector" idref="#AutoShape 145"/>
        <o:r id="V:Rule19" type="connector" idref="#AutoShape 144"/>
        <o:r id="V:Rule20" type="connector" idref="#AutoShape 155"/>
        <o:r id="V:Rule21" type="connector" idref="#AutoShape 158"/>
        <o:r id="V:Rule22" type="connector" idref="#AutoShape 149"/>
        <o:r id="V:Rule23" type="connector" idref="#AutoShape 140"/>
        <o:r id="V:Rule24" type="connector" idref="#AutoShape 148"/>
        <o:r id="V:Rule25" type="connector" idref="#AutoShape 141"/>
        <o:r id="V:Rule26" type="connector" idref="#AutoShape 159"/>
        <o:r id="V:Rule27" type="connector" idref="#AutoShape 146"/>
        <o:r id="V:Rule28" type="connector" idref="#AutoShape 157"/>
        <o:r id="V:Rule29" type="connector" idref="#AutoShape 156"/>
        <o:r id="V:Rule30" type="connector" idref="#AutoShape 14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1B7E"/>
    <w:rsid w:val="00003F7F"/>
    <w:rsid w:val="00005027"/>
    <w:rsid w:val="00007A88"/>
    <w:rsid w:val="000158B1"/>
    <w:rsid w:val="00035BA3"/>
    <w:rsid w:val="00040E4E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4B79"/>
    <w:rsid w:val="0008649E"/>
    <w:rsid w:val="0009013D"/>
    <w:rsid w:val="0009019F"/>
    <w:rsid w:val="00094F7D"/>
    <w:rsid w:val="0009617C"/>
    <w:rsid w:val="0009643F"/>
    <w:rsid w:val="000A6550"/>
    <w:rsid w:val="000B6F38"/>
    <w:rsid w:val="000C26BA"/>
    <w:rsid w:val="000C5AFD"/>
    <w:rsid w:val="000D0D56"/>
    <w:rsid w:val="000E03BA"/>
    <w:rsid w:val="000E3F4F"/>
    <w:rsid w:val="000F3E9D"/>
    <w:rsid w:val="00101E66"/>
    <w:rsid w:val="001062F7"/>
    <w:rsid w:val="00106CBE"/>
    <w:rsid w:val="00110002"/>
    <w:rsid w:val="001155DC"/>
    <w:rsid w:val="00116E27"/>
    <w:rsid w:val="00117B42"/>
    <w:rsid w:val="00122251"/>
    <w:rsid w:val="001242B6"/>
    <w:rsid w:val="0013502E"/>
    <w:rsid w:val="001434AE"/>
    <w:rsid w:val="00154E8A"/>
    <w:rsid w:val="001565D4"/>
    <w:rsid w:val="00157918"/>
    <w:rsid w:val="00163A43"/>
    <w:rsid w:val="00185728"/>
    <w:rsid w:val="00185AC8"/>
    <w:rsid w:val="001B0EFB"/>
    <w:rsid w:val="001B1CF5"/>
    <w:rsid w:val="001B1D33"/>
    <w:rsid w:val="001B37B9"/>
    <w:rsid w:val="001B7613"/>
    <w:rsid w:val="001C4084"/>
    <w:rsid w:val="001C5812"/>
    <w:rsid w:val="001D4657"/>
    <w:rsid w:val="001D5C47"/>
    <w:rsid w:val="001E318F"/>
    <w:rsid w:val="0020043F"/>
    <w:rsid w:val="00234DE6"/>
    <w:rsid w:val="002413D7"/>
    <w:rsid w:val="00245203"/>
    <w:rsid w:val="00245FC4"/>
    <w:rsid w:val="00250735"/>
    <w:rsid w:val="00252522"/>
    <w:rsid w:val="0026099A"/>
    <w:rsid w:val="00260FE9"/>
    <w:rsid w:val="00270772"/>
    <w:rsid w:val="00270B94"/>
    <w:rsid w:val="00275FC9"/>
    <w:rsid w:val="00280481"/>
    <w:rsid w:val="00283495"/>
    <w:rsid w:val="00290BC7"/>
    <w:rsid w:val="00291E00"/>
    <w:rsid w:val="00293CEF"/>
    <w:rsid w:val="002A2D89"/>
    <w:rsid w:val="002A737A"/>
    <w:rsid w:val="002A7CF3"/>
    <w:rsid w:val="002B4476"/>
    <w:rsid w:val="002B5903"/>
    <w:rsid w:val="002C12F0"/>
    <w:rsid w:val="002C1FFA"/>
    <w:rsid w:val="002C7954"/>
    <w:rsid w:val="002D16BD"/>
    <w:rsid w:val="002E24A8"/>
    <w:rsid w:val="002E3294"/>
    <w:rsid w:val="002E381E"/>
    <w:rsid w:val="002E5466"/>
    <w:rsid w:val="002E55C8"/>
    <w:rsid w:val="002F1628"/>
    <w:rsid w:val="00303214"/>
    <w:rsid w:val="00304163"/>
    <w:rsid w:val="00312493"/>
    <w:rsid w:val="00320600"/>
    <w:rsid w:val="003312D4"/>
    <w:rsid w:val="003454D6"/>
    <w:rsid w:val="003456C5"/>
    <w:rsid w:val="00347B41"/>
    <w:rsid w:val="0035288B"/>
    <w:rsid w:val="00354615"/>
    <w:rsid w:val="00355DF6"/>
    <w:rsid w:val="00367448"/>
    <w:rsid w:val="003935A0"/>
    <w:rsid w:val="003938E3"/>
    <w:rsid w:val="003953F0"/>
    <w:rsid w:val="00396150"/>
    <w:rsid w:val="003A0743"/>
    <w:rsid w:val="003A20AD"/>
    <w:rsid w:val="003C08C3"/>
    <w:rsid w:val="003C32B4"/>
    <w:rsid w:val="003C62DE"/>
    <w:rsid w:val="003E292E"/>
    <w:rsid w:val="003E32D0"/>
    <w:rsid w:val="003F60C4"/>
    <w:rsid w:val="003F7C5D"/>
    <w:rsid w:val="00403611"/>
    <w:rsid w:val="0041394F"/>
    <w:rsid w:val="00417D01"/>
    <w:rsid w:val="00417FA5"/>
    <w:rsid w:val="0042328C"/>
    <w:rsid w:val="00425897"/>
    <w:rsid w:val="004305BC"/>
    <w:rsid w:val="00432877"/>
    <w:rsid w:val="00434439"/>
    <w:rsid w:val="00440446"/>
    <w:rsid w:val="00444713"/>
    <w:rsid w:val="00457769"/>
    <w:rsid w:val="0046790E"/>
    <w:rsid w:val="00475CB4"/>
    <w:rsid w:val="0048341D"/>
    <w:rsid w:val="00485860"/>
    <w:rsid w:val="004861F1"/>
    <w:rsid w:val="00493CFC"/>
    <w:rsid w:val="00495BA8"/>
    <w:rsid w:val="004A1BBC"/>
    <w:rsid w:val="004A38AA"/>
    <w:rsid w:val="004B2078"/>
    <w:rsid w:val="004B7299"/>
    <w:rsid w:val="004B75BE"/>
    <w:rsid w:val="004D5614"/>
    <w:rsid w:val="00506C9C"/>
    <w:rsid w:val="00517D63"/>
    <w:rsid w:val="00522373"/>
    <w:rsid w:val="00526EFA"/>
    <w:rsid w:val="0053179F"/>
    <w:rsid w:val="0053549F"/>
    <w:rsid w:val="00551E68"/>
    <w:rsid w:val="00553F2A"/>
    <w:rsid w:val="00556B47"/>
    <w:rsid w:val="00574884"/>
    <w:rsid w:val="0057545C"/>
    <w:rsid w:val="00577FE5"/>
    <w:rsid w:val="00585397"/>
    <w:rsid w:val="00587F86"/>
    <w:rsid w:val="00590DB8"/>
    <w:rsid w:val="005954B8"/>
    <w:rsid w:val="005B3B2E"/>
    <w:rsid w:val="005C25EA"/>
    <w:rsid w:val="005E79B1"/>
    <w:rsid w:val="005F448A"/>
    <w:rsid w:val="005F5CA2"/>
    <w:rsid w:val="00607F01"/>
    <w:rsid w:val="00610CA4"/>
    <w:rsid w:val="00617A95"/>
    <w:rsid w:val="0062310F"/>
    <w:rsid w:val="00623D81"/>
    <w:rsid w:val="0062509C"/>
    <w:rsid w:val="006458B4"/>
    <w:rsid w:val="006459F7"/>
    <w:rsid w:val="00660A4F"/>
    <w:rsid w:val="0066773B"/>
    <w:rsid w:val="00670F66"/>
    <w:rsid w:val="00671D30"/>
    <w:rsid w:val="00684AF1"/>
    <w:rsid w:val="0068574E"/>
    <w:rsid w:val="00692399"/>
    <w:rsid w:val="00692DC7"/>
    <w:rsid w:val="006937C8"/>
    <w:rsid w:val="006A517E"/>
    <w:rsid w:val="006A74DA"/>
    <w:rsid w:val="006B2ACC"/>
    <w:rsid w:val="006B4705"/>
    <w:rsid w:val="006B4A4E"/>
    <w:rsid w:val="006B4AEF"/>
    <w:rsid w:val="006C0F7D"/>
    <w:rsid w:val="006D27C9"/>
    <w:rsid w:val="006D2BEA"/>
    <w:rsid w:val="006D5576"/>
    <w:rsid w:val="006E2290"/>
    <w:rsid w:val="006E5624"/>
    <w:rsid w:val="0070087E"/>
    <w:rsid w:val="007259CF"/>
    <w:rsid w:val="0072623C"/>
    <w:rsid w:val="00730844"/>
    <w:rsid w:val="00732BA1"/>
    <w:rsid w:val="00737CE6"/>
    <w:rsid w:val="00761D17"/>
    <w:rsid w:val="00775922"/>
    <w:rsid w:val="0079370F"/>
    <w:rsid w:val="0079506E"/>
    <w:rsid w:val="007A0E21"/>
    <w:rsid w:val="007A57DA"/>
    <w:rsid w:val="007B2118"/>
    <w:rsid w:val="007B4C79"/>
    <w:rsid w:val="007B50C9"/>
    <w:rsid w:val="007C509F"/>
    <w:rsid w:val="007D4BE4"/>
    <w:rsid w:val="007E59F6"/>
    <w:rsid w:val="007F1B8E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A3E9C"/>
    <w:rsid w:val="008C321F"/>
    <w:rsid w:val="008C777C"/>
    <w:rsid w:val="008E058D"/>
    <w:rsid w:val="008E0CD2"/>
    <w:rsid w:val="008E2DAA"/>
    <w:rsid w:val="008E3B09"/>
    <w:rsid w:val="008E7A3D"/>
    <w:rsid w:val="008F259C"/>
    <w:rsid w:val="00901DBC"/>
    <w:rsid w:val="0090378B"/>
    <w:rsid w:val="0090617D"/>
    <w:rsid w:val="00915ECB"/>
    <w:rsid w:val="00923553"/>
    <w:rsid w:val="00942823"/>
    <w:rsid w:val="00943876"/>
    <w:rsid w:val="00943AEA"/>
    <w:rsid w:val="009463A7"/>
    <w:rsid w:val="0096182D"/>
    <w:rsid w:val="009626AE"/>
    <w:rsid w:val="009742B5"/>
    <w:rsid w:val="009775F1"/>
    <w:rsid w:val="009778EA"/>
    <w:rsid w:val="009A082A"/>
    <w:rsid w:val="009C0AFF"/>
    <w:rsid w:val="009C2E78"/>
    <w:rsid w:val="009D313C"/>
    <w:rsid w:val="009D3DCD"/>
    <w:rsid w:val="009D41C3"/>
    <w:rsid w:val="009E1B24"/>
    <w:rsid w:val="009E1CA3"/>
    <w:rsid w:val="009E4376"/>
    <w:rsid w:val="009E7D33"/>
    <w:rsid w:val="00A01825"/>
    <w:rsid w:val="00A170E8"/>
    <w:rsid w:val="00A171EF"/>
    <w:rsid w:val="00A17C7B"/>
    <w:rsid w:val="00A268E3"/>
    <w:rsid w:val="00A4077E"/>
    <w:rsid w:val="00A422FA"/>
    <w:rsid w:val="00A44BA4"/>
    <w:rsid w:val="00A50225"/>
    <w:rsid w:val="00A50D52"/>
    <w:rsid w:val="00A53BBD"/>
    <w:rsid w:val="00A5424D"/>
    <w:rsid w:val="00A56943"/>
    <w:rsid w:val="00A56D53"/>
    <w:rsid w:val="00A57E24"/>
    <w:rsid w:val="00A620EB"/>
    <w:rsid w:val="00A67A34"/>
    <w:rsid w:val="00A67EBC"/>
    <w:rsid w:val="00A710A4"/>
    <w:rsid w:val="00AB3D5E"/>
    <w:rsid w:val="00AB3D9A"/>
    <w:rsid w:val="00AD114E"/>
    <w:rsid w:val="00AD184D"/>
    <w:rsid w:val="00AD21C2"/>
    <w:rsid w:val="00AD7ED3"/>
    <w:rsid w:val="00AE1A61"/>
    <w:rsid w:val="00AE282E"/>
    <w:rsid w:val="00AE66EE"/>
    <w:rsid w:val="00AF26B9"/>
    <w:rsid w:val="00AF6204"/>
    <w:rsid w:val="00B00301"/>
    <w:rsid w:val="00B03A0F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71935"/>
    <w:rsid w:val="00B80677"/>
    <w:rsid w:val="00B9523A"/>
    <w:rsid w:val="00BA029D"/>
    <w:rsid w:val="00BB41A2"/>
    <w:rsid w:val="00BB42FF"/>
    <w:rsid w:val="00BD3696"/>
    <w:rsid w:val="00BD528B"/>
    <w:rsid w:val="00BD5E3D"/>
    <w:rsid w:val="00BE25A7"/>
    <w:rsid w:val="00BE3E3C"/>
    <w:rsid w:val="00BE423F"/>
    <w:rsid w:val="00BF03CB"/>
    <w:rsid w:val="00BF0724"/>
    <w:rsid w:val="00BF0E73"/>
    <w:rsid w:val="00BF1111"/>
    <w:rsid w:val="00C022EC"/>
    <w:rsid w:val="00C06FE9"/>
    <w:rsid w:val="00C10222"/>
    <w:rsid w:val="00C10725"/>
    <w:rsid w:val="00C1095D"/>
    <w:rsid w:val="00C10A60"/>
    <w:rsid w:val="00C135C1"/>
    <w:rsid w:val="00C31456"/>
    <w:rsid w:val="00C31A82"/>
    <w:rsid w:val="00C32443"/>
    <w:rsid w:val="00C32EE0"/>
    <w:rsid w:val="00C375E0"/>
    <w:rsid w:val="00C43C11"/>
    <w:rsid w:val="00C47B4D"/>
    <w:rsid w:val="00C55086"/>
    <w:rsid w:val="00C575C3"/>
    <w:rsid w:val="00C64AB0"/>
    <w:rsid w:val="00C669CB"/>
    <w:rsid w:val="00C70209"/>
    <w:rsid w:val="00C83F24"/>
    <w:rsid w:val="00C85DE1"/>
    <w:rsid w:val="00C8623C"/>
    <w:rsid w:val="00C93793"/>
    <w:rsid w:val="00C962DA"/>
    <w:rsid w:val="00CA4350"/>
    <w:rsid w:val="00CA75BF"/>
    <w:rsid w:val="00CD5202"/>
    <w:rsid w:val="00CE081F"/>
    <w:rsid w:val="00CE28CA"/>
    <w:rsid w:val="00CF6DDA"/>
    <w:rsid w:val="00CF75FD"/>
    <w:rsid w:val="00D04881"/>
    <w:rsid w:val="00D06ECC"/>
    <w:rsid w:val="00D155CF"/>
    <w:rsid w:val="00D30874"/>
    <w:rsid w:val="00D31540"/>
    <w:rsid w:val="00D31BE3"/>
    <w:rsid w:val="00D35342"/>
    <w:rsid w:val="00D4057E"/>
    <w:rsid w:val="00D43E8C"/>
    <w:rsid w:val="00D454BA"/>
    <w:rsid w:val="00D45E3E"/>
    <w:rsid w:val="00D51902"/>
    <w:rsid w:val="00D634A2"/>
    <w:rsid w:val="00D71AED"/>
    <w:rsid w:val="00D71E53"/>
    <w:rsid w:val="00D75AA3"/>
    <w:rsid w:val="00D76333"/>
    <w:rsid w:val="00D76FB0"/>
    <w:rsid w:val="00D86A56"/>
    <w:rsid w:val="00D9131E"/>
    <w:rsid w:val="00DA1586"/>
    <w:rsid w:val="00DA4892"/>
    <w:rsid w:val="00DA4BBE"/>
    <w:rsid w:val="00DA6248"/>
    <w:rsid w:val="00DB2367"/>
    <w:rsid w:val="00DC02BB"/>
    <w:rsid w:val="00DC48E3"/>
    <w:rsid w:val="00DD10D7"/>
    <w:rsid w:val="00DD2996"/>
    <w:rsid w:val="00DD6723"/>
    <w:rsid w:val="00DE0C06"/>
    <w:rsid w:val="00DE36BF"/>
    <w:rsid w:val="00DE736B"/>
    <w:rsid w:val="00DF05FD"/>
    <w:rsid w:val="00DF5F7F"/>
    <w:rsid w:val="00E13D7B"/>
    <w:rsid w:val="00E14645"/>
    <w:rsid w:val="00E251E2"/>
    <w:rsid w:val="00E33AF5"/>
    <w:rsid w:val="00E43D58"/>
    <w:rsid w:val="00E61B32"/>
    <w:rsid w:val="00E62989"/>
    <w:rsid w:val="00E72C17"/>
    <w:rsid w:val="00E82771"/>
    <w:rsid w:val="00E842AF"/>
    <w:rsid w:val="00E8430E"/>
    <w:rsid w:val="00E866E9"/>
    <w:rsid w:val="00E9460A"/>
    <w:rsid w:val="00EA1F44"/>
    <w:rsid w:val="00EA4C03"/>
    <w:rsid w:val="00EA4D45"/>
    <w:rsid w:val="00EC6A02"/>
    <w:rsid w:val="00ED28EE"/>
    <w:rsid w:val="00ED4E0E"/>
    <w:rsid w:val="00EE5BBF"/>
    <w:rsid w:val="00F021BB"/>
    <w:rsid w:val="00F02730"/>
    <w:rsid w:val="00F04086"/>
    <w:rsid w:val="00F0435C"/>
    <w:rsid w:val="00F24E6B"/>
    <w:rsid w:val="00F26650"/>
    <w:rsid w:val="00F3326D"/>
    <w:rsid w:val="00F33E58"/>
    <w:rsid w:val="00F33EE5"/>
    <w:rsid w:val="00F34077"/>
    <w:rsid w:val="00F3479D"/>
    <w:rsid w:val="00F50545"/>
    <w:rsid w:val="00F52709"/>
    <w:rsid w:val="00F659F1"/>
    <w:rsid w:val="00F7302F"/>
    <w:rsid w:val="00F7385E"/>
    <w:rsid w:val="00F740C0"/>
    <w:rsid w:val="00F75EFD"/>
    <w:rsid w:val="00F93A4B"/>
    <w:rsid w:val="00F96023"/>
    <w:rsid w:val="00FA24B4"/>
    <w:rsid w:val="00FB6DD9"/>
    <w:rsid w:val="00FC0134"/>
    <w:rsid w:val="00FC1AED"/>
    <w:rsid w:val="00FC3EB1"/>
    <w:rsid w:val="00FC4C01"/>
    <w:rsid w:val="00FC6A21"/>
    <w:rsid w:val="00FD4AC1"/>
    <w:rsid w:val="00FD699D"/>
    <w:rsid w:val="00FE1CDE"/>
    <w:rsid w:val="00FE50E6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B00301"/>
    <w:pPr>
      <w:numPr>
        <w:numId w:val="3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11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B00301"/>
    <w:pPr>
      <w:numPr>
        <w:numId w:val="3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11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C6558-2F2F-4957-8F39-E45580BA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565</TotalTime>
  <Pages>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63</cp:revision>
  <cp:lastPrinted>2015-04-08T16:11:00Z</cp:lastPrinted>
  <dcterms:created xsi:type="dcterms:W3CDTF">2014-10-28T08:38:00Z</dcterms:created>
  <dcterms:modified xsi:type="dcterms:W3CDTF">2015-04-08T16:12:00Z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