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bookmarkStart w:id="0" w:name="_GoBack"/>
      <w:bookmarkEnd w:id="0"/>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173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A0783B">
          <w:rPr>
            <w:noProof/>
            <w:webHidden/>
          </w:rPr>
          <w:t>6</w:t>
        </w:r>
        <w:r w:rsidR="00C85801">
          <w:rPr>
            <w:noProof/>
            <w:webHidden/>
          </w:rPr>
          <w:fldChar w:fldCharType="end"/>
        </w:r>
      </w:hyperlink>
    </w:p>
    <w:p w:rsidR="00C85801" w:rsidRDefault="009173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9173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173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173F2">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A0783B">
          <w:rPr>
            <w:noProof/>
            <w:webHidden/>
          </w:rPr>
          <w:t>11</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A0783B">
          <w:rPr>
            <w:noProof/>
            <w:webHidden/>
          </w:rPr>
          <w:t>12</w:t>
        </w:r>
        <w:r w:rsidR="00C85801">
          <w:rPr>
            <w:noProof/>
            <w:webHidden/>
          </w:rPr>
          <w:fldChar w:fldCharType="end"/>
        </w:r>
      </w:hyperlink>
    </w:p>
    <w:p w:rsidR="00C85801" w:rsidRDefault="009173F2">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A0783B">
          <w:rPr>
            <w:noProof/>
            <w:webHidden/>
          </w:rPr>
          <w:t>13</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1" w:name="_Toc419836921"/>
      <w:r>
        <w:lastRenderedPageBreak/>
        <w:t>Problématique de la cotation</w:t>
      </w:r>
      <w:bookmarkEnd w:id="1"/>
    </w:p>
    <w:p w:rsidR="004C781E" w:rsidRDefault="00D94F99" w:rsidP="004C781E">
      <w:pPr>
        <w:pStyle w:val="Titre3"/>
      </w:pPr>
      <w:bookmarkStart w:id="2" w:name="_Toc419836922"/>
      <w:r>
        <w:t>Présentation</w:t>
      </w:r>
      <w:bookmarkEnd w:id="2"/>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3" w:name="_Toc410877531"/>
      <w:bookmarkStart w:id="4" w:name="_Toc444863721"/>
      <w:bookmarkStart w:id="5" w:name="_Toc385179678"/>
      <w:bookmarkStart w:id="6" w:name="_Toc385179800"/>
      <w:bookmarkStart w:id="7" w:name="_Toc419836923"/>
      <w:r>
        <w:t>Interchangeabilité et appairage</w:t>
      </w:r>
      <w:bookmarkEnd w:id="3"/>
      <w:bookmarkEnd w:id="4"/>
      <w:bookmarkEnd w:id="5"/>
      <w:bookmarkEnd w:id="6"/>
      <w:bookmarkEnd w:id="7"/>
    </w:p>
    <w:p w:rsidR="00D94F99" w:rsidRDefault="00D94F99" w:rsidP="00D94F99">
      <w:pPr>
        <w:pStyle w:val="Titre4"/>
      </w:pPr>
      <w:bookmarkStart w:id="8" w:name="_Toc410877532"/>
      <w:bookmarkStart w:id="9" w:name="_Toc444863722"/>
      <w:bookmarkStart w:id="10" w:name="_Toc385179679"/>
      <w:bookmarkStart w:id="11" w:name="_Toc385179801"/>
      <w:bookmarkStart w:id="12" w:name="_Toc419836924"/>
      <w:r>
        <w:t>Interchangeabilité</w:t>
      </w:r>
      <w:bookmarkEnd w:id="8"/>
      <w:bookmarkEnd w:id="9"/>
      <w:bookmarkEnd w:id="10"/>
      <w:bookmarkEnd w:id="11"/>
      <w:bookmarkEnd w:id="12"/>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3" w:name="_Toc410877533"/>
      <w:bookmarkStart w:id="14" w:name="_Toc444863723"/>
      <w:bookmarkStart w:id="15" w:name="_Toc385179680"/>
      <w:bookmarkStart w:id="16" w:name="_Toc385179802"/>
      <w:bookmarkStart w:id="17" w:name="_Toc419836925"/>
      <w:r>
        <w:lastRenderedPageBreak/>
        <w:t>Appairage</w:t>
      </w:r>
      <w:bookmarkEnd w:id="13"/>
      <w:bookmarkEnd w:id="14"/>
      <w:bookmarkEnd w:id="15"/>
      <w:bookmarkEnd w:id="16"/>
      <w:bookmarkEnd w:id="17"/>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8" w:name="_Toc419836926"/>
      <w:r>
        <w:t>Mise en évidence de l’intérêt de la cotation</w:t>
      </w:r>
      <w:bookmarkEnd w:id="18"/>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9" w:name="_Toc385179681"/>
      <w:bookmarkStart w:id="20" w:name="_Toc385179803"/>
      <w:bookmarkStart w:id="21" w:name="_Toc419836927"/>
      <w:r>
        <w:t>Vocabulaire</w:t>
      </w:r>
      <w:bookmarkEnd w:id="19"/>
      <w:bookmarkEnd w:id="20"/>
      <w:bookmarkEnd w:id="21"/>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-0,007</m:t>
                        </m:r>
                      </m:e>
                    </m:mr>
                    <m:mr>
                      <m:e>
                        <m:r>
                          <w:rPr>
                            <w:rFonts w:ascii="Cambria Math" w:hAnsi="Cambria Math"/>
                          </w:rPr>
                          <m:t>-0,020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16.9pt" o:ole="">
                  <v:imagedata r:id="rId19" o:title=""/>
                </v:shape>
                <o:OLEObject Type="Embed" ProgID="Equation.DSMT4" ShapeID="_x0000_i1025" DrawAspect="Content" ObjectID="_1494909685"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9pt;height:23.8pt" o:ole="">
                  <v:imagedata r:id="rId21" o:title=""/>
                </v:shape>
                <o:OLEObject Type="Embed" ProgID="Equation.DSMT4" ShapeID="_x0000_i1026" DrawAspect="Content" ObjectID="_1494909686"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3pt;height:23.8pt" o:ole="">
                  <v:imagedata r:id="rId23" o:title=""/>
                </v:shape>
                <o:OLEObject Type="Embed" ProgID="Equation.DSMT4" ShapeID="_x0000_i1027" DrawAspect="Content" ObjectID="_1494909687"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2" w:name="_Toc410877536"/>
      <w:bookmarkStart w:id="23" w:name="_Toc444863726"/>
      <w:bookmarkStart w:id="24" w:name="_Toc385179682"/>
      <w:bookmarkStart w:id="25" w:name="_Toc385179804"/>
      <w:bookmarkStart w:id="26" w:name="_Toc419836928"/>
      <w:r>
        <w:t>Conséquences en coût des choix des IT</w:t>
      </w:r>
      <w:bookmarkEnd w:id="22"/>
      <w:bookmarkEnd w:id="23"/>
      <w:bookmarkEnd w:id="24"/>
      <w:bookmarkEnd w:id="25"/>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7" w:name="_Toc410877537"/>
      <w:bookmarkStart w:id="28" w:name="_Toc444863727"/>
      <w:bookmarkStart w:id="29" w:name="_Toc385179805"/>
      <w:bookmarkStart w:id="30" w:name="_Toc419836929"/>
      <w:r>
        <w:t>Ajustements normalisés</w:t>
      </w:r>
      <w:bookmarkEnd w:id="27"/>
      <w:bookmarkEnd w:id="28"/>
      <w:bookmarkEnd w:id="29"/>
      <w:bookmarkEnd w:id="30"/>
    </w:p>
    <w:p w:rsidR="00D94F99" w:rsidRDefault="00D94F99" w:rsidP="00DF360F">
      <w:pPr>
        <w:pStyle w:val="Titre3"/>
        <w:numPr>
          <w:ilvl w:val="0"/>
          <w:numId w:val="16"/>
        </w:numPr>
      </w:pPr>
      <w:bookmarkStart w:id="31" w:name="_Toc385179683"/>
      <w:bookmarkStart w:id="32" w:name="_Toc385179806"/>
      <w:bookmarkStart w:id="33" w:name="_Toc419836930"/>
      <w:r>
        <w:t>Définition</w:t>
      </w:r>
      <w:bookmarkEnd w:id="31"/>
      <w:bookmarkEnd w:id="32"/>
      <w:bookmarkEnd w:id="33"/>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4" w:name="_Toc385179684"/>
      <w:bookmarkStart w:id="35" w:name="_Toc385179807"/>
      <w:bookmarkStart w:id="36" w:name="_Toc419836931"/>
      <w:r>
        <w:t>Choix d'un ajustement</w:t>
      </w:r>
      <w:bookmarkEnd w:id="34"/>
      <w:bookmarkEnd w:id="35"/>
      <w:bookmarkEnd w:id="36"/>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7" w:name="_Toc410877539"/>
      <w:bookmarkStart w:id="38" w:name="_Toc444863729"/>
    </w:p>
    <w:p w:rsidR="00D94F99" w:rsidRDefault="00D94F99" w:rsidP="00D94F99">
      <w:pPr>
        <w:pStyle w:val="Exemple"/>
        <w:jc w:val="left"/>
      </w:pPr>
      <w:r w:rsidRPr="0044350E">
        <w:t>Exemple</w:t>
      </w:r>
      <w:r>
        <w:t>s (Utilisation du GDI)</w:t>
      </w:r>
    </w:p>
    <w:bookmarkEnd w:id="37"/>
    <w:bookmarkEnd w:id="38"/>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9" w:name="_Toc410877542"/>
      <w:bookmarkStart w:id="40" w:name="_Toc444863732"/>
      <w:bookmarkStart w:id="41" w:name="_Toc385179808"/>
    </w:p>
    <w:p w:rsidR="00D94F99" w:rsidRDefault="00D94F99" w:rsidP="005B57AB">
      <w:pPr>
        <w:pStyle w:val="Titre2"/>
      </w:pPr>
      <w:bookmarkStart w:id="42" w:name="_Toc419836932"/>
      <w:r>
        <w:t>Chaînes de cotes</w:t>
      </w:r>
      <w:bookmarkEnd w:id="39"/>
      <w:bookmarkEnd w:id="40"/>
      <w:bookmarkEnd w:id="41"/>
      <w:bookmarkEnd w:id="42"/>
    </w:p>
    <w:p w:rsidR="00D94F99" w:rsidRDefault="00D94F99" w:rsidP="00DF360F">
      <w:pPr>
        <w:pStyle w:val="Titre3"/>
        <w:numPr>
          <w:ilvl w:val="0"/>
          <w:numId w:val="18"/>
        </w:numPr>
      </w:pPr>
      <w:bookmarkStart w:id="43" w:name="_Toc410877543"/>
      <w:bookmarkStart w:id="44" w:name="_Toc444863733"/>
      <w:bookmarkStart w:id="45" w:name="_Toc385179685"/>
      <w:bookmarkStart w:id="46" w:name="_Toc385179809"/>
      <w:bookmarkStart w:id="47" w:name="_Toc419836933"/>
      <w:r>
        <w:t>Jeu simple</w:t>
      </w:r>
      <w:bookmarkEnd w:id="43"/>
      <w:bookmarkEnd w:id="44"/>
      <w:bookmarkEnd w:id="45"/>
      <w:bookmarkEnd w:id="46"/>
      <w:bookmarkEnd w:id="47"/>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8" w:name="_Toc410877544"/>
      <w:bookmarkStart w:id="49" w:name="_Toc444863734"/>
      <w:bookmarkStart w:id="50" w:name="_Toc385179686"/>
      <w:bookmarkStart w:id="51" w:name="_Toc385179810"/>
      <w:bookmarkStart w:id="52" w:name="_Toc419836934"/>
      <w:r>
        <w:t>Jeu avec précontrainte</w:t>
      </w:r>
      <w:bookmarkEnd w:id="48"/>
      <w:bookmarkEnd w:id="49"/>
      <w:bookmarkEnd w:id="50"/>
      <w:bookmarkEnd w:id="51"/>
      <w:bookmarkEnd w:id="52"/>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3" w:name="_Toc410877545"/>
      <w:bookmarkStart w:id="54" w:name="_Toc444863736"/>
      <w:bookmarkStart w:id="55" w:name="_Toc385179687"/>
      <w:bookmarkStart w:id="56" w:name="_Toc385179811"/>
      <w:bookmarkStart w:id="57" w:name="_Toc419836935"/>
      <w:r>
        <w:t>Exercices</w:t>
      </w:r>
      <w:bookmarkEnd w:id="53"/>
      <w:bookmarkEnd w:id="54"/>
      <w:bookmarkEnd w:id="55"/>
      <w:bookmarkEnd w:id="56"/>
      <w:bookmarkEnd w:id="57"/>
    </w:p>
    <w:p w:rsidR="00D94F99" w:rsidRDefault="00D94F99" w:rsidP="00DF360F">
      <w:pPr>
        <w:pStyle w:val="Titre4"/>
        <w:numPr>
          <w:ilvl w:val="0"/>
          <w:numId w:val="19"/>
        </w:numPr>
      </w:pPr>
      <w:bookmarkStart w:id="58" w:name="_Toc410877546"/>
      <w:bookmarkStart w:id="59" w:name="_Toc444863737"/>
      <w:bookmarkStart w:id="60" w:name="_Toc385179688"/>
      <w:bookmarkStart w:id="61" w:name="_Toc385179812"/>
      <w:bookmarkStart w:id="62" w:name="_Toc419836936"/>
      <w:r>
        <w:t>Articulation vis axe</w:t>
      </w:r>
      <w:bookmarkEnd w:id="58"/>
      <w:bookmarkEnd w:id="59"/>
      <w:bookmarkEnd w:id="60"/>
      <w:bookmarkEnd w:id="61"/>
      <w:bookmarkEnd w:id="62"/>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3" w:name="_Toc410877547"/>
      <w:bookmarkStart w:id="64"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5" w:name="_Toc385179689"/>
      <w:bookmarkStart w:id="66" w:name="_Toc385179813"/>
    </w:p>
    <w:bookmarkEnd w:id="63"/>
    <w:bookmarkEnd w:id="64"/>
    <w:bookmarkEnd w:id="65"/>
    <w:bookmarkEnd w:id="66"/>
    <w:p w:rsidR="00B4761F" w:rsidRDefault="00B4761F" w:rsidP="00D94F99"/>
    <w:p w:rsidR="00D957B5" w:rsidRDefault="00D957B5">
      <w:pPr>
        <w:jc w:val="left"/>
      </w:pPr>
      <w:r>
        <w:br w:type="page"/>
      </w:r>
    </w:p>
    <w:p w:rsidR="00B4761F" w:rsidRDefault="00B4761F" w:rsidP="00B4761F">
      <w:pPr>
        <w:pStyle w:val="Titre2"/>
      </w:pPr>
      <w:bookmarkStart w:id="67" w:name="_Toc419836937"/>
      <w:r>
        <w:lastRenderedPageBreak/>
        <w:t>Spécification géométrique des produits – Tolérancement dimensionnel</w:t>
      </w:r>
      <w:bookmarkEnd w:id="67"/>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8" w:name="_Toc419836938"/>
      <w:r>
        <w:t>Tolérancement linéaire</w:t>
      </w:r>
      <w:bookmarkEnd w:id="68"/>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9" w:name="_Toc419836939"/>
      <w:r>
        <w:t>L’exigence de l’enveloppe</w:t>
      </w:r>
      <w:bookmarkEnd w:id="69"/>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70" w:name="_Toc419836940"/>
      <w:r>
        <w:t>Spécification géométrique des produits – Tolérancement géométrique</w:t>
      </w:r>
      <w:bookmarkEnd w:id="70"/>
    </w:p>
    <w:p w:rsidR="00B4761F" w:rsidRDefault="00B4761F" w:rsidP="00B4761F"/>
    <w:p w:rsidR="007E237B" w:rsidRDefault="007E237B" w:rsidP="00DF360F">
      <w:pPr>
        <w:pStyle w:val="Titre3"/>
        <w:numPr>
          <w:ilvl w:val="0"/>
          <w:numId w:val="24"/>
        </w:numPr>
      </w:pPr>
      <w:bookmarkStart w:id="71" w:name="_Toc419836941"/>
      <w:r>
        <w:t>Présentation</w:t>
      </w:r>
      <w:bookmarkEnd w:id="71"/>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E237B" w:rsidRDefault="007E237B" w:rsidP="007E237B"/>
    <w:p w:rsidR="007E237B" w:rsidRDefault="007E237B" w:rsidP="00DF360F">
      <w:pPr>
        <w:pStyle w:val="Titre4"/>
        <w:numPr>
          <w:ilvl w:val="0"/>
          <w:numId w:val="26"/>
        </w:numPr>
      </w:pPr>
      <w:bookmarkStart w:id="72" w:name="_Toc419836942"/>
      <w:r>
        <w:t>Éléments tolérancés</w:t>
      </w:r>
      <w:bookmarkEnd w:id="72"/>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3" w:name="_Toc419836943"/>
      <w:r>
        <w:t>Éléments de r</w:t>
      </w:r>
      <w:r w:rsidR="00260BA7">
        <w:t>éférence et référence spécifiée</w:t>
      </w:r>
      <w:bookmarkEnd w:id="73"/>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4" w:name="_Toc419836944"/>
      <w:r>
        <w:t>Sy</w:t>
      </w:r>
      <w:r w:rsidR="000069B1">
        <w:t>stèmes de références spécifiées</w:t>
      </w:r>
      <w:bookmarkEnd w:id="74"/>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Pr="00F7510B" w:rsidRDefault="000069B1" w:rsidP="000069B1">
            <w:r w:rsidRPr="00F7510B">
              <w:t xml:space="preserve">ER : </w:t>
            </w:r>
          </w:p>
          <w:p w:rsidR="000069B1" w:rsidRPr="00F7510B" w:rsidRDefault="000069B1" w:rsidP="00DF360F">
            <w:pPr>
              <w:pStyle w:val="Paragraphedeliste"/>
              <w:numPr>
                <w:ilvl w:val="0"/>
                <w:numId w:val="29"/>
              </w:numPr>
            </w:pPr>
            <w:r w:rsidRPr="00F7510B">
              <w:t xml:space="preserve">élément de référence primaire : surface nominalement </w:t>
            </w:r>
            <w:r w:rsidR="00F7510B" w:rsidRPr="00F7510B">
              <w:t>cylindrique</w:t>
            </w:r>
            <w:r w:rsidRPr="00F7510B">
              <w:t>;</w:t>
            </w:r>
          </w:p>
          <w:p w:rsidR="000069B1" w:rsidRPr="00F7510B" w:rsidRDefault="000069B1" w:rsidP="00DF360F">
            <w:pPr>
              <w:pStyle w:val="Paragraphedeliste"/>
              <w:numPr>
                <w:ilvl w:val="0"/>
                <w:numId w:val="29"/>
              </w:numPr>
            </w:pPr>
            <w:r w:rsidRPr="00F7510B">
              <w:t xml:space="preserve">élément de référence secondaire : surface nominalement </w:t>
            </w:r>
            <w:r w:rsidR="00F7510B" w:rsidRPr="00F7510B">
              <w:t>plane</w:t>
            </w:r>
            <w:r w:rsidRPr="00F7510B">
              <w:t>.</w:t>
            </w:r>
          </w:p>
          <w:p w:rsidR="000069B1" w:rsidRPr="00F7510B" w:rsidRDefault="000069B1" w:rsidP="000069B1"/>
          <w:p w:rsidR="000069B1" w:rsidRPr="00F7510B" w:rsidRDefault="000069B1" w:rsidP="000069B1">
            <w:r w:rsidRPr="00F7510B">
              <w:t>RS :</w:t>
            </w:r>
          </w:p>
          <w:p w:rsidR="000069B1" w:rsidRPr="00F7510B" w:rsidRDefault="000069B1" w:rsidP="00DF360F">
            <w:pPr>
              <w:pStyle w:val="Paragraphedeliste"/>
              <w:numPr>
                <w:ilvl w:val="0"/>
                <w:numId w:val="30"/>
              </w:numPr>
            </w:pPr>
            <w:r w:rsidRPr="00F7510B">
              <w:t xml:space="preserve">référence spécifiée primaire : </w:t>
            </w:r>
            <w:r w:rsidR="00F7510B" w:rsidRPr="00F7510B">
              <w:t>axe du plus petit cylindre circonscrit qui minimise le défaut de forme ;</w:t>
            </w:r>
          </w:p>
          <w:p w:rsidR="000069B1" w:rsidRDefault="000069B1" w:rsidP="00F7510B">
            <w:pPr>
              <w:pStyle w:val="Paragraphedeliste"/>
              <w:numPr>
                <w:ilvl w:val="0"/>
                <w:numId w:val="30"/>
              </w:numPr>
            </w:pPr>
            <w:r w:rsidRPr="00F7510B">
              <w:t xml:space="preserve">référence spécifiée secondaire : </w:t>
            </w:r>
            <w:r w:rsidR="00F7510B" w:rsidRPr="00F7510B">
              <w:t>plan tangent extérieur matière</w:t>
            </w:r>
            <w:r w:rsidRPr="00F7510B">
              <w:t xml:space="preserve">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5" w:name="_Toc419836945"/>
      <w:r>
        <w:t>Zones de tolérance</w:t>
      </w:r>
      <w:bookmarkEnd w:id="75"/>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F7510B" w:rsidP="007E237B">
            <w:pPr>
              <w:rPr>
                <w:lang w:val="en-US"/>
              </w:rPr>
            </w:pPr>
            <w:r>
              <w:rPr>
                <w:noProof/>
                <w:lang w:eastAsia="fr-FR"/>
              </w:rPr>
              <w:drawing>
                <wp:inline distT="0" distB="0" distL="0" distR="0" wp14:anchorId="3AD0A912" wp14:editId="71F2DA26">
                  <wp:extent cx="2321781" cy="1693723"/>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5517" cy="1696448"/>
                          </a:xfrm>
                          <a:prstGeom prst="rect">
                            <a:avLst/>
                          </a:prstGeom>
                          <a:noFill/>
                        </pic:spPr>
                      </pic:pic>
                    </a:graphicData>
                  </a:graphic>
                </wp:inline>
              </w:drawing>
            </w:r>
          </w:p>
        </w:tc>
        <w:tc>
          <w:tcPr>
            <w:tcW w:w="5173" w:type="dxa"/>
          </w:tcPr>
          <w:p w:rsidR="00A175E6" w:rsidRPr="00817D7B" w:rsidRDefault="00A175E6" w:rsidP="007E237B">
            <w:pPr>
              <w:rPr>
                <w:highlight w:val="yellow"/>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085"/>
        <w:gridCol w:w="1667"/>
        <w:gridCol w:w="1663"/>
        <w:gridCol w:w="1666"/>
        <w:gridCol w:w="1668"/>
        <w:gridCol w:w="1673"/>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23821CC3">
                  <wp:extent cx="1186636" cy="2218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87583" cy="222018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F7510B" w:rsidRDefault="00F7510B" w:rsidP="00B0775B">
            <w:pPr>
              <w:jc w:val="center"/>
              <w:rPr>
                <w:sz w:val="16"/>
              </w:rPr>
            </w:pPr>
          </w:p>
          <w:p w:rsidR="00F7510B" w:rsidRDefault="00F7510B"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Pr="00817D7B" w:rsidRDefault="002507EE" w:rsidP="002507EE"/>
    <w:p w:rsidR="00215DAC" w:rsidRPr="00817D7B" w:rsidRDefault="00215DAC">
      <w:pPr>
        <w:jc w:val="left"/>
      </w:pPr>
      <w:r w:rsidRPr="00817D7B">
        <w:br w:type="page"/>
      </w:r>
    </w:p>
    <w:p w:rsidR="002507EE" w:rsidRPr="00817D7B" w:rsidRDefault="002507EE" w:rsidP="002507EE"/>
    <w:p w:rsidR="00215DAC" w:rsidRPr="00817D7B" w:rsidRDefault="00215DAC" w:rsidP="002507EE"/>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86"/>
        <w:gridCol w:w="1687"/>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0DB82751">
                  <wp:extent cx="1118376" cy="1319917"/>
                  <wp:effectExtent l="0" t="0" r="5715" b="0"/>
                  <wp:docPr id="26913" name="Image 2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8162" cy="131966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3F2" w:rsidRPr="00DC02BB" w:rsidRDefault="009173F2">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9173F2" w:rsidRPr="00DC02BB" w:rsidRDefault="009173F2">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9878F5" w:rsidP="00DA6248">
    <w:pPr>
      <w:pStyle w:val="Pieddepage"/>
      <w:pBdr>
        <w:top w:val="single" w:sz="4" w:space="1" w:color="auto"/>
      </w:pBdr>
      <w:rPr>
        <w:rFonts w:eastAsiaTheme="minorHAnsi" w:cs="Calibri"/>
        <w:sz w:val="16"/>
        <w:szCs w:val="16"/>
      </w:rPr>
    </w:pPr>
    <w:fldSimple w:instr=" FILENAME  \* MERGEFORMAT ">
      <w:r w:rsidR="00A0783B" w:rsidRPr="00A0783B">
        <w:rPr>
          <w:rFonts w:eastAsiaTheme="minorHAnsi" w:cs="Calibri"/>
          <w:noProof/>
          <w:sz w:val="16"/>
          <w:szCs w:val="16"/>
        </w:rPr>
        <w:t>07_Rea</w:t>
      </w:r>
      <w:r w:rsidR="00A0783B" w:rsidRPr="00A0783B">
        <w:rPr>
          <w:noProof/>
          <w:sz w:val="16"/>
          <w:szCs w:val="16"/>
        </w:rPr>
        <w:t>_04_GPS_Cours</w:t>
      </w:r>
    </w:fldSimple>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A0783B">
      <w:rPr>
        <w:rFonts w:eastAsiaTheme="minorHAnsi" w:cs="Calibri"/>
        <w:b/>
        <w:noProof/>
        <w:sz w:val="16"/>
        <w:szCs w:val="16"/>
      </w:rPr>
      <w:t>1</w:t>
    </w:r>
    <w:r w:rsidR="0087289E" w:rsidRPr="00245FC4">
      <w:rPr>
        <w:rFonts w:eastAsiaTheme="minorHAnsi" w:cs="Calibri"/>
        <w:b/>
        <w:sz w:val="16"/>
        <w:szCs w:val="16"/>
      </w:rPr>
      <w:fldChar w:fldCharType="end"/>
    </w:r>
    <w:r w:rsidR="0087289E" w:rsidRPr="00245FC4">
      <w:rPr>
        <w:rFonts w:eastAsiaTheme="minorHAnsi" w:cs="Calibri"/>
        <w:b/>
        <w:sz w:val="16"/>
        <w:szCs w:val="16"/>
      </w:rPr>
      <w:t>/</w:t>
    </w:r>
    <w:fldSimple w:instr=" NUMPAGES  \* MERGEFORMAT ">
      <w:r w:rsidR="00A0783B" w:rsidRPr="00A0783B">
        <w:rPr>
          <w:rFonts w:eastAsiaTheme="minorHAnsi" w:cs="Calibri"/>
          <w:b/>
          <w:noProof/>
          <w:sz w:val="16"/>
          <w:szCs w:val="16"/>
        </w:rPr>
        <w:t>20</w:t>
      </w:r>
    </w:fldSimple>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3F2" w:rsidRPr="00DC02BB" w:rsidRDefault="009173F2">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9173F2" w:rsidRPr="00DC02BB" w:rsidRDefault="009173F2">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2F41EF"/>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76F1F"/>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17D7B"/>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173F2"/>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878F5"/>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5B67"/>
    <w:rsid w:val="009E7D33"/>
    <w:rsid w:val="009F4DDC"/>
    <w:rsid w:val="009F6A4F"/>
    <w:rsid w:val="009F7C62"/>
    <w:rsid w:val="00A01825"/>
    <w:rsid w:val="00A04353"/>
    <w:rsid w:val="00A0783B"/>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10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2899D-BE60-4BCF-BAFA-322A918A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1798</TotalTime>
  <Pages>1</Pages>
  <Words>2953</Words>
  <Characters>16242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264</cp:revision>
  <cp:lastPrinted>2015-06-04T05:54:00Z</cp:lastPrinted>
  <dcterms:created xsi:type="dcterms:W3CDTF">2014-10-28T08:38:00Z</dcterms:created>
  <dcterms:modified xsi:type="dcterms:W3CDTF">2015-06-04T05:55:00Z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