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349EF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pPr>
                              <w:spacing w:after="0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pPr>
                        <w:spacing w:after="0"/>
                      </w:pPr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354"/>
        <w:gridCol w:w="3354"/>
      </w:tblGrid>
      <w:tr w:rsidR="005349EF" w:rsidTr="005349EF">
        <w:tc>
          <w:tcPr>
            <w:tcW w:w="3353" w:type="dxa"/>
          </w:tcPr>
          <w:p w:rsidR="005349EF" w:rsidRDefault="005349EF" w:rsidP="005349EF"/>
        </w:tc>
        <w:tc>
          <w:tcPr>
            <w:tcW w:w="3354" w:type="dxa"/>
          </w:tcPr>
          <w:p w:rsidR="005349EF" w:rsidRDefault="005349EF" w:rsidP="005349EF"/>
        </w:tc>
        <w:tc>
          <w:tcPr>
            <w:tcW w:w="3354" w:type="dxa"/>
          </w:tcPr>
          <w:p w:rsidR="005349EF" w:rsidRDefault="005349EF" w:rsidP="005349EF"/>
        </w:tc>
      </w:tr>
      <w:tr w:rsidR="005349EF" w:rsidRPr="005349EF" w:rsidTr="005349EF">
        <w:tc>
          <w:tcPr>
            <w:tcW w:w="3353" w:type="dxa"/>
          </w:tcPr>
          <w:p w:rsidR="005349EF" w:rsidRPr="005349EF" w:rsidRDefault="005349EF" w:rsidP="005349EF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3354" w:type="dxa"/>
          </w:tcPr>
          <w:p w:rsidR="005349EF" w:rsidRPr="005349EF" w:rsidRDefault="005349EF" w:rsidP="005349EF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3354" w:type="dxa"/>
          </w:tcPr>
          <w:p w:rsidR="005349EF" w:rsidRPr="005349EF" w:rsidRDefault="005349EF" w:rsidP="005349EF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</w:tbl>
    <w:p w:rsidR="005349EF" w:rsidRPr="005349EF" w:rsidRDefault="005349EF" w:rsidP="005349EF"/>
    <w:p w:rsidR="005349EF" w:rsidRDefault="005349EF" w:rsidP="005349EF">
      <w:pPr>
        <w:pStyle w:val="Titre1"/>
      </w:pPr>
      <w:r>
        <w:t>Liaisons à cylindre prépondérant</w:t>
      </w:r>
    </w:p>
    <w:p w:rsidR="005349EF" w:rsidRPr="005349EF" w:rsidRDefault="005349EF" w:rsidP="005349EF">
      <w:bookmarkStart w:id="0" w:name="_GoBack"/>
      <w:bookmarkEnd w:id="0"/>
    </w:p>
    <w:p w:rsidR="005349EF" w:rsidRDefault="005349EF" w:rsidP="005349EF">
      <w:pPr>
        <w:pStyle w:val="Titre1"/>
      </w:pPr>
      <w:r>
        <w:t>Liaisons à appui plan prépondérant</w:t>
      </w:r>
    </w:p>
    <w:p w:rsidR="005349EF" w:rsidRDefault="005349EF" w:rsidP="005349EF">
      <w:pPr>
        <w:pStyle w:val="Titre1"/>
      </w:pPr>
      <w:r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5349EF" w:rsidRDefault="005349EF" w:rsidP="005349EF">
      <w:pPr>
        <w:pStyle w:val="Titre1"/>
      </w:pPr>
      <w:r>
        <w:t>Solutions d’étanchéité</w:t>
      </w:r>
    </w:p>
    <w:p w:rsidR="005349EF" w:rsidRPr="005349EF" w:rsidRDefault="005349EF" w:rsidP="005349EF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spacing w:after="0"/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1"/>
      </w:tblGrid>
      <w:tr w:rsidR="00000C63" w:rsidTr="00FE2B9A">
        <w:tc>
          <w:tcPr>
            <w:tcW w:w="5030" w:type="dxa"/>
            <w:vAlign w:val="center"/>
          </w:tcPr>
          <w:p w:rsidR="00000C63" w:rsidRDefault="00000C63" w:rsidP="00000C63">
            <w:pPr>
              <w:jc w:val="center"/>
            </w:pPr>
          </w:p>
        </w:tc>
        <w:tc>
          <w:tcPr>
            <w:tcW w:w="5031" w:type="dxa"/>
          </w:tcPr>
          <w:p w:rsidR="00D07585" w:rsidRPr="00D07585" w:rsidRDefault="00D07585" w:rsidP="00EA1D6D">
            <w:pPr>
              <w:pStyle w:val="TM1"/>
            </w:pPr>
            <w:r w:rsidRPr="00D07585">
              <w:t>Table des matières</w:t>
            </w:r>
          </w:p>
          <w:p w:rsidR="008B2635" w:rsidRDefault="00F91270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r w:rsidRPr="004B74F4">
              <w:rPr>
                <w:sz w:val="22"/>
              </w:rPr>
              <w:fldChar w:fldCharType="begin"/>
            </w:r>
            <w:r w:rsidRPr="004B74F4">
              <w:instrText xml:space="preserve"> TOC \o "1-2" \h \z \u </w:instrText>
            </w:r>
            <w:r w:rsidRPr="004B74F4">
              <w:rPr>
                <w:sz w:val="22"/>
              </w:rPr>
              <w:fldChar w:fldCharType="separate"/>
            </w:r>
            <w:hyperlink w:anchor="_Toc445740738" w:history="1">
              <w:r w:rsidR="008B2635" w:rsidRPr="00571A67">
                <w:rPr>
                  <w:rStyle w:val="Lienhypertexte"/>
                </w:rPr>
                <w:t>1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</w:rPr>
                <w:t>Cahier des charges d’une liaison encastrement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_Toc445740738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3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39" w:history="1">
              <w:r w:rsidR="008B2635" w:rsidRPr="00571A67">
                <w:rPr>
                  <w:rStyle w:val="Lienhypertexte"/>
                  <w:noProof/>
                </w:rPr>
                <w:t>1.1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Classification des solutions technologiques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_Toc445740739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0" w:history="1">
              <w:r w:rsidR="008B2635" w:rsidRPr="00571A67">
                <w:rPr>
                  <w:rStyle w:val="Lienhypertexte"/>
                  <w:noProof/>
                </w:rPr>
                <w:t>1.2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 xml:space="preserve">Exigences à remplir par une liaison </w:t>
              </w:r>
              <w:r w:rsidR="008B2635" w:rsidRPr="00571A67">
                <w:rPr>
                  <w:rStyle w:val="Lienhypertexte"/>
                  <w:noProof/>
                </w:rPr>
                <w:lastRenderedPageBreak/>
                <w:t>encastrement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_Toc445740740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41" w:history="1">
              <w:r w:rsidR="008B2635" w:rsidRPr="00571A67">
                <w:rPr>
                  <w:rStyle w:val="Lienhypertexte"/>
                  <w:lang w:eastAsia="fr-FR"/>
                </w:rPr>
                <w:t>2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lang w:eastAsia="fr-FR"/>
                </w:rPr>
                <w:t>Représentation des éléments filetés et taraudés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_Toc445740741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3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2" w:history="1">
              <w:r w:rsidR="008B2635" w:rsidRPr="00571A67">
                <w:rPr>
                  <w:rStyle w:val="Lienhypertexte"/>
                  <w:noProof/>
                </w:rPr>
                <w:t>2.1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Définitions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_Toc445740742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3" w:history="1">
              <w:r w:rsidR="008B2635" w:rsidRPr="00571A67">
                <w:rPr>
                  <w:rStyle w:val="Lienhypertexte"/>
                  <w:noProof/>
                </w:rPr>
                <w:t>2.2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Trou taraudé débouchant – Trou borgne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_Toc445740743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4" w:history="1">
              <w:r w:rsidR="008B2635" w:rsidRPr="00571A67">
                <w:rPr>
                  <w:rStyle w:val="Lienhypertexte"/>
                  <w:noProof/>
                </w:rPr>
                <w:t>2.3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Vis tête fraisée – Vis CHC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_Toc445740744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5" w:history="1">
              <w:r w:rsidR="008B2635" w:rsidRPr="00571A67">
                <w:rPr>
                  <w:rStyle w:val="Lienhypertexte"/>
                  <w:noProof/>
                </w:rPr>
                <w:t>2.4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Tige filetée – Trou taraudé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_Toc445740745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6" w:history="1">
              <w:r w:rsidR="008B2635" w:rsidRPr="00571A67">
                <w:rPr>
                  <w:rStyle w:val="Lienhypertexte"/>
                  <w:noProof/>
                </w:rPr>
                <w:t>2.5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Assemblage vissé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_Toc445740746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7" w:history="1">
              <w:r w:rsidR="008B2635" w:rsidRPr="00571A67">
                <w:rPr>
                  <w:rStyle w:val="Lienhypertexte"/>
                  <w:noProof/>
                </w:rPr>
                <w:t>2.6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Assemblage boulonnés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_Toc445740747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48" w:history="1">
              <w:r w:rsidR="008B2635" w:rsidRPr="00571A67">
                <w:rPr>
                  <w:rStyle w:val="Lienhypertexte"/>
                  <w:lang w:eastAsia="fr-FR"/>
                </w:rPr>
                <w:t>3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lang w:eastAsia="fr-FR"/>
                </w:rPr>
                <w:t>Technologie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_Toc445740748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3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49" w:history="1">
              <w:r w:rsidR="008B2635" w:rsidRPr="00571A67">
                <w:rPr>
                  <w:rStyle w:val="Lienhypertexte"/>
                  <w:noProof/>
                </w:rPr>
                <w:t>3.1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Géométrie des têtes de vis et des écrous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_Toc445740749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0" w:history="1">
              <w:r w:rsidR="008B2635" w:rsidRPr="00571A67">
                <w:rPr>
                  <w:rStyle w:val="Lienhypertexte"/>
                  <w:noProof/>
                </w:rPr>
                <w:t>3.2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Freins de filetage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_Toc445740750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1" w:history="1">
              <w:r w:rsidR="008B2635" w:rsidRPr="00571A67">
                <w:rPr>
                  <w:rStyle w:val="Lienhypertexte"/>
                  <w:noProof/>
                </w:rPr>
                <w:t>3.3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Outils de montage et de démontage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_Toc445740751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3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2" w:history="1">
              <w:r w:rsidR="008B2635" w:rsidRPr="00571A67">
                <w:rPr>
                  <w:rStyle w:val="Lienhypertexte"/>
                  <w:noProof/>
                </w:rPr>
                <w:t>3.4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Étanchéité statique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_Toc445740752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4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3" w:history="1">
              <w:r w:rsidR="008B2635" w:rsidRPr="00571A67">
                <w:rPr>
                  <w:rStyle w:val="Lienhypertexte"/>
                  <w:noProof/>
                </w:rPr>
                <w:t>3.5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Matériaux et procédés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_Toc445740753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4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54" w:history="1">
              <w:r w:rsidR="008B2635" w:rsidRPr="00571A67">
                <w:rPr>
                  <w:rStyle w:val="Lienhypertexte"/>
                  <w:lang w:eastAsia="fr-FR"/>
                </w:rPr>
                <w:t>4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lang w:eastAsia="fr-FR"/>
                </w:rPr>
                <w:t>Liaisons à cylindre prépondérant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_Toc445740754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4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55" w:history="1">
              <w:r w:rsidR="008B2635" w:rsidRPr="00571A67">
                <w:rPr>
                  <w:rStyle w:val="Lienhypertexte"/>
                  <w:lang w:eastAsia="fr-FR"/>
                </w:rPr>
                <w:t>5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lang w:eastAsia="fr-FR"/>
                </w:rPr>
                <w:t>Liaison à appui plan prépondérant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_Toc445740755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4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56" w:history="1">
              <w:r w:rsidR="008B2635" w:rsidRPr="00571A67">
                <w:rPr>
                  <w:rStyle w:val="Lienhypertexte"/>
                </w:rPr>
                <w:t>6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</w:rPr>
                <w:t>Montage des roulements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_Toc445740756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5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7" w:history="1">
              <w:r w:rsidR="008B2635" w:rsidRPr="00571A67">
                <w:rPr>
                  <w:rStyle w:val="Lienhypertexte"/>
                  <w:noProof/>
                </w:rPr>
                <w:t>6.1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Choix des ajustements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_Toc445740757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5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8" w:history="1">
              <w:r w:rsidR="008B2635" w:rsidRPr="00571A67">
                <w:rPr>
                  <w:rStyle w:val="Lienhypertexte"/>
                  <w:noProof/>
                </w:rPr>
                <w:t>6.2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Immobilisation axiale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_Toc445740758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5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59" w:history="1">
              <w:r w:rsidR="008B2635" w:rsidRPr="00571A67">
                <w:rPr>
                  <w:rStyle w:val="Lienhypertexte"/>
                  <w:noProof/>
                </w:rPr>
                <w:t>6.3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Montage des roulements à rouleaux coniques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_Toc445740759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5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1"/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fr-FR"/>
              </w:rPr>
            </w:pPr>
            <w:hyperlink w:anchor="_Toc445740760" w:history="1">
              <w:r w:rsidR="008B2635" w:rsidRPr="00571A67">
                <w:rPr>
                  <w:rStyle w:val="Lienhypertexte"/>
                  <w:rFonts w:eastAsia="Times New Roman"/>
                  <w:lang w:eastAsia="fr-FR"/>
                </w:rPr>
                <w:t>7</w:t>
              </w:r>
              <w:r w:rsidR="008B2635">
                <w:rPr>
                  <w:rFonts w:asciiTheme="minorHAnsi" w:eastAsiaTheme="minorEastAsia" w:hAnsiTheme="minorHAnsi"/>
                  <w:b w:val="0"/>
                  <w:color w:val="auto"/>
                  <w:sz w:val="22"/>
                  <w:szCs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rFonts w:eastAsia="Times New Roman"/>
                  <w:lang w:eastAsia="fr-FR"/>
                </w:rPr>
                <w:t>Titre numéro 2</w:t>
              </w:r>
              <w:r w:rsidR="008B2635">
                <w:rPr>
                  <w:webHidden/>
                </w:rPr>
                <w:tab/>
              </w:r>
              <w:r w:rsidR="008B2635">
                <w:rPr>
                  <w:webHidden/>
                </w:rPr>
                <w:fldChar w:fldCharType="begin"/>
              </w:r>
              <w:r w:rsidR="008B2635">
                <w:rPr>
                  <w:webHidden/>
                </w:rPr>
                <w:instrText xml:space="preserve"> PAGEREF _Toc445740760 \h </w:instrText>
              </w:r>
              <w:r w:rsidR="008B2635">
                <w:rPr>
                  <w:webHidden/>
                </w:rPr>
              </w:r>
              <w:r w:rsidR="008B2635">
                <w:rPr>
                  <w:webHidden/>
                </w:rPr>
                <w:fldChar w:fldCharType="separate"/>
              </w:r>
              <w:r w:rsidR="00E901D8">
                <w:rPr>
                  <w:webHidden/>
                </w:rPr>
                <w:t>5</w:t>
              </w:r>
              <w:r w:rsidR="008B2635">
                <w:rPr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61" w:history="1">
              <w:r w:rsidR="008B2635" w:rsidRPr="00571A67">
                <w:rPr>
                  <w:rStyle w:val="Lienhypertexte"/>
                  <w:noProof/>
                </w:rPr>
                <w:t>7.1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Titre numéro 2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_Toc445740761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5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62" w:history="1">
              <w:r w:rsidR="008B2635" w:rsidRPr="00571A67">
                <w:rPr>
                  <w:rStyle w:val="Lienhypertexte"/>
                  <w:noProof/>
                </w:rPr>
                <w:t>7.2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Titre numéro 2.2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_Toc445740762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5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8B2635" w:rsidRDefault="003631FA">
            <w:pPr>
              <w:pStyle w:val="TM2"/>
              <w:rPr>
                <w:rFonts w:eastAsiaTheme="minorEastAsia"/>
                <w:noProof/>
                <w:sz w:val="22"/>
                <w:lang w:eastAsia="fr-FR"/>
              </w:rPr>
            </w:pPr>
            <w:hyperlink w:anchor="_Toc445740763" w:history="1">
              <w:r w:rsidR="008B2635" w:rsidRPr="00571A67">
                <w:rPr>
                  <w:rStyle w:val="Lienhypertexte"/>
                  <w:noProof/>
                </w:rPr>
                <w:t>7.3</w:t>
              </w:r>
              <w:r w:rsidR="008B2635">
                <w:rPr>
                  <w:rFonts w:eastAsiaTheme="minorEastAsia"/>
                  <w:noProof/>
                  <w:sz w:val="22"/>
                  <w:lang w:eastAsia="fr-FR"/>
                </w:rPr>
                <w:tab/>
              </w:r>
              <w:r w:rsidR="008B2635" w:rsidRPr="00571A67">
                <w:rPr>
                  <w:rStyle w:val="Lienhypertexte"/>
                  <w:noProof/>
                </w:rPr>
                <w:t>Titre numéro 2.3</w:t>
              </w:r>
              <w:r w:rsidR="008B2635">
                <w:rPr>
                  <w:noProof/>
                  <w:webHidden/>
                </w:rPr>
                <w:tab/>
              </w:r>
              <w:r w:rsidR="008B2635">
                <w:rPr>
                  <w:noProof/>
                  <w:webHidden/>
                </w:rPr>
                <w:fldChar w:fldCharType="begin"/>
              </w:r>
              <w:r w:rsidR="008B2635">
                <w:rPr>
                  <w:noProof/>
                  <w:webHidden/>
                </w:rPr>
                <w:instrText xml:space="preserve"> PAGEREF _Toc445740763 \h </w:instrText>
              </w:r>
              <w:r w:rsidR="008B2635">
                <w:rPr>
                  <w:noProof/>
                  <w:webHidden/>
                </w:rPr>
              </w:r>
              <w:r w:rsidR="008B2635">
                <w:rPr>
                  <w:noProof/>
                  <w:webHidden/>
                </w:rPr>
                <w:fldChar w:fldCharType="separate"/>
              </w:r>
              <w:r w:rsidR="00E901D8">
                <w:rPr>
                  <w:noProof/>
                  <w:webHidden/>
                </w:rPr>
                <w:t>6</w:t>
              </w:r>
              <w:r w:rsidR="008B2635">
                <w:rPr>
                  <w:noProof/>
                  <w:webHidden/>
                </w:rPr>
                <w:fldChar w:fldCharType="end"/>
              </w:r>
            </w:hyperlink>
          </w:p>
          <w:p w:rsidR="00000C63" w:rsidRDefault="00F91270" w:rsidP="00F1739F">
            <w:pPr>
              <w:spacing w:after="0"/>
            </w:pPr>
            <w:r w:rsidRPr="004B74F4">
              <w:rPr>
                <w:rFonts w:ascii="Tw Cen MT" w:hAnsi="Tw Cen MT"/>
                <w:sz w:val="18"/>
                <w:szCs w:val="18"/>
              </w:rPr>
              <w:fldChar w:fldCharType="end"/>
            </w:r>
          </w:p>
        </w:tc>
      </w:tr>
    </w:tbl>
    <w:p w:rsidR="0031782C" w:rsidRDefault="0031782C" w:rsidP="00F6412E"/>
    <w:p w:rsidR="000275C1" w:rsidRDefault="000275C1" w:rsidP="00F6412E">
      <w:pPr>
        <w:sectPr w:rsidR="000275C1" w:rsidSect="00C8434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16"/>
      <w:headerReference w:type="first" r:id="rId17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FA" w:rsidRDefault="003631FA" w:rsidP="00D917A8">
      <w:pPr>
        <w:spacing w:after="0" w:line="240" w:lineRule="auto"/>
      </w:pPr>
      <w:r>
        <w:separator/>
      </w:r>
    </w:p>
  </w:endnote>
  <w:endnote w:type="continuationSeparator" w:id="0">
    <w:p w:rsidR="003631FA" w:rsidRDefault="003631FA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D7C68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5569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Cours</w:t>
          </w:r>
        </w:p>
      </w:tc>
    </w:tr>
  </w:tbl>
  <w:p w:rsidR="00AD2479" w:rsidRDefault="00AD24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FA" w:rsidRDefault="003631FA" w:rsidP="00D917A8">
      <w:pPr>
        <w:spacing w:after="0" w:line="240" w:lineRule="auto"/>
      </w:pPr>
      <w:r>
        <w:separator/>
      </w:r>
    </w:p>
  </w:footnote>
  <w:footnote w:type="continuationSeparator" w:id="0">
    <w:p w:rsidR="003631FA" w:rsidRDefault="003631FA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55766"/>
    <w:rsid w:val="00191DCD"/>
    <w:rsid w:val="001C03F7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5349EF"/>
    <w:rsid w:val="00556993"/>
    <w:rsid w:val="005E61F9"/>
    <w:rsid w:val="00643DB0"/>
    <w:rsid w:val="006A018A"/>
    <w:rsid w:val="006A3AEC"/>
    <w:rsid w:val="006B23DC"/>
    <w:rsid w:val="006F0ACF"/>
    <w:rsid w:val="00756916"/>
    <w:rsid w:val="00767744"/>
    <w:rsid w:val="007B58DB"/>
    <w:rsid w:val="007D372C"/>
    <w:rsid w:val="007E1BB0"/>
    <w:rsid w:val="007E3C16"/>
    <w:rsid w:val="008215AA"/>
    <w:rsid w:val="008351E7"/>
    <w:rsid w:val="00897D1F"/>
    <w:rsid w:val="008B2635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716BB"/>
    <w:rsid w:val="00B74900"/>
    <w:rsid w:val="00BA1C9D"/>
    <w:rsid w:val="00BD7627"/>
    <w:rsid w:val="00BE6AE9"/>
    <w:rsid w:val="00C72D97"/>
    <w:rsid w:val="00C84342"/>
    <w:rsid w:val="00C90763"/>
    <w:rsid w:val="00CB6419"/>
    <w:rsid w:val="00CB6B09"/>
    <w:rsid w:val="00CF549E"/>
    <w:rsid w:val="00D07585"/>
    <w:rsid w:val="00D205F7"/>
    <w:rsid w:val="00D45098"/>
    <w:rsid w:val="00D917A8"/>
    <w:rsid w:val="00E03707"/>
    <w:rsid w:val="00E155B0"/>
    <w:rsid w:val="00E24D70"/>
    <w:rsid w:val="00E901D8"/>
    <w:rsid w:val="00E97D1B"/>
    <w:rsid w:val="00EA1D6D"/>
    <w:rsid w:val="00EF087A"/>
    <w:rsid w:val="00EF5B05"/>
    <w:rsid w:val="00F06AC9"/>
    <w:rsid w:val="00F1739F"/>
    <w:rsid w:val="00F260A9"/>
    <w:rsid w:val="00F406EE"/>
    <w:rsid w:val="00F43922"/>
    <w:rsid w:val="00F6412E"/>
    <w:rsid w:val="00F75E70"/>
    <w:rsid w:val="00F82635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6C674-A4D9-4F1A-9116-E571FDDD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34</cp:revision>
  <dcterms:created xsi:type="dcterms:W3CDTF">2016-03-13T13:10:00Z</dcterms:created>
  <dcterms:modified xsi:type="dcterms:W3CDTF">2016-07-01T20:18:00Z</dcterms:modified>
</cp:coreProperties>
</file>