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796F" w:rsidRPr="00375DE6" w:rsidRDefault="0009225E" w:rsidP="0009225E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 w:rsidR="00160597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9866CD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Étude</w:t>
            </w: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cinématique des systèmes de solides de la chaîne d'énergie - Analyser, Modéliser, Résoudre</w:t>
            </w:r>
          </w:p>
        </w:tc>
      </w:tr>
      <w:tr w:rsidR="0012796F" w:rsidRPr="00AF1680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3137ED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3137ED"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7389" w:type="dxa"/>
            <w:vAlign w:val="center"/>
          </w:tcPr>
          <w:p w:rsidR="0012796F" w:rsidRPr="00BB11FB" w:rsidRDefault="00A60505" w:rsidP="00A60505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Analyse et modélisation du </w:t>
            </w:r>
            <w:r w:rsidRPr="00A60505">
              <w:rPr>
                <w:b/>
                <w:i/>
                <w:kern w:val="32"/>
                <w:sz w:val="32"/>
                <w:szCs w:val="32"/>
              </w:rPr>
              <w:t>comportement d'un système de transmission mécanique</w:t>
            </w:r>
          </w:p>
        </w:tc>
      </w:tr>
      <w:tr w:rsidR="0012796F" w:rsidRPr="00375DE6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7636E7" w:rsidP="00EC14F8">
                  <w:pPr>
                    <w:jc w:val="center"/>
                  </w:pPr>
                  <w:r w:rsidRPr="007636E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645848" cy="1198893"/>
                        <wp:effectExtent l="19050" t="0" r="0" b="0"/>
                        <wp:docPr id="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615" cy="1198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7636E7" w:rsidP="00EC14F8">
                  <w:pPr>
                    <w:jc w:val="center"/>
                  </w:pPr>
                  <w:r w:rsidRPr="007636E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335297" cy="1268333"/>
                        <wp:effectExtent l="19050" t="0" r="0" b="0"/>
                        <wp:docPr id="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8511" cy="12713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Tr="001421BE"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  <w:rPr>
                      <w:b/>
                      <w:i/>
                    </w:rPr>
                  </w:pPr>
                  <w:r w:rsidRPr="007636E7">
                    <w:rPr>
                      <w:b/>
                      <w:i/>
                    </w:rPr>
                    <w:t>Perforateur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  <w:rPr>
                      <w:b/>
                      <w:i/>
                    </w:rPr>
                  </w:pPr>
                  <w:r w:rsidRPr="007636E7">
                    <w:rPr>
                      <w:b/>
                      <w:i/>
                    </w:rPr>
                    <w:t>Winch</w:t>
                  </w:r>
                </w:p>
              </w:tc>
            </w:tr>
            <w:tr w:rsidR="007636E7" w:rsidTr="001421BE"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Default="008A5916" w:rsidP="00EC14F8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683064" cy="1233578"/>
                        <wp:effectExtent l="1905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3155" cy="1233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Tr="001421BE">
              <w:tc>
                <w:tcPr>
                  <w:tcW w:w="3579" w:type="dxa"/>
                  <w:vAlign w:val="center"/>
                </w:tcPr>
                <w:p w:rsidR="00160597" w:rsidRPr="007636E7" w:rsidRDefault="0016059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7636E7" w:rsidRDefault="0016059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Compresseur de climatiseur</w:t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  <w:r w:rsidR="0012796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7389" w:type="dxa"/>
            <w:vAlign w:val="center"/>
          </w:tcPr>
          <w:p w:rsid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mécanisme et le présenter</w:t>
            </w:r>
          </w:p>
          <w:p w:rsidR="00104FAD" w:rsidRP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Modéliser le mécanisme par schéma cinématique</w:t>
            </w:r>
          </w:p>
        </w:tc>
      </w:tr>
      <w:tr w:rsidR="005300BB" w:rsidRPr="00AF1680" w:rsidTr="005300BB">
        <w:trPr>
          <w:trHeight w:val="1391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Default="005300BB" w:rsidP="00A31448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Guide </w:t>
            </w:r>
            <w:r w:rsidR="00A31448">
              <w:rPr>
                <w:b/>
                <w:i/>
                <w:kern w:val="32"/>
                <w:sz w:val="24"/>
                <w:szCs w:val="32"/>
              </w:rPr>
              <w:t>du Dessinateur Industriel</w:t>
            </w:r>
          </w:p>
          <w:p w:rsidR="00DC628B" w:rsidRPr="009A6B8E" w:rsidRDefault="00DC628B" w:rsidP="009A6B8E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color w:val="FF0000"/>
                <w:kern w:val="32"/>
                <w:sz w:val="24"/>
                <w:szCs w:val="32"/>
              </w:rPr>
            </w:pPr>
            <w:r w:rsidRPr="009A6B8E">
              <w:rPr>
                <w:b/>
                <w:i/>
                <w:color w:val="FF0000"/>
                <w:kern w:val="32"/>
                <w:sz w:val="24"/>
                <w:szCs w:val="32"/>
              </w:rPr>
              <w:t>PLANS des mécanismes</w:t>
            </w:r>
          </w:p>
        </w:tc>
      </w:tr>
      <w:tr w:rsidR="0012796F" w:rsidRPr="00AF1680" w:rsidTr="00091D8F">
        <w:trPr>
          <w:trHeight w:val="2027"/>
        </w:trPr>
        <w:tc>
          <w:tcPr>
            <w:tcW w:w="2416" w:type="dxa"/>
            <w:shd w:val="clear" w:color="auto" w:fill="B5CE9D"/>
            <w:vAlign w:val="center"/>
          </w:tcPr>
          <w:p w:rsidR="0012796F" w:rsidRPr="00091D8F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7119F0" w:rsidRDefault="004F07E0" w:rsidP="00091D8F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7119F0">
              <w:rPr>
                <w:b/>
                <w:i/>
                <w:kern w:val="32"/>
                <w:sz w:val="24"/>
                <w:szCs w:val="32"/>
              </w:rPr>
              <w:t xml:space="preserve">Cours </w:t>
            </w:r>
            <w:r w:rsidR="00A31448" w:rsidRPr="007119F0">
              <w:rPr>
                <w:b/>
                <w:i/>
                <w:kern w:val="32"/>
                <w:sz w:val="24"/>
                <w:szCs w:val="32"/>
              </w:rPr>
              <w:t>de modélisation cinématique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1"/>
          <w:footerReference w:type="default" r:id="rId12"/>
          <w:footerReference w:type="first" r:id="rId13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4926"/>
        <w:gridCol w:w="5036"/>
      </w:tblGrid>
      <w:tr w:rsidR="00E679C0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EC7392" w:rsidP="00091D8F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990596" cy="1975449"/>
                  <wp:effectExtent l="0" t="0" r="254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178" cy="1976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FA2CC1" w:rsidRDefault="00A2158E" w:rsidP="00091D8F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A1 – </w:t>
            </w:r>
            <w:r w:rsidR="00A2158E" w:rsidRPr="00A2158E">
              <w:rPr>
                <w:lang w:eastAsia="fr-FR"/>
              </w:rPr>
              <w:t xml:space="preserve">Identifier le besoin et définir les exigences du système </w:t>
            </w:r>
          </w:p>
          <w:p w:rsidR="00527049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A3 – </w:t>
            </w:r>
            <w:r w:rsidR="00527049" w:rsidRPr="00527049">
              <w:rPr>
                <w:lang w:eastAsia="fr-FR"/>
              </w:rPr>
              <w:t>Conduire l'analyse</w:t>
            </w:r>
          </w:p>
          <w:p w:rsidR="00C86C7E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Modéliser</w:t>
            </w:r>
            <w:r w:rsidR="00C86C7E">
              <w:rPr>
                <w:b/>
                <w:lang w:eastAsia="fr-FR"/>
              </w:rPr>
              <w:t> :</w:t>
            </w:r>
          </w:p>
          <w:p w:rsidR="00DA4D25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Mod2 – Proposer un modèle</w:t>
            </w:r>
          </w:p>
          <w:p w:rsidR="00DA4D25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Mod3 – Valider un modèle</w:t>
            </w:r>
          </w:p>
          <w:p w:rsidR="00DA4D25" w:rsidRPr="00DA4D25" w:rsidRDefault="00DA4D25" w:rsidP="00091D8F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Expérimenter : </w:t>
            </w:r>
          </w:p>
          <w:p w:rsidR="00527049" w:rsidRPr="00527049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Exp1 – Découvrir le fonctionnement d’un système complexe</w:t>
            </w:r>
          </w:p>
          <w:p w:rsidR="00527049" w:rsidRDefault="00527049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Exp3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Mettre en œuvre un protocole expérimental et vérifier sa validité</w:t>
            </w:r>
          </w:p>
          <w:p w:rsidR="00527049" w:rsidRPr="00527049" w:rsidRDefault="00527049" w:rsidP="00091D8F">
            <w:pPr>
              <w:jc w:val="left"/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  <w:r w:rsidR="00530714">
              <w:rPr>
                <w:b/>
                <w:lang w:eastAsia="fr-FR"/>
              </w:rPr>
              <w:t> :</w:t>
            </w:r>
          </w:p>
          <w:p w:rsidR="00DA4D25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Com1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Élaborer, rechercher et traiter des informations</w:t>
            </w:r>
          </w:p>
          <w:p w:rsidR="00C86C7E" w:rsidRPr="00C86C7E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Com2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Mettre en œuvre une communication</w:t>
            </w: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3"/>
        <w:gridCol w:w="4719"/>
      </w:tblGrid>
      <w:tr w:rsidR="00E679C0" w:rsidTr="002C0233">
        <w:tc>
          <w:tcPr>
            <w:tcW w:w="4943" w:type="dxa"/>
            <w:vAlign w:val="center"/>
          </w:tcPr>
          <w:p w:rsidR="00E679C0" w:rsidRDefault="00EC7392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172981" cy="2346385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684" cy="2349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Pr="002C0233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Évaluer les écarts entre le système réel et le système modélisé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</w:t>
      </w:r>
      <w:r w:rsidR="007B42A0">
        <w:rPr>
          <w:lang w:eastAsia="fr-FR"/>
        </w:rPr>
        <w:t>onsignes</w:t>
      </w: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</w:t>
      </w:r>
      <w:r w:rsidR="00EF4308">
        <w:t>f</w:t>
      </w:r>
      <w:r>
        <w:t>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comportement de systèmes;</w:t>
      </w:r>
    </w:p>
    <w:p w:rsidR="007B42A0" w:rsidRDefault="00EC7392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modéliser le comportement du système ;</w:t>
      </w:r>
    </w:p>
    <w:p w:rsidR="00EC7392" w:rsidRDefault="00EC7392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 présenter le fonctionnement et la modélisation du système aux élèves de la classe.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  <w:r w:rsidR="007B42A0">
        <w:rPr>
          <w:lang w:eastAsia="fr-FR"/>
        </w:rPr>
        <w:t xml:space="preserve"> 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 w:rsidR="00B10F0E">
        <w:rPr>
          <w:lang w:eastAsia="fr-FR"/>
        </w:rPr>
        <w:t>remarques</w:t>
      </w:r>
      <w:r>
        <w:rPr>
          <w:lang w:eastAsia="fr-FR"/>
        </w:rPr>
        <w:t>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</w:t>
      </w:r>
      <w:proofErr w:type="spellStart"/>
      <w:r>
        <w:rPr>
          <w:lang w:eastAsia="fr-FR"/>
        </w:rPr>
        <w:t>OpenOffice</w:t>
      </w:r>
      <w:proofErr w:type="spellEnd"/>
      <w:r>
        <w:rPr>
          <w:lang w:eastAsia="fr-FR"/>
        </w:rPr>
        <w:t xml:space="preserve">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l’analyse structurelle du système (chaîne topo fonctionnelle)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Analyser le fonctionnement </w:t>
      </w:r>
      <w:r w:rsidR="00EC7392">
        <w:rPr>
          <w:lang w:eastAsia="fr-FR"/>
        </w:rPr>
        <w:t>du système</w:t>
      </w:r>
      <w:r>
        <w:rPr>
          <w:lang w:eastAsia="fr-FR"/>
        </w:rPr>
        <w:t>.</w:t>
      </w:r>
    </w:p>
    <w:p w:rsidR="00ED346F" w:rsidRDefault="00EC7392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Modéliser par schémas cinématiques 2D et 3D le système. </w:t>
      </w:r>
    </w:p>
    <w:p w:rsidR="00EC7392" w:rsidRPr="00E769A6" w:rsidRDefault="00EC7392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Proposer éventuellement une modélisation SolidWorks. 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</w:t>
      </w:r>
      <w:r w:rsidR="00981601">
        <w:rPr>
          <w:b/>
          <w:lang w:eastAsia="fr-FR"/>
        </w:rPr>
        <w:t>aissance des documents (30 min). Il doit analyser le fonctionnement du système.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(chaîne fonctionnelle)</w:t>
      </w:r>
      <w:r w:rsidR="00981601">
        <w:rPr>
          <w:b/>
          <w:lang w:eastAsia="fr-FR"/>
        </w:rPr>
        <w:t xml:space="preserve"> puis aider l’analyste modélisateur. </w:t>
      </w:r>
    </w:p>
    <w:p w:rsidR="00E769A6" w:rsidRPr="00E769A6" w:rsidRDefault="00981601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L’analyste-modélisateur doit analyser le plan puis réaliser les schémas cinématiques 2D et 3D avec l’aide du « chef de groupe ». </w:t>
      </w:r>
    </w:p>
    <w:sectPr w:rsidR="00E769A6" w:rsidRPr="00E769A6" w:rsidSect="00AF1680">
      <w:headerReference w:type="default" r:id="rId16"/>
      <w:footerReference w:type="default" r:id="rId17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F71" w:rsidRDefault="00832F71" w:rsidP="00CA63DC">
      <w:r>
        <w:separator/>
      </w:r>
    </w:p>
  </w:endnote>
  <w:endnote w:type="continuationSeparator" w:id="1">
    <w:p w:rsidR="00832F71" w:rsidRDefault="00832F71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751F8E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93500F">
            <w:rPr>
              <w:b/>
              <w:noProof/>
              <w:szCs w:val="24"/>
            </w:rPr>
            <w:t>Cycle_02_IS_SE.docx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751F8E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636E7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751F8E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751F8E" w:rsidRPr="005964C1">
            <w:rPr>
              <w:b/>
              <w:sz w:val="24"/>
              <w:szCs w:val="24"/>
            </w:rPr>
            <w:fldChar w:fldCharType="separate"/>
          </w:r>
          <w:r w:rsidR="009A6B8E">
            <w:rPr>
              <w:b/>
              <w:noProof/>
              <w:sz w:val="24"/>
              <w:szCs w:val="24"/>
            </w:rPr>
            <w:t>2</w:t>
          </w:r>
          <w:r w:rsidR="00751F8E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3137ED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3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F71" w:rsidRDefault="00832F71" w:rsidP="00CA63DC">
      <w:r>
        <w:separator/>
      </w:r>
    </w:p>
  </w:footnote>
  <w:footnote w:type="continuationSeparator" w:id="1">
    <w:p w:rsidR="00832F71" w:rsidRDefault="00832F71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proofErr w:type="spellStart"/>
          <w:r w:rsidRPr="00481758">
            <w:rPr>
              <w:szCs w:val="22"/>
            </w:rPr>
            <w:t>Lycée</w:t>
          </w:r>
          <w:r>
            <w:t>Rouvière</w:t>
          </w:r>
          <w:proofErr w:type="spellEnd"/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09225E" w:rsidP="00EF4308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 xml:space="preserve">3 </w:t>
          </w:r>
          <w:r w:rsidRPr="0009225E">
            <w:rPr>
              <w:sz w:val="16"/>
              <w:szCs w:val="22"/>
            </w:rPr>
            <w:t>– Étude cinématique des systèmes de solides de la chaîne d'énergie</w:t>
          </w:r>
          <w:r w:rsidR="00EF4308">
            <w:rPr>
              <w:sz w:val="16"/>
              <w:szCs w:val="22"/>
            </w:rPr>
            <w:t xml:space="preserve"> – </w:t>
          </w:r>
          <w:r w:rsidRPr="0009225E">
            <w:rPr>
              <w:sz w:val="16"/>
              <w:szCs w:val="22"/>
            </w:rPr>
            <w:t xml:space="preserve"> </w:t>
          </w:r>
          <w:r w:rsidR="00EF4308">
            <w:rPr>
              <w:sz w:val="16"/>
              <w:szCs w:val="22"/>
            </w:rPr>
            <w:t xml:space="preserve"> </w:t>
          </w:r>
          <w:r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alt="icone2.png" style="width:57.75pt;height:37.35pt;visibility:visible;mso-wrap-style:square" o:bullet="t">
        <v:imagedata r:id="rId1" o:title="icone2"/>
      </v:shape>
    </w:pict>
  </w:numPicBullet>
  <w:numPicBullet w:numPicBulletId="1">
    <w:pict>
      <v:shape id="_x0000_i1108" type="#_x0000_t75" style="width:8.85pt;height:8.8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1D8F"/>
    <w:rsid w:val="0009225E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A6B8E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31448"/>
    <w:rsid w:val="00A43893"/>
    <w:rsid w:val="00A44F15"/>
    <w:rsid w:val="00A55A04"/>
    <w:rsid w:val="00A6050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79C0"/>
    <w:rsid w:val="00E75209"/>
    <w:rsid w:val="00E769A6"/>
    <w:rsid w:val="00E90645"/>
    <w:rsid w:val="00E97BA3"/>
    <w:rsid w:val="00EA4572"/>
    <w:rsid w:val="00EB0A05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B91F0-2897-4181-8A3D-412493BC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70</cp:revision>
  <cp:lastPrinted>2014-10-02T14:03:00Z</cp:lastPrinted>
  <dcterms:created xsi:type="dcterms:W3CDTF">2014-07-05T06:10:00Z</dcterms:created>
  <dcterms:modified xsi:type="dcterms:W3CDTF">2014-10-14T12:59:00Z</dcterms:modified>
</cp:coreProperties>
</file>