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F8D8D7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364262">
        <w:t>20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7777777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04D4C76" w14:textId="6A8B98A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  <w:r w:rsidR="00EF2749">
              <w:t xml:space="preserve"> Proposer une liaison équivalente de la tête d’impression avec le bâti. </w:t>
            </w:r>
          </w:p>
          <w:p w14:paraId="021BDA14" w14:textId="7777777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</w:t>
            </w:r>
            <w:r w:rsidR="00EF2749">
              <w:t>s de l’ensemble de l’imprimante.</w:t>
            </w:r>
          </w:p>
          <w:p w14:paraId="6E545244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méthode (sans la mettre en œuvre) permettant de déterminer la liaison équivalente entre la tête d’impression et le bâti.</w:t>
            </w:r>
          </w:p>
          <w:p w14:paraId="3C3C00FD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 degré d’hyperstatisme du modèle proposé. </w:t>
            </w:r>
          </w:p>
          <w:p w14:paraId="173E6950" w14:textId="77777777" w:rsidR="00DD452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le modèle est hyperstatique, expliquer l’intérêt d’avoir un modèle hyperstatique. </w:t>
            </w:r>
          </w:p>
          <w:p w14:paraId="707B23BB" w14:textId="0A6272B6" w:rsidR="00EF2749" w:rsidRPr="0036477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</w:t>
            </w:r>
            <w:r w:rsidR="00DD452E">
              <w:t xml:space="preserve">des modifications </w:t>
            </w:r>
            <w:r>
              <w:t>permettant de rendre le modèle isostatique.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5355E6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355E6"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355E6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 xml:space="preserve">Présenter </w:t>
            </w:r>
            <w:r w:rsidR="005032A3" w:rsidRPr="005355E6">
              <w:t>l’architecture de la liaison avec un schéma cinématique</w:t>
            </w:r>
            <w:r w:rsidRPr="005355E6">
              <w:rPr>
                <w:b/>
                <w:bCs/>
              </w:rPr>
              <w:t>.</w:t>
            </w:r>
          </w:p>
          <w:p w14:paraId="68DB470C" w14:textId="4685D2E5" w:rsidR="005032A3" w:rsidRPr="005355E6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>Justifier le degré d’hyperstatisme de cette architecture.</w:t>
            </w:r>
          </w:p>
          <w:p w14:paraId="3C24EDDB" w14:textId="5E71C45D" w:rsidR="009675B9" w:rsidRPr="005355E6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Pr="005355E6" w:rsidRDefault="008C2711" w:rsidP="00B51F23">
            <w:pPr>
              <w:spacing w:line="240" w:lineRule="auto"/>
              <w:jc w:val="left"/>
            </w:pPr>
            <w:r w:rsidRPr="005355E6">
              <w:sym w:font="Wingdings" w:char="F020"/>
            </w:r>
            <w:r w:rsidRPr="005355E6">
              <w:sym w:font="Wingdings" w:char="F04F"/>
            </w:r>
            <w:r w:rsidRPr="005355E6">
              <w:t xml:space="preserve"> </w:t>
            </w:r>
            <w:r w:rsidR="00B51F23" w:rsidRPr="005355E6">
              <w:t>Pour XENS</w:t>
            </w:r>
            <w:r w:rsidRPr="005355E6">
              <w:t xml:space="preserve"> – </w:t>
            </w:r>
            <w:r w:rsidR="00B51F23" w:rsidRPr="005355E6">
              <w:t>CCINP</w:t>
            </w:r>
            <w:r w:rsidRPr="005355E6">
              <w:t xml:space="preserve"> – </w:t>
            </w:r>
            <w:r w:rsidR="00B51F23" w:rsidRPr="005355E6">
              <w:t>Centrale</w:t>
            </w:r>
            <w:r w:rsidR="00C11055" w:rsidRPr="005355E6">
              <w:t xml:space="preserve"> – CCMP </w:t>
            </w:r>
            <w:r w:rsidR="00B51F23" w:rsidRPr="005355E6">
              <w:t xml:space="preserve">: </w:t>
            </w:r>
          </w:p>
          <w:p w14:paraId="74F3FBBD" w14:textId="4D8393C6" w:rsidR="008C2711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>Donner l’objectif de</w:t>
            </w:r>
            <w:r w:rsidR="00D34F3E" w:rsidRPr="005355E6">
              <w:t xml:space="preserve">s </w:t>
            </w:r>
            <w:r w:rsidRPr="005355E6">
              <w:t>activité</w:t>
            </w:r>
            <w:r w:rsidR="00D34F3E" w:rsidRPr="005355E6">
              <w:t>s</w:t>
            </w:r>
            <w:r w:rsidRPr="005355E6">
              <w:t>.</w:t>
            </w:r>
          </w:p>
          <w:p w14:paraId="02F3D8CB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Réaliser un schéma cinématique </w:t>
            </w:r>
            <w:r w:rsidRPr="005355E6">
              <w:rPr>
                <w:b/>
                <w:bCs/>
              </w:rPr>
              <w:t>en couleur</w:t>
            </w:r>
            <w:r w:rsidRPr="005355E6">
              <w:t xml:space="preserve"> et le graphe de liaison associé.</w:t>
            </w:r>
          </w:p>
          <w:p w14:paraId="43F2A037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Déterminer en justifiant l’hyperstatisme. </w:t>
            </w:r>
          </w:p>
          <w:p w14:paraId="58B19FDC" w14:textId="3CAD331F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EF274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CDB1" w14:textId="77777777" w:rsidR="00B34C83" w:rsidRDefault="00B34C83" w:rsidP="00B31131">
      <w:pPr>
        <w:spacing w:line="240" w:lineRule="auto"/>
      </w:pPr>
      <w:r>
        <w:separator/>
      </w:r>
    </w:p>
  </w:endnote>
  <w:endnote w:type="continuationSeparator" w:id="0">
    <w:p w14:paraId="7E3146C7" w14:textId="77777777" w:rsidR="00B34C83" w:rsidRDefault="00B34C8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7777777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124DDB06" w:rsidR="004507C4" w:rsidRDefault="00EF2749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0118" w14:textId="77777777" w:rsidR="00B34C83" w:rsidRDefault="00B34C83" w:rsidP="00B31131">
      <w:pPr>
        <w:spacing w:line="240" w:lineRule="auto"/>
      </w:pPr>
      <w:r>
        <w:separator/>
      </w:r>
    </w:p>
  </w:footnote>
  <w:footnote w:type="continuationSeparator" w:id="0">
    <w:p w14:paraId="6F168E71" w14:textId="77777777" w:rsidR="00B34C83" w:rsidRDefault="00B34C8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9"/>
  </w:num>
  <w:num w:numId="2" w16cid:durableId="349140701">
    <w:abstractNumId w:val="14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5"/>
  </w:num>
  <w:num w:numId="6" w16cid:durableId="1875771740">
    <w:abstractNumId w:val="12"/>
  </w:num>
  <w:num w:numId="7" w16cid:durableId="1585987490">
    <w:abstractNumId w:val="8"/>
  </w:num>
  <w:num w:numId="8" w16cid:durableId="1716468734">
    <w:abstractNumId w:val="5"/>
  </w:num>
  <w:num w:numId="9" w16cid:durableId="1127285352">
    <w:abstractNumId w:val="3"/>
  </w:num>
  <w:num w:numId="10" w16cid:durableId="2004896472">
    <w:abstractNumId w:val="6"/>
  </w:num>
  <w:num w:numId="11" w16cid:durableId="1974167127">
    <w:abstractNumId w:val="10"/>
  </w:num>
  <w:num w:numId="12" w16cid:durableId="602805359">
    <w:abstractNumId w:val="11"/>
  </w:num>
  <w:num w:numId="13" w16cid:durableId="144973051">
    <w:abstractNumId w:val="4"/>
  </w:num>
  <w:num w:numId="14" w16cid:durableId="162159894">
    <w:abstractNumId w:val="13"/>
  </w:num>
  <w:num w:numId="15" w16cid:durableId="2069299875">
    <w:abstractNumId w:val="7"/>
  </w:num>
  <w:num w:numId="16" w16cid:durableId="151742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A211C"/>
    <w:rsid w:val="001C2B07"/>
    <w:rsid w:val="002B5879"/>
    <w:rsid w:val="0030165B"/>
    <w:rsid w:val="00364262"/>
    <w:rsid w:val="0036477E"/>
    <w:rsid w:val="004507C4"/>
    <w:rsid w:val="005032A3"/>
    <w:rsid w:val="005279D4"/>
    <w:rsid w:val="005355E6"/>
    <w:rsid w:val="0056578B"/>
    <w:rsid w:val="00583E8C"/>
    <w:rsid w:val="005B05C2"/>
    <w:rsid w:val="006222AB"/>
    <w:rsid w:val="006A648A"/>
    <w:rsid w:val="007A0070"/>
    <w:rsid w:val="007D0DF9"/>
    <w:rsid w:val="008C2711"/>
    <w:rsid w:val="009675B9"/>
    <w:rsid w:val="009816C4"/>
    <w:rsid w:val="00A447C4"/>
    <w:rsid w:val="00A81171"/>
    <w:rsid w:val="00B31131"/>
    <w:rsid w:val="00B34C83"/>
    <w:rsid w:val="00B51F23"/>
    <w:rsid w:val="00B86CD7"/>
    <w:rsid w:val="00BA20BE"/>
    <w:rsid w:val="00C11055"/>
    <w:rsid w:val="00C271B7"/>
    <w:rsid w:val="00C55B82"/>
    <w:rsid w:val="00D34F3E"/>
    <w:rsid w:val="00D71D81"/>
    <w:rsid w:val="00D968E7"/>
    <w:rsid w:val="00DC1EFE"/>
    <w:rsid w:val="00DD452E"/>
    <w:rsid w:val="00E2045D"/>
    <w:rsid w:val="00E929AF"/>
    <w:rsid w:val="00EF2749"/>
    <w:rsid w:val="00F009F9"/>
    <w:rsid w:val="00F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dcterms:created xsi:type="dcterms:W3CDTF">2022-12-17T10:14:00Z</dcterms:created>
  <dcterms:modified xsi:type="dcterms:W3CDTF">2023-04-16T10:59:00Z</dcterms:modified>
</cp:coreProperties>
</file>