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E83FF" w14:textId="110F4432" w:rsidR="00B31131" w:rsidRPr="0036477E" w:rsidRDefault="00583E8C" w:rsidP="0036477E">
      <w:pPr>
        <w:pStyle w:val="Titre"/>
      </w:pPr>
      <w:r>
        <w:t xml:space="preserve">Modélisation </w:t>
      </w:r>
      <w:r w:rsidR="008074CB">
        <w:t xml:space="preserve">du </w:t>
      </w:r>
      <w:proofErr w:type="spellStart"/>
      <w:r w:rsidR="008074CB">
        <w:t>ControlX</w:t>
      </w:r>
      <w:proofErr w:type="spellEnd"/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190F8681" w14:textId="5FE0FA56" w:rsidR="000A60CB" w:rsidRPr="008074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8074CB">
              <w:rPr>
                <w:b/>
                <w:bCs/>
                <w:strike/>
              </w:rPr>
              <w:t>B3-01</w:t>
            </w:r>
            <w:r w:rsidRPr="008074CB">
              <w:rPr>
                <w:strike/>
              </w:rPr>
              <w:tab/>
              <w:t>Vérifier la cohérence du modèle choisi en confrontant les résultats analytiques et/ou numériques aux résultats expérimentaux.</w:t>
            </w:r>
          </w:p>
          <w:p w14:paraId="4CD1CD0E" w14:textId="58A4CEEB" w:rsidR="000A60CB" w:rsidRPr="00FC7A85" w:rsidRDefault="000A60CB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074CB">
              <w:rPr>
                <w:b/>
                <w:bCs/>
                <w:strike/>
              </w:rPr>
              <w:t>C1-04</w:t>
            </w:r>
            <w:r w:rsidRPr="008074CB">
              <w:rPr>
                <w:strike/>
              </w:rPr>
              <w:tab/>
              <w:t>Proposer une démarche permettant d'obtenir une loi entrée-sortie géométrique.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6CF555C1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>pouvoir corriger le comportement, du système, il est nécessaire de disposer d’un modèle de comportement du système.</w:t>
            </w:r>
          </w:p>
        </w:tc>
      </w:tr>
    </w:tbl>
    <w:p w14:paraId="670EACD6" w14:textId="21168F01" w:rsidR="00B3798B" w:rsidRDefault="00B3798B" w:rsidP="0036477E"/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4CF71F9C" w:rsidR="003079B7" w:rsidRPr="00317EAE" w:rsidRDefault="004901DB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11C1A41F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08F25B28" w14:textId="1E82774B" w:rsidR="003079B7" w:rsidRDefault="003079B7" w:rsidP="00292CE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le temps de réponse pour un </w:t>
            </w:r>
            <w:r w:rsidR="00F52FB7">
              <w:t xml:space="preserve">déplacement de </w:t>
            </w:r>
            <w:r>
              <w:t xml:space="preserve">1mm. </w:t>
            </w:r>
          </w:p>
          <w:p w14:paraId="4A63F523" w14:textId="3EDD3A9F" w:rsidR="003079B7" w:rsidRDefault="00F52FB7" w:rsidP="003079B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le temps de réponse pour un déplacement de 5</w:t>
            </w:r>
            <w:r w:rsidR="003079B7">
              <w:t xml:space="preserve">mm. </w:t>
            </w:r>
          </w:p>
          <w:p w14:paraId="0A04C7A8" w14:textId="77777777" w:rsidR="003079B7" w:rsidRDefault="00F52FB7" w:rsidP="00F52FB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le temps de réponse pour un déplacement de 50 </w:t>
            </w:r>
            <w:proofErr w:type="spellStart"/>
            <w:r>
              <w:t>mm.</w:t>
            </w:r>
            <w:proofErr w:type="spellEnd"/>
            <w:r>
              <w:t xml:space="preserve"> </w:t>
            </w:r>
          </w:p>
          <w:p w14:paraId="167823B1" w14:textId="2E2B6C71" w:rsidR="004901DB" w:rsidRPr="0036477E" w:rsidRDefault="004901DB" w:rsidP="00F52FB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</w:t>
            </w:r>
          </w:p>
        </w:tc>
      </w:tr>
    </w:tbl>
    <w:p w14:paraId="7978DB12" w14:textId="77777777" w:rsidR="003079B7" w:rsidRDefault="003079B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5BA5AE10" w:rsidR="0036477E" w:rsidRPr="00317EAE" w:rsidRDefault="0001269D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le comportement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5BA9FB6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0F87C11F" w14:textId="175DCB2D" w:rsidR="0001269D" w:rsidRPr="0001269D" w:rsidRDefault="0001269D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</w:rPr>
            </w:pPr>
            <w:r>
              <w:rPr>
                <w:lang w:eastAsia="fr-FR"/>
              </w:rPr>
              <w:t xml:space="preserve">Réaliser un essai en </w:t>
            </w:r>
            <w:r w:rsidRPr="0001269D">
              <w:rPr>
                <w:b/>
                <w:bCs/>
                <w:lang w:eastAsia="fr-FR"/>
              </w:rPr>
              <w:t>BO</w:t>
            </w:r>
            <w:r>
              <w:rPr>
                <w:lang w:eastAsia="fr-FR"/>
              </w:rPr>
              <w:t xml:space="preserve"> avec une tension de 5V. Qu’observez-vous ? Commenter.</w:t>
            </w:r>
          </w:p>
          <w:p w14:paraId="66088C5D" w14:textId="77777777" w:rsidR="0001269D" w:rsidRPr="0001269D" w:rsidRDefault="0001269D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</w:rPr>
            </w:pPr>
            <w:r w:rsidRPr="0001269D">
              <w:rPr>
                <w:rStyle w:val="lev"/>
                <w:b w:val="0"/>
              </w:rPr>
              <w:t>Expliquer l’intérêt d’identifier le comportement du système en boucle ouverte ? Quelle est la nature du signal de commande ? la nature du signal mesuré ?</w:t>
            </w:r>
          </w:p>
          <w:p w14:paraId="70FDBE46" w14:textId="3D6CD6DC" w:rsidR="0001269D" w:rsidRPr="0001269D" w:rsidRDefault="0001269D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</w:rPr>
            </w:pPr>
            <w:r w:rsidRPr="0001269D">
              <w:rPr>
                <w:rStyle w:val="lev"/>
                <w:b w:val="0"/>
              </w:rPr>
              <w:t xml:space="preserve">Expliquer le choix d’utiliser un système d’ordre 1 suivi d’un intégrateur </w:t>
            </w:r>
            <m:oMath>
              <m:r>
                <w:rPr>
                  <w:rStyle w:val="lev"/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Style w:val="lev"/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w:rPr>
                      <w:rStyle w:val="lev"/>
                      <w:rFonts w:ascii="Cambria Math" w:hAnsi="Cambria Math"/>
                    </w:rPr>
                    <m:t>p</m:t>
                  </m:r>
                </m:e>
              </m:d>
              <m:r>
                <w:rPr>
                  <w:rStyle w:val="lev"/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Style w:val="lev"/>
                      <w:rFonts w:ascii="Cambria Math" w:hAnsi="Cambria Math"/>
                      <w:b w:val="0"/>
                      <w:i/>
                    </w:rPr>
                  </m:ctrlPr>
                </m:fPr>
                <m:num>
                  <m:r>
                    <w:rPr>
                      <w:rStyle w:val="lev"/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Style w:val="lev"/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Style w:val="lev"/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Style w:val="lev"/>
                      <w:rFonts w:ascii="Cambria Math" w:hAnsi="Cambria Math"/>
                      <w:b w:val="0"/>
                      <w:i/>
                    </w:rPr>
                  </m:ctrlPr>
                </m:fPr>
                <m:num>
                  <m:r>
                    <w:rPr>
                      <w:rStyle w:val="lev"/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Style w:val="lev"/>
                      <w:rFonts w:ascii="Cambria Math" w:hAnsi="Cambria Math"/>
                    </w:rPr>
                    <m:t>1+τp</m:t>
                  </m:r>
                </m:den>
              </m:f>
            </m:oMath>
            <w:r>
              <w:rPr>
                <w:rStyle w:val="lev"/>
                <w:rFonts w:eastAsiaTheme="minorEastAsia"/>
                <w:b w:val="0"/>
              </w:rPr>
              <w:t xml:space="preserve"> </w:t>
            </w:r>
            <w:r w:rsidRPr="0001269D">
              <w:rPr>
                <w:rStyle w:val="lev"/>
                <w:b w:val="0"/>
              </w:rPr>
              <w:t>pour réaliser l’identification ?</w:t>
            </w:r>
          </w:p>
          <w:p w14:paraId="78A0BCBB" w14:textId="4766A4CE" w:rsidR="000A60CB" w:rsidRPr="0036477E" w:rsidRDefault="0001269D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1269D">
              <w:rPr>
                <w:rStyle w:val="lev"/>
                <w:b w:val="0"/>
              </w:rPr>
              <w:t>Identifier les caractéristiques du premier ordre en précisant votre méthode</w:t>
            </w:r>
            <w:r>
              <w:rPr>
                <w:rStyle w:val="lev"/>
                <w:b w:val="0"/>
              </w:rPr>
              <w:t>.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3183B4DC" w:rsidR="000A60CB" w:rsidRPr="00317EAE" w:rsidRDefault="0055334E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le comportement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59478CA9" w:rsidR="000A60CB" w:rsidRPr="0036477E" w:rsidRDefault="000A60CB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5E378BD2" w14:textId="0373EC9E" w:rsidR="0055334E" w:rsidRDefault="0055334E" w:rsidP="0055334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En utilisant Matlab, simuler le comportement du modèle identifié à la question précédente.</w:t>
            </w:r>
          </w:p>
          <w:p w14:paraId="603CBA7F" w14:textId="7CF2DFE9" w:rsidR="0055334E" w:rsidRDefault="0055334E" w:rsidP="0055334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une méthode pour modéliser la saturation en tension expérimentalement de la commande du moteur. Mettre en œuvre cette modélisation dans Matlab.</w:t>
            </w:r>
          </w:p>
          <w:p w14:paraId="0CE5912B" w14:textId="1455669B" w:rsidR="00C71165" w:rsidRDefault="0055334E" w:rsidP="0055334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en protocole expérimental pour déterminer globalement les frottements secs. Mettre en œuvre ce protocole. Modé</w:t>
            </w:r>
            <w:r w:rsidR="00947BB2">
              <w:t>liser ensuite le frottement sec</w:t>
            </w:r>
            <w:bookmarkStart w:id="0" w:name="_GoBack"/>
            <w:bookmarkEnd w:id="0"/>
            <w:r>
              <w:t xml:space="preserve"> sur Matlab</w:t>
            </w:r>
          </w:p>
          <w:p w14:paraId="69D212AD" w14:textId="01BC1C9A" w:rsidR="000A60CB" w:rsidRPr="0036477E" w:rsidRDefault="00C71165" w:rsidP="0055334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en protocole expérimental pour déterminer globalement les frottements visqueux. Mettre en œuvre ce protocole. Modéliser ensuite les frottements visqueux en utilisant Matlab</w:t>
            </w:r>
            <w:r w:rsidR="003437C8">
              <w:t>.</w:t>
            </w:r>
          </w:p>
        </w:tc>
      </w:tr>
    </w:tbl>
    <w:p w14:paraId="0E4F1F60" w14:textId="77777777" w:rsidR="003437C8" w:rsidRDefault="003437C8" w:rsidP="003437C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437C8" w14:paraId="01208146" w14:textId="77777777" w:rsidTr="00292CE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C73542F" w14:textId="77777777" w:rsidR="003437C8" w:rsidRPr="00317EAE" w:rsidRDefault="003437C8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le comportement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F714C4A" w14:textId="053EB10A" w:rsidR="003437C8" w:rsidRPr="0036477E" w:rsidRDefault="003437C8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23A3F134" w14:textId="77777777" w:rsidR="003437C8" w:rsidRPr="003437C8" w:rsidRDefault="003437C8" w:rsidP="003437C8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  <w:bCs/>
              </w:rPr>
            </w:pPr>
            <w:r w:rsidRPr="003437C8">
              <w:rPr>
                <w:rStyle w:val="lev"/>
                <w:b w:val="0"/>
                <w:bCs/>
              </w:rPr>
              <w:t>Réaliser le bouclage de l’asservissement. Définir la grandeur d’entrée et la grandeur de sortie. Définir le plus grand déplacement possible pour ne pas dépasser le régime saturé.</w:t>
            </w:r>
          </w:p>
          <w:p w14:paraId="63690D9D" w14:textId="77777777" w:rsidR="003437C8" w:rsidRPr="003437C8" w:rsidRDefault="003437C8" w:rsidP="003437C8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  <w:bCs/>
              </w:rPr>
            </w:pPr>
            <w:r w:rsidRPr="003437C8">
              <w:rPr>
                <w:rStyle w:val="lev"/>
                <w:b w:val="0"/>
                <w:bCs/>
              </w:rPr>
              <w:t>Sur un échelon de 50 mm, comparer les performances du système et les résultats de la simulation.</w:t>
            </w:r>
          </w:p>
          <w:p w14:paraId="2B629CA7" w14:textId="503C22F1" w:rsidR="003437C8" w:rsidRPr="0036477E" w:rsidRDefault="003437C8" w:rsidP="003437C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437C8">
              <w:rPr>
                <w:rStyle w:val="lev"/>
                <w:b w:val="0"/>
                <w:bCs/>
              </w:rPr>
              <w:t>Conclure sur la validité du modèle.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les points clés de la modélisation analytique et de la simulation associée ;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résolution utilisant </w:t>
            </w:r>
            <w:proofErr w:type="spellStart"/>
            <w:r>
              <w:t>Capytale</w:t>
            </w:r>
            <w:proofErr w:type="spellEnd"/>
            <w:r>
              <w:t>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E2BED" w14:textId="77777777" w:rsidR="00BC13DF" w:rsidRDefault="00BC13DF" w:rsidP="00B31131">
      <w:pPr>
        <w:spacing w:line="240" w:lineRule="auto"/>
      </w:pPr>
      <w:r>
        <w:separator/>
      </w:r>
    </w:p>
  </w:endnote>
  <w:endnote w:type="continuationSeparator" w:id="0">
    <w:p w14:paraId="4E4539F6" w14:textId="77777777" w:rsidR="00BC13DF" w:rsidRDefault="00BC13DF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19F283B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433AF084" w:rsidR="008074CB" w:rsidRDefault="008074CB" w:rsidP="008074CB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ControlX</w:t>
          </w:r>
          <w:proofErr w:type="spellEnd"/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BC13D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58723DE" w:rsidR="005B723C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3347C76" w:rsidR="00B31131" w:rsidRDefault="008074CB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ControlX</w:t>
          </w:r>
          <w:proofErr w:type="spellEnd"/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BC13D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81098F" w14:textId="77777777" w:rsidR="00BC13DF" w:rsidRDefault="00BC13DF" w:rsidP="00B31131">
      <w:pPr>
        <w:spacing w:line="240" w:lineRule="auto"/>
      </w:pPr>
      <w:r>
        <w:separator/>
      </w:r>
    </w:p>
  </w:footnote>
  <w:footnote w:type="continuationSeparator" w:id="0">
    <w:p w14:paraId="71205078" w14:textId="77777777" w:rsidR="00BC13DF" w:rsidRDefault="00BC13DF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BC13DF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BC13DF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BC13DF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BC13DF">
          <w:pPr>
            <w:pStyle w:val="En-tte"/>
          </w:pPr>
        </w:p>
      </w:tc>
    </w:tr>
  </w:tbl>
  <w:p w14:paraId="46336DF4" w14:textId="77777777" w:rsidR="005B723C" w:rsidRDefault="00BC13D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0"/>
  </w:num>
  <w:num w:numId="5">
    <w:abstractNumId w:val="13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8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011279"/>
    <w:rsid w:val="0001269D"/>
    <w:rsid w:val="000324E3"/>
    <w:rsid w:val="000A60CB"/>
    <w:rsid w:val="001F43E2"/>
    <w:rsid w:val="001F75F9"/>
    <w:rsid w:val="002565B4"/>
    <w:rsid w:val="002B5879"/>
    <w:rsid w:val="0030165B"/>
    <w:rsid w:val="003079B7"/>
    <w:rsid w:val="003437C8"/>
    <w:rsid w:val="0036477E"/>
    <w:rsid w:val="004825AC"/>
    <w:rsid w:val="004862E4"/>
    <w:rsid w:val="004901DB"/>
    <w:rsid w:val="005032A3"/>
    <w:rsid w:val="005279D4"/>
    <w:rsid w:val="0055334E"/>
    <w:rsid w:val="0056578B"/>
    <w:rsid w:val="00583E8C"/>
    <w:rsid w:val="005B05C2"/>
    <w:rsid w:val="006222AB"/>
    <w:rsid w:val="0068186F"/>
    <w:rsid w:val="006A648A"/>
    <w:rsid w:val="00780F75"/>
    <w:rsid w:val="007A0070"/>
    <w:rsid w:val="007C5F50"/>
    <w:rsid w:val="008074CB"/>
    <w:rsid w:val="0089171D"/>
    <w:rsid w:val="008C2711"/>
    <w:rsid w:val="008C325E"/>
    <w:rsid w:val="00947BB2"/>
    <w:rsid w:val="009675B9"/>
    <w:rsid w:val="009816C4"/>
    <w:rsid w:val="00A447C4"/>
    <w:rsid w:val="00A4642C"/>
    <w:rsid w:val="00A71DEA"/>
    <w:rsid w:val="00AE374D"/>
    <w:rsid w:val="00B31131"/>
    <w:rsid w:val="00B3798B"/>
    <w:rsid w:val="00B46960"/>
    <w:rsid w:val="00B51F23"/>
    <w:rsid w:val="00B86CD7"/>
    <w:rsid w:val="00BA20BE"/>
    <w:rsid w:val="00BC13DF"/>
    <w:rsid w:val="00C11055"/>
    <w:rsid w:val="00C42DFC"/>
    <w:rsid w:val="00C55B82"/>
    <w:rsid w:val="00C71165"/>
    <w:rsid w:val="00C90382"/>
    <w:rsid w:val="00CA4836"/>
    <w:rsid w:val="00D00DB7"/>
    <w:rsid w:val="00D71D81"/>
    <w:rsid w:val="00D857F6"/>
    <w:rsid w:val="00D968E7"/>
    <w:rsid w:val="00DC1EFE"/>
    <w:rsid w:val="00E2045D"/>
    <w:rsid w:val="00E929AF"/>
    <w:rsid w:val="00EC1801"/>
    <w:rsid w:val="00F228FA"/>
    <w:rsid w:val="00F446F5"/>
    <w:rsid w:val="00F46318"/>
    <w:rsid w:val="00F52FB7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38</cp:revision>
  <dcterms:created xsi:type="dcterms:W3CDTF">2022-12-17T10:14:00Z</dcterms:created>
  <dcterms:modified xsi:type="dcterms:W3CDTF">2023-04-27T08:00:00Z</dcterms:modified>
</cp:coreProperties>
</file>