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8A4394C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0C843B36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  <w:r w:rsidR="0051100E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Pilotage Matlab </w:t>
            </w:r>
            <w:r w:rsidR="0001117D">
              <w:rPr>
                <w:rFonts w:ascii="Tw Cen MT" w:hAnsi="Tw Cen MT"/>
                <w:b/>
                <w:bCs/>
                <w:sz w:val="22"/>
                <w:szCs w:val="24"/>
              </w:rPr>
              <w:t>–</w:t>
            </w:r>
            <w:r w:rsidR="0051100E">
              <w:rPr>
                <w:rFonts w:ascii="Tw Cen MT" w:hAnsi="Tw Cen MT"/>
                <w:b/>
                <w:bCs/>
                <w:sz w:val="22"/>
                <w:szCs w:val="24"/>
              </w:rPr>
              <w:t xml:space="preserve"> Simulink</w:t>
            </w:r>
          </w:p>
          <w:p w14:paraId="167823B1" w14:textId="2B785040" w:rsidR="004901DB" w:rsidRPr="0036477E" w:rsidRDefault="0051100E" w:rsidP="00F52F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la </w:t>
            </w:r>
            <w:proofErr w:type="spellStart"/>
            <w:r>
              <w:t>fichi</w:t>
            </w:r>
            <w:proofErr w:type="spellEnd"/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BA5AE10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0F87C11F" w14:textId="175DCB2D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>
              <w:rPr>
                <w:lang w:eastAsia="fr-FR"/>
              </w:rPr>
              <w:t xml:space="preserve">Réaliser un essai en </w:t>
            </w:r>
            <w:r w:rsidRPr="0001269D">
              <w:rPr>
                <w:b/>
                <w:bCs/>
                <w:lang w:eastAsia="fr-FR"/>
              </w:rPr>
              <w:t>BO</w:t>
            </w:r>
            <w:r>
              <w:rPr>
                <w:lang w:eastAsia="fr-FR"/>
              </w:rPr>
              <w:t xml:space="preserve"> avec une tension de 5V. Qu’observez-vous ? Commenter.</w:t>
            </w:r>
          </w:p>
          <w:p w14:paraId="66088C5D" w14:textId="77777777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>Expliquer l’intérêt d’identifier le comportement du système en boucle ouverte ? Quelle est la nature du signal de commande ? la nature du signal mesuré ?</w:t>
            </w:r>
          </w:p>
          <w:p w14:paraId="70FDBE46" w14:textId="3D6CD6DC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 xml:space="preserve">Expliquer le choix d’utiliser un système d’ordre 1 suivi d’un intégrateur </w:t>
            </w:r>
            <m:oMath>
              <m:r>
                <w:rPr>
                  <w:rStyle w:val="lev"/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e>
              </m:d>
              <m:r>
                <w:rPr>
                  <w:rStyle w:val="lev"/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Style w:val="lev"/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1+τp</m:t>
                  </m:r>
                </m:den>
              </m:f>
            </m:oMath>
            <w:r>
              <w:rPr>
                <w:rStyle w:val="lev"/>
                <w:rFonts w:eastAsiaTheme="minorEastAsia"/>
                <w:b w:val="0"/>
              </w:rPr>
              <w:t xml:space="preserve"> </w:t>
            </w:r>
            <w:r w:rsidRPr="0001269D">
              <w:rPr>
                <w:rStyle w:val="lev"/>
                <w:b w:val="0"/>
              </w:rPr>
              <w:t>pour réaliser l’identification ?</w:t>
            </w:r>
          </w:p>
          <w:p w14:paraId="78A0BCBB" w14:textId="4766A4CE" w:rsidR="000A60CB" w:rsidRPr="0036477E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1269D">
              <w:rPr>
                <w:rStyle w:val="lev"/>
                <w:b w:val="0"/>
              </w:rPr>
              <w:t>Identifier les caractéristiques du premier ordre en précisant votre méthode</w:t>
            </w:r>
            <w:r>
              <w:rPr>
                <w:rStyle w:val="lev"/>
                <w:b w:val="0"/>
              </w:rPr>
              <w:t>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183B4DC" w:rsidR="000A60CB" w:rsidRPr="00317EAE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E378BD2" w14:textId="0373EC9E" w:rsidR="0055334E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Matlab, simuler le comportement du modèle identifié à la question précédente.</w:t>
            </w:r>
          </w:p>
          <w:p w14:paraId="603CBA7F" w14:textId="7CF2DFE9" w:rsidR="0055334E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une méthode pour modéliser la saturation en tension expérimentalement de la commande du moteur. Mettre en œuvre cette modélisation dans Matlab.</w:t>
            </w:r>
          </w:p>
          <w:p w14:paraId="0CE5912B" w14:textId="1455669B" w:rsidR="00C71165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en protocole expérimental pour déterminer globalement les frottements secs. Mettre en œuvre ce protocole. Modé</w:t>
            </w:r>
            <w:r w:rsidR="00947BB2">
              <w:t>liser ensuite le frottement sec</w:t>
            </w:r>
            <w:r>
              <w:t xml:space="preserve"> sur Matlab</w:t>
            </w:r>
          </w:p>
          <w:p w14:paraId="69D212AD" w14:textId="01BC1C9A" w:rsidR="000A60CB" w:rsidRPr="0036477E" w:rsidRDefault="00C71165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en protocole expérimental pour déterminer globalement les frottements visqueux. Mettre en œuvre ce protocole. Modéliser ensuite les frottements visqueux en utilisant Matlab</w:t>
            </w:r>
            <w:r w:rsidR="003437C8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1F1532C7" w:rsidR="003437C8" w:rsidRPr="00317EAE" w:rsidRDefault="003437C8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  <w:r w:rsidR="00046FB6">
              <w:rPr>
                <w:rFonts w:ascii="Tw Cen MT" w:hAnsi="Tw Cen MT"/>
                <w:b/>
                <w:sz w:val="22"/>
                <w:szCs w:val="24"/>
                <w:lang w:eastAsia="fr-FR"/>
              </w:rPr>
              <w:t>et 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053EB10A" w:rsidR="003437C8" w:rsidRPr="0036477E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3A3F134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Réaliser le bouclage de l’asservissement. Définir la grandeur d’entrée et la grandeur de sortie. Définir le plus grand déplacement possible pour ne pas dépasser le régime saturé.</w:t>
            </w:r>
          </w:p>
          <w:p w14:paraId="63690D9D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Sur un échelon de 50 mm, comparer les performances du système et les résultats de la simulation.</w:t>
            </w:r>
          </w:p>
          <w:p w14:paraId="2B629CA7" w14:textId="503C22F1" w:rsidR="003437C8" w:rsidRPr="0036477E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37C8">
              <w:rPr>
                <w:rStyle w:val="lev"/>
                <w:b w:val="0"/>
                <w:bCs/>
              </w:rPr>
              <w:t>Conclure sur la validité du modèle.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2A84" w14:textId="77777777" w:rsidR="00BA03A1" w:rsidRDefault="00BA03A1" w:rsidP="00B31131">
      <w:pPr>
        <w:spacing w:line="240" w:lineRule="auto"/>
      </w:pPr>
      <w:r>
        <w:separator/>
      </w:r>
    </w:p>
  </w:endnote>
  <w:endnote w:type="continuationSeparator" w:id="0">
    <w:p w14:paraId="14CBA1BE" w14:textId="77777777" w:rsidR="00BA03A1" w:rsidRDefault="00BA03A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000000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57833F1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</w:t>
          </w:r>
          <w:r w:rsidR="00C871B9">
            <w:rPr>
              <w:i/>
              <w:sz w:val="18"/>
            </w:rPr>
            <w:t>’</w:t>
          </w:r>
          <w:r>
            <w:rPr>
              <w:i/>
              <w:sz w:val="18"/>
            </w:rPr>
            <w:t>X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BC01" w14:textId="77777777" w:rsidR="00BA03A1" w:rsidRDefault="00BA03A1" w:rsidP="00B31131">
      <w:pPr>
        <w:spacing w:line="240" w:lineRule="auto"/>
      </w:pPr>
      <w:r>
        <w:separator/>
      </w:r>
    </w:p>
  </w:footnote>
  <w:footnote w:type="continuationSeparator" w:id="0">
    <w:p w14:paraId="69A66E88" w14:textId="77777777" w:rsidR="00BA03A1" w:rsidRDefault="00BA03A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7A52"/>
    <w:rsid w:val="0001117D"/>
    <w:rsid w:val="00011279"/>
    <w:rsid w:val="0001269D"/>
    <w:rsid w:val="000324E3"/>
    <w:rsid w:val="00046FB6"/>
    <w:rsid w:val="000A60CB"/>
    <w:rsid w:val="001F43E2"/>
    <w:rsid w:val="001F75F9"/>
    <w:rsid w:val="002565B4"/>
    <w:rsid w:val="002B5879"/>
    <w:rsid w:val="0030165B"/>
    <w:rsid w:val="003079B7"/>
    <w:rsid w:val="003437C8"/>
    <w:rsid w:val="0036477E"/>
    <w:rsid w:val="004825AC"/>
    <w:rsid w:val="004862E4"/>
    <w:rsid w:val="004901DB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A648A"/>
    <w:rsid w:val="00780F75"/>
    <w:rsid w:val="007A0070"/>
    <w:rsid w:val="007C5F50"/>
    <w:rsid w:val="008074CB"/>
    <w:rsid w:val="00886BFA"/>
    <w:rsid w:val="0089171D"/>
    <w:rsid w:val="008C2711"/>
    <w:rsid w:val="008C325E"/>
    <w:rsid w:val="00947BB2"/>
    <w:rsid w:val="009675B9"/>
    <w:rsid w:val="009816C4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03A1"/>
    <w:rsid w:val="00BA20BE"/>
    <w:rsid w:val="00BC13DF"/>
    <w:rsid w:val="00C11055"/>
    <w:rsid w:val="00C42DFC"/>
    <w:rsid w:val="00C55B82"/>
    <w:rsid w:val="00C71165"/>
    <w:rsid w:val="00C871B9"/>
    <w:rsid w:val="00C90382"/>
    <w:rsid w:val="00CA4836"/>
    <w:rsid w:val="00D00DB7"/>
    <w:rsid w:val="00D71D81"/>
    <w:rsid w:val="00D857F6"/>
    <w:rsid w:val="00D968E7"/>
    <w:rsid w:val="00DC1EFE"/>
    <w:rsid w:val="00E2045D"/>
    <w:rsid w:val="00E929AF"/>
    <w:rsid w:val="00EA26E1"/>
    <w:rsid w:val="00EC1801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43</cp:revision>
  <dcterms:created xsi:type="dcterms:W3CDTF">2022-12-17T10:14:00Z</dcterms:created>
  <dcterms:modified xsi:type="dcterms:W3CDTF">2023-09-11T09:30:00Z</dcterms:modified>
</cp:coreProperties>
</file>