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2912E8CD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D933336" w:rsidR="00B401EB" w:rsidRPr="00B401EB" w:rsidRDefault="00B401EB" w:rsidP="008858E2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</w:t>
            </w:r>
            <w:r w:rsidR="008858E2">
              <w:rPr>
                <w:b/>
                <w:bCs/>
              </w:rPr>
              <w:t>TD</w:t>
            </w:r>
            <w:r>
              <w:rPr>
                <w:b/>
                <w:bCs/>
              </w:rPr>
              <w:t xml:space="preserve">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3FDF2DC2" w14:textId="77777777" w:rsidR="00F74189" w:rsidRDefault="00F7418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7FCA71DC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78A0BCBB" w14:textId="25C531EF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</w:p>
        </w:tc>
      </w:tr>
    </w:tbl>
    <w:p w14:paraId="4888CE77" w14:textId="56C05FB8" w:rsidR="00BD7A74" w:rsidRDefault="00BD7A74" w:rsidP="00BD7A74"/>
    <w:p w14:paraId="23413F0A" w14:textId="77777777" w:rsidR="00862D01" w:rsidRDefault="00862D01" w:rsidP="00862D0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62D01" w14:paraId="06DF856E" w14:textId="77777777" w:rsidTr="00F50C61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1C2399" w14:textId="77777777" w:rsidR="00862D01" w:rsidRPr="00317EAE" w:rsidRDefault="00862D01" w:rsidP="00F50C61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78E6A90" w14:textId="53507A78" w:rsidR="00862D01" w:rsidRPr="0036477E" w:rsidRDefault="00862D01" w:rsidP="00F50C61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</w:rPr>
              <w:t xml:space="preserve">Activité 1 –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0EA5A714" w14:textId="77777777" w:rsidR="00862D01" w:rsidRPr="004825AC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proofErr w:type="gramStart"/>
            <w:r w:rsidRPr="004825AC">
              <w:rPr>
                <w:rFonts w:ascii="Consolas" w:eastAsiaTheme="minorEastAsia" w:hAnsi="Consolas"/>
              </w:rPr>
              <w:t>amax,vmax</w:t>
            </w:r>
            <w:proofErr w:type="gramEnd"/>
            <w:r>
              <w:rPr>
                <w:rFonts w:ascii="Consolas" w:eastAsiaTheme="minorEastAsia" w:hAnsi="Consolas"/>
              </w:rPr>
              <w:t>,distance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04076C95" w14:textId="77777777" w:rsidR="00862D01" w:rsidRDefault="00862D01" w:rsidP="00862D0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bookmarkStart w:id="0" w:name="_GoBack"/>
            <w:bookmarkEnd w:id="0"/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</w:t>
            </w:r>
            <w:r w:rsidRPr="00BF786A">
              <w:t>s les 0,0</w:t>
            </w:r>
            <w:r>
              <w:t>0</w:t>
            </w:r>
            <w:r w:rsidRPr="00BF786A">
              <w:t>1 s ;</w:t>
            </w:r>
          </w:p>
          <w:p w14:paraId="2BDD3A17" w14:textId="77777777" w:rsidR="00862D01" w:rsidRDefault="00862D01" w:rsidP="00862D0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linéaires (en fonction du temps);</w:t>
            </w:r>
          </w:p>
          <w:p w14:paraId="610A5367" w14:textId="77777777" w:rsidR="00862D01" w:rsidRDefault="00862D01" w:rsidP="00862D0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linéaires (en fonction du temps);</w:t>
            </w:r>
          </w:p>
          <w:p w14:paraId="642E8875" w14:textId="77777777" w:rsidR="00862D01" w:rsidRDefault="00862D01" w:rsidP="00862D0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proofErr w:type="gramStart"/>
            <w:r w:rsidRPr="004825AC">
              <w:rPr>
                <w:rFonts w:ascii="Consolas" w:hAnsi="Consolas"/>
              </w:rPr>
              <w:t>les</w:t>
            </w:r>
            <w:proofErr w:type="gramEnd"/>
            <w:r w:rsidRPr="004825AC">
              <w:rPr>
                <w:rFonts w:ascii="Consolas" w:hAnsi="Consolas"/>
              </w:rPr>
              <w:t>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linéaires (en fonction du temps).</w:t>
            </w:r>
          </w:p>
          <w:p w14:paraId="18B585ED" w14:textId="6835DBE0" w:rsidR="00862D01" w:rsidRPr="00581F47" w:rsidRDefault="00862D01" w:rsidP="00862D0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mobile, </w:t>
            </w:r>
            <w:r w:rsidRPr="004825AC">
              <w:rPr>
                <w:rFonts w:cstheme="minorHAnsi"/>
              </w:rPr>
              <w:t>pour un</w:t>
            </w:r>
            <w:r>
              <w:rPr>
                <w:rFonts w:cstheme="minorHAnsi"/>
              </w:rPr>
              <w:t xml:space="preserve"> déplacement de 100 </w:t>
            </w:r>
            <w:proofErr w:type="spellStart"/>
            <w:r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80E8681" w14:textId="77777777" w:rsidR="00862D01" w:rsidRDefault="00862D01" w:rsidP="00862D01"/>
    <w:p w14:paraId="2D250962" w14:textId="77777777" w:rsidR="00862D01" w:rsidRDefault="00862D01" w:rsidP="00BD7A74"/>
    <w:p w14:paraId="1558F145" w14:textId="77777777" w:rsidR="00862D01" w:rsidRDefault="00862D01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2736A5CB" w:rsidR="00BD7A74" w:rsidRPr="006F5B15" w:rsidRDefault="006F5B15" w:rsidP="006F5B15">
            <w:pPr>
              <w:pStyle w:val="Activits"/>
              <w:numPr>
                <w:ilvl w:val="0"/>
                <w:numId w:val="0"/>
              </w:numPr>
              <w:ind w:left="360" w:hanging="360"/>
              <w:rPr>
                <w:b w:val="0"/>
              </w:rPr>
            </w:pPr>
            <w:r w:rsidRPr="006F5B15">
              <w:rPr>
                <w:rStyle w:val="ActivitsCar"/>
                <w:b/>
              </w:rPr>
              <w:t xml:space="preserve">Activité 2 – </w:t>
            </w:r>
            <w:r w:rsidR="00C4523D" w:rsidRPr="006F5B15"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le centre du mobile ;</w:t>
            </w:r>
          </w:p>
          <w:p w14:paraId="2DAF955C" w14:textId="73673A40" w:rsidR="002C4E36" w:rsidRPr="002C4E36" w:rsidRDefault="00E5747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d’accroche du câble sur le mobile ;</w:t>
            </w:r>
          </w:p>
          <w:p w14:paraId="5A328BDB" w14:textId="15BDEF27" w:rsidR="002C4E36" w:rsidRPr="002C4E36" w:rsidRDefault="00E5747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centre de la poulie en haut à droite ;</w:t>
            </w:r>
          </w:p>
          <w:p w14:paraId="328C6AC9" w14:textId="29223EEF" w:rsidR="002C4E36" w:rsidRPr="002C4E36" w:rsidRDefault="00E57473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</w:t>
            </w:r>
            <w:proofErr w:type="gramStart"/>
            <w:r w:rsidR="002C4E36">
              <w:rPr>
                <w:rFonts w:eastAsiaTheme="minorEastAsia"/>
              </w:rPr>
              <w:t>est</w:t>
            </w:r>
            <w:proofErr w:type="gramEnd"/>
            <w:r w:rsidR="002C4E36">
              <w:rPr>
                <w:rFonts w:eastAsiaTheme="minorEastAsia"/>
              </w:rPr>
              <w:t xml:space="preserve">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E57473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E5747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E5747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E57473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proofErr w:type="spellEnd"/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</w:t>
            </w:r>
            <w:proofErr w:type="spellStart"/>
            <w:r w:rsidR="006C599D">
              <w:rPr>
                <w:rFonts w:ascii="Consolas" w:hAnsi="Consolas"/>
              </w:rPr>
              <w:t>Xm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Xhd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theta</w:t>
            </w:r>
            <w:proofErr w:type="spellEnd"/>
            <w:r w:rsidR="006C599D">
              <w:rPr>
                <w:rFonts w:ascii="Consolas" w:hAnsi="Consolas"/>
              </w:rPr>
              <w:t xml:space="preserve"> = 0) 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4A47D272" w:rsidR="00B401EB" w:rsidRPr="0036477E" w:rsidRDefault="00A1184B" w:rsidP="00A1184B">
            <w:pPr>
              <w:pStyle w:val="Activits"/>
              <w:numPr>
                <w:ilvl w:val="0"/>
                <w:numId w:val="0"/>
              </w:numPr>
              <w:ind w:left="360"/>
            </w:pPr>
            <w:r>
              <w:t xml:space="preserve">Activité 3 – </w:t>
            </w:r>
            <w:r w:rsidR="000B3C15"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résolution utilisant </w:t>
            </w:r>
            <w:proofErr w:type="spellStart"/>
            <w:r>
              <w:t>Capytale</w:t>
            </w:r>
            <w:proofErr w:type="spellEnd"/>
            <w:r>
              <w:t>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76D21" w14:textId="77777777" w:rsidR="00E57473" w:rsidRDefault="00E57473" w:rsidP="00B31131">
      <w:pPr>
        <w:spacing w:line="240" w:lineRule="auto"/>
      </w:pPr>
      <w:r>
        <w:separator/>
      </w:r>
    </w:p>
  </w:endnote>
  <w:endnote w:type="continuationSeparator" w:id="0">
    <w:p w14:paraId="6F4E2807" w14:textId="77777777" w:rsidR="00E57473" w:rsidRDefault="00E5747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628C6111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62D01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E4C090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862D01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6ABB8" w14:textId="77777777" w:rsidR="00E57473" w:rsidRDefault="00E57473" w:rsidP="00B31131">
      <w:pPr>
        <w:spacing w:line="240" w:lineRule="auto"/>
      </w:pPr>
      <w:r>
        <w:separator/>
      </w:r>
    </w:p>
  </w:footnote>
  <w:footnote w:type="continuationSeparator" w:id="0">
    <w:p w14:paraId="18C1B3A2" w14:textId="77777777" w:rsidR="00E57473" w:rsidRDefault="00E5747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7"/>
  </w:num>
  <w:num w:numId="4">
    <w:abstractNumId w:val="0"/>
  </w:num>
  <w:num w:numId="5">
    <w:abstractNumId w:val="22"/>
  </w:num>
  <w:num w:numId="6">
    <w:abstractNumId w:val="19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20"/>
  </w:num>
  <w:num w:numId="13">
    <w:abstractNumId w:val="12"/>
  </w:num>
  <w:num w:numId="14">
    <w:abstractNumId w:val="4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17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0F7167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5E5103"/>
    <w:rsid w:val="00620848"/>
    <w:rsid w:val="006222AB"/>
    <w:rsid w:val="0068186F"/>
    <w:rsid w:val="00686C08"/>
    <w:rsid w:val="006A648A"/>
    <w:rsid w:val="006C599D"/>
    <w:rsid w:val="006F5B15"/>
    <w:rsid w:val="00704E93"/>
    <w:rsid w:val="007220F1"/>
    <w:rsid w:val="00741689"/>
    <w:rsid w:val="00780F75"/>
    <w:rsid w:val="007A0070"/>
    <w:rsid w:val="007B5636"/>
    <w:rsid w:val="007C5F50"/>
    <w:rsid w:val="007F7322"/>
    <w:rsid w:val="008540D3"/>
    <w:rsid w:val="00862766"/>
    <w:rsid w:val="00862D01"/>
    <w:rsid w:val="008858E2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184B"/>
    <w:rsid w:val="00A12351"/>
    <w:rsid w:val="00A406D8"/>
    <w:rsid w:val="00A447C4"/>
    <w:rsid w:val="00A4642C"/>
    <w:rsid w:val="00A71DEA"/>
    <w:rsid w:val="00AC5542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BF786A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57473"/>
    <w:rsid w:val="00E929AF"/>
    <w:rsid w:val="00EC1801"/>
    <w:rsid w:val="00F017AF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66</cp:revision>
  <dcterms:created xsi:type="dcterms:W3CDTF">2022-12-17T10:14:00Z</dcterms:created>
  <dcterms:modified xsi:type="dcterms:W3CDTF">2024-04-12T13:25:00Z</dcterms:modified>
</cp:coreProperties>
</file>