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2F6A1C39" w:rsidR="00B31131" w:rsidRPr="0036477E" w:rsidRDefault="003E35E1" w:rsidP="0036477E">
      <w:pPr>
        <w:pStyle w:val="Titr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E0502D" wp14:editId="665E66F4">
            <wp:simplePos x="0" y="0"/>
            <wp:positionH relativeFrom="margin">
              <wp:posOffset>4302111</wp:posOffset>
            </wp:positionH>
            <wp:positionV relativeFrom="paragraph">
              <wp:posOffset>-287876</wp:posOffset>
            </wp:positionV>
            <wp:extent cx="2236330" cy="1174454"/>
            <wp:effectExtent l="133350" t="114300" r="316865" b="349885"/>
            <wp:wrapNone/>
            <wp:docPr id="79" name="Image 1" descr="Une image contenant machine, Pièce auto, motocyclett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1" descr="Une image contenant machine, Pièce auto, motocyclett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330" cy="1174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411">
        <w:rPr>
          <w:noProof/>
          <w:lang w:eastAsia="fr-FR"/>
        </w:rPr>
        <w:t>Direction Assistée Electrique</w:t>
      </w:r>
    </w:p>
    <w:p w14:paraId="3FE7C955" w14:textId="27BA415C" w:rsidR="00D24F8F" w:rsidRDefault="000F4540" w:rsidP="000F4540">
      <w:pPr>
        <w:pStyle w:val="Titre1"/>
      </w:pPr>
      <w:r>
        <w:t>Chaîne fonctionnelle</w:t>
      </w:r>
    </w:p>
    <w:p w14:paraId="20D0FC58" w14:textId="77777777" w:rsidR="00D24F8F" w:rsidRDefault="00D24F8F" w:rsidP="00B31131"/>
    <w:p w14:paraId="32A94D87" w14:textId="1944D634" w:rsidR="000F4540" w:rsidRDefault="003E35E1" w:rsidP="000F4540">
      <w:pPr>
        <w:jc w:val="center"/>
        <w:rPr>
          <w:noProof/>
        </w:rPr>
      </w:pPr>
      <w:r w:rsidRPr="00E978F1">
        <w:rPr>
          <w:noProof/>
          <w:lang w:eastAsia="fr-FR"/>
        </w:rPr>
        <w:drawing>
          <wp:inline distT="0" distB="0" distL="0" distR="0" wp14:anchorId="00DA528D" wp14:editId="6858FC93">
            <wp:extent cx="5025867" cy="3264195"/>
            <wp:effectExtent l="0" t="0" r="3810" b="0"/>
            <wp:docPr id="6146" name="Picture 2" descr="C:\Users\Xavier Pessoles\Dropbox\PartageXavier\PTSI\TP\Serie_2_IS_SLCI\IS_1\SysML\images_sysml_dae\Images\IBD Système 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Xavier Pessoles\Dropbox\PartageXavier\PTSI\TP\Serie_2_IS_SLCI\IS_1\SysML\images_sysml_dae\Images\IBD Système DA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48" cy="3277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04ADBFA7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6A5D977F" w14:textId="5EF5FFEE" w:rsidR="00AD0033" w:rsidRDefault="00490AE8" w:rsidP="00490AE8">
      <w:pPr>
        <w:pStyle w:val="Titre1"/>
      </w:pPr>
      <w:r>
        <w:lastRenderedPageBreak/>
        <w:t>Hyperstatisme</w:t>
      </w:r>
    </w:p>
    <w:p w14:paraId="2F55FFFF" w14:textId="114A991B" w:rsidR="003D7D6D" w:rsidRPr="003D7D6D" w:rsidRDefault="003D7D6D" w:rsidP="003D7D6D">
      <w:pPr>
        <w:jc w:val="center"/>
      </w:pPr>
      <w:r w:rsidRPr="00C1305A">
        <w:rPr>
          <w:noProof/>
          <w:lang w:eastAsia="fr-FR"/>
        </w:rPr>
        <w:drawing>
          <wp:inline distT="0" distB="0" distL="0" distR="0" wp14:anchorId="75E04E83" wp14:editId="184E2269">
            <wp:extent cx="5858881" cy="2344036"/>
            <wp:effectExtent l="0" t="133350" r="180340" b="304165"/>
            <wp:docPr id="6" name="Picture 2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Une image contenant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75" cy="2357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2B7EFB" w14:textId="77777777" w:rsidR="00CA4FB3" w:rsidRDefault="00CA4FB3" w:rsidP="00CA4FB3"/>
    <w:p w14:paraId="1D5CFE7C" w14:textId="7EED33E0" w:rsidR="00620D8C" w:rsidRDefault="00CA4FB3" w:rsidP="00620D8C">
      <w:pPr>
        <w:pStyle w:val="Titre1"/>
      </w:pPr>
      <w:r>
        <w:t>Statique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744B2019" w14:textId="77777777" w:rsidR="00620D8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</w:t>
            </w:r>
            <w:r w:rsidR="00CA4FB3">
              <w:rPr>
                <w:b/>
                <w:bCs/>
              </w:rPr>
              <w:t xml:space="preserve">relation entre le couple au volant et le couple de frottement entre les roues et sol. </w:t>
            </w:r>
          </w:p>
          <w:p w14:paraId="139BA873" w14:textId="201B3619" w:rsidR="00CA4FB3" w:rsidRPr="00DC547C" w:rsidRDefault="00CA4FB3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Estimer le couple de frottement entre le </w:t>
            </w:r>
            <w:proofErr w:type="spellStart"/>
            <w:r>
              <w:rPr>
                <w:b/>
                <w:bCs/>
              </w:rPr>
              <w:t>roue</w:t>
            </w:r>
            <w:proofErr w:type="spellEnd"/>
            <w:r>
              <w:rPr>
                <w:b/>
                <w:bCs/>
              </w:rPr>
              <w:t xml:space="preserve"> et le sol.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0A353" w14:textId="77777777" w:rsidR="003A60F5" w:rsidRDefault="003A60F5" w:rsidP="00B31131">
      <w:pPr>
        <w:spacing w:line="240" w:lineRule="auto"/>
      </w:pPr>
      <w:r>
        <w:separator/>
      </w:r>
    </w:p>
  </w:endnote>
  <w:endnote w:type="continuationSeparator" w:id="0">
    <w:p w14:paraId="78412187" w14:textId="77777777" w:rsidR="003A60F5" w:rsidRDefault="003A60F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3A46B60C" w:rsidR="00A71DEA" w:rsidRPr="00CF549E" w:rsidRDefault="009C1AA0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C14E5EE" w:rsidR="00B31131" w:rsidRPr="00CF549E" w:rsidRDefault="009C1AA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D28DE" w14:textId="77777777" w:rsidR="003A60F5" w:rsidRDefault="003A60F5" w:rsidP="00B31131">
      <w:pPr>
        <w:spacing w:line="240" w:lineRule="auto"/>
      </w:pPr>
      <w:r>
        <w:separator/>
      </w:r>
    </w:p>
  </w:footnote>
  <w:footnote w:type="continuationSeparator" w:id="0">
    <w:p w14:paraId="2974C884" w14:textId="77777777" w:rsidR="003A60F5" w:rsidRDefault="003A60F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A60F5"/>
    <w:rsid w:val="003D7D6D"/>
    <w:rsid w:val="003E35E1"/>
    <w:rsid w:val="003E745A"/>
    <w:rsid w:val="004148A9"/>
    <w:rsid w:val="00480D53"/>
    <w:rsid w:val="004825AC"/>
    <w:rsid w:val="004862E4"/>
    <w:rsid w:val="00490AE8"/>
    <w:rsid w:val="0049271E"/>
    <w:rsid w:val="004B0B13"/>
    <w:rsid w:val="004F19B0"/>
    <w:rsid w:val="005032A3"/>
    <w:rsid w:val="00506411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6D0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A4FB3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112</cp:revision>
  <dcterms:created xsi:type="dcterms:W3CDTF">2022-12-17T10:14:00Z</dcterms:created>
  <dcterms:modified xsi:type="dcterms:W3CDTF">2025-05-09T19:57:00Z</dcterms:modified>
</cp:coreProperties>
</file>