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44"/>
        </w:rPr>
        <w:t>应 用 证 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2041"/>
          </w:tcPr>
          <w:p>
            <w:r>
              <w:rPr>
                <w:rFonts w:ascii="宋体" w:hAnsi="宋体" w:eastAsia="宋体"/>
                <w:b/>
                <w:sz w:val="24"/>
              </w:rPr>
              <w:t>软件名称</w:t>
            </w:r>
          </w:p>
        </w:tc>
        <w:tc>
          <w:tcPr>
            <w:tcW w:type="dxa" w:w="6463"/>
          </w:tcPr>
          <w:p>
            <w:r>
              <w:rPr>
                <w:rFonts w:ascii="宋体" w:hAnsi="宋体" w:eastAsia="宋体"/>
                <w:b w:val="0"/>
                <w:sz w:val="24"/>
              </w:rPr>
              <w:t>智能答辩分组编排系统（Defense Scheduler，又称“答辩安排助手”）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/>
                <w:sz w:val="24"/>
              </w:rPr>
              <w:t>软件类型</w:t>
            </w:r>
          </w:p>
        </w:tc>
        <w:tc>
          <w:tcPr>
            <w:tcW w:type="dxa" w:w="6463"/>
          </w:tcPr>
          <w:p>
            <w:r>
              <w:rPr>
                <w:rFonts w:ascii="宋体" w:hAnsi="宋体" w:eastAsia="宋体"/>
                <w:b w:val="0"/>
                <w:sz w:val="24"/>
              </w:rPr>
              <w:t>应用软件（B/S 架构 Web 应用，可选 Windows 单文件版）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/>
                <w:sz w:val="24"/>
              </w:rPr>
              <w:t>版本号</w:t>
            </w:r>
          </w:p>
        </w:tc>
        <w:tc>
          <w:tcPr>
            <w:tcW w:type="dxa" w:w="6463"/>
          </w:tcPr>
          <w:p>
            <w:r>
              <w:rPr>
                <w:rFonts w:ascii="宋体" w:hAnsi="宋体" w:eastAsia="宋体"/>
                <w:b w:val="0"/>
                <w:sz w:val="24"/>
              </w:rPr>
              <w:t>V2（policy 3 排期规则）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/>
                <w:sz w:val="24"/>
              </w:rPr>
              <w:t>应用单位</w:t>
            </w:r>
          </w:p>
        </w:tc>
        <w:tc>
          <w:tcPr>
            <w:tcW w:type="dxa" w:w="6463"/>
          </w:tcPr>
          <w:p>
            <w:r>
              <w:rPr>
                <w:rFonts w:ascii="宋体" w:hAnsi="宋体" w:eastAsia="宋体"/>
                <w:b w:val="0"/>
                <w:sz w:val="24"/>
              </w:rPr>
              <w:t xml:space="preserve">　</w:t>
            </w:r>
          </w:p>
        </w:tc>
      </w:tr>
      <w:tr>
        <w:tc>
          <w:tcPr>
            <w:tcW w:type="dxa" w:w="2041"/>
          </w:tcPr>
          <w:p>
            <w:r>
              <w:rPr>
                <w:rFonts w:ascii="宋体" w:hAnsi="宋体" w:eastAsia="宋体"/>
                <w:b/>
                <w:sz w:val="24"/>
              </w:rPr>
              <w:t>应用起止时间</w:t>
            </w:r>
          </w:p>
        </w:tc>
        <w:tc>
          <w:tcPr>
            <w:tcW w:type="dxa" w:w="6463"/>
          </w:tcPr>
          <w:p>
            <w:r>
              <w:rPr>
                <w:rFonts w:ascii="宋体" w:hAnsi="宋体" w:eastAsia="宋体"/>
                <w:b w:val="0"/>
                <w:sz w:val="24"/>
              </w:rPr>
              <w:t xml:space="preserve">　　　　年　　月　至　　　　年　　月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一、系统基本情况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智能答辩分组编排系统面向研究生学位论文答辩的组织实施场景，用于替代人工在 Excel 中反复交叉核对的分组与排期工作。系统采用前后端分离架构：前端基于 Vue 3 + TypeScript + Vite + Element Plus，后端基于 Django 6 + Django REST Framework，数据存储采用 SQLite，生产环境由 waitress 提供服务，可通过构建脚本打包为免安装的 Windows 单文件程序。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系统全部依赖以 requirements.txt 与 package.json 锁定版本，克隆源码后安装依赖并执行 python main.py 即可在浏览器中访问使用，具备完整可复现性。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二、主要功能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基础数据管理：教师（学院、职称、可担任角色、可参与答辩类型、校区偏好、不可用时间、回避关系）、学生（类型、导师、校区、答辩类型、指定秘书）、教室（校区、容量、可用时间）的增删改查与 Excel 批量导入。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批量导入：支持教师名单、学生名单、卡片式课表与整批资料的一次性导入，导入前提供校验预览，对缺年份、缺校区、重复学号等异常给出逐行提示。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规则配置：按预答辩、正式答辩、中期答辩分别配置每组学生人数（目标值／上下限）、评审人数、组长与秘书的最低职称、日期区间与排除日期、外院导师上限、导师回避开关及多项软约束权重。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自动排期：采用“人员先行”的三阶段求解（组长 → 评审与秘书 → 学生绑定），以整数规划完成组间人数、导师份额与教师出场次数的联合优化；时间不可用、导师评审、专家资格、每组人数、外院导师上限、同一导师每组人数上限等硬约束全部显式建模，软约束按权重优化。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5. 两阶段联动：正式答辩在预答辩结果基础上沿用组号、学生与秘书，重新轮换全部评审并回避本组导师，保证两阶段可比、可追溯。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6. 冲突检测与人工调整：每次生成或调整后自动复核数据完整性、导师回避、专家重复、时间／容量冲突，逐条给出原因与处理建议；支持学生换组、更换专家／主席／秘书、调整时间与教室。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7. 结果输出：导出 Excel 排期表（每组一表、导师与学生同色标注）与 Word 正式排版排期表、评审意见表。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8. 过程管理：草稿校验后发布、历史版本快照与冻结、并发编辑保护、生成请求去重、服务端操作日志审计、数据库迁移前自动备份。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三、实际运行情况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系统在本单位真实答辩资料上完成了端到端试运行，主要结果如下（数据取自本机交付记录，未做人工修改）：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238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实际结果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4"/>
              </w:rPr>
              <w:t>参评学生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b w:val="0"/>
                <w:sz w:val="24"/>
              </w:rPr>
              <w:t>301 人（原始资料 316 份，其中 15 人不参加本轮答辩）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4"/>
              </w:rPr>
              <w:t>参与教师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b w:val="0"/>
                <w:sz w:val="24"/>
              </w:rPr>
              <w:t>111 位（含外院导师）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4"/>
              </w:rPr>
              <w:t>校区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b w:val="0"/>
                <w:sz w:val="24"/>
              </w:rPr>
              <w:t>创新港、兴庆两个校区分别成组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4"/>
              </w:rPr>
              <w:t>预答辩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b w:val="0"/>
                <w:sz w:val="24"/>
              </w:rPr>
              <w:t>54 组，每组 3 位评审（含组长），每组学生 5～7 人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4"/>
              </w:rPr>
              <w:t>正式答辩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b w:val="0"/>
                <w:sz w:val="24"/>
              </w:rPr>
              <w:t>54 组，每组 5 位评审（含主席），沿用预答辩组号、学生与秘书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4"/>
              </w:rPr>
              <w:t>漏排／重复安排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b w:val="0"/>
                <w:sz w:val="24"/>
              </w:rPr>
              <w:t>0 人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4"/>
              </w:rPr>
              <w:t>单次自动排期耗时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b w:val="0"/>
                <w:sz w:val="24"/>
              </w:rPr>
              <w:t>约 1 分钟（优化前同一批资料约 2.5 分钟，且存在漏排）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b/>
                <w:sz w:val="24"/>
              </w:rPr>
              <w:t>一致性校验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b w:val="0"/>
                <w:sz w:val="24"/>
              </w:rPr>
              <w:t>系统内置校验与独立硬约束核验结果一致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 w:val="0"/>
          <w:sz w:val="24"/>
        </w:rPr>
        <w:t>系统在生成结果中明确区分“已安排”与“未安排”：对确实无法满足全部硬约束的学生，逐人给出未安排原因（如外院导师数量、每组人数下限、单组导师席位上限、时间与专家资格），不静默丢弃学生，便于组织者补充资料或调整规则后重排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四、应用效果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效率提升：原需数人日完成的 300 人规模分组与排期，现由系统在分钟级完成，且可反复重算比对。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质量可控：每组人数、导师份额、教师出场次数、外院导师比例、导师回避等要求由模型统一保证，避免人工排表常见的漏排、重复与自导自审。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过程可追溯：每次生成、调整、发布均留存版本快照与操作日志，出现问题可定位到具体版本与操作人。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交付规范：排期结果可直接导出为 Excel 与 Word 文档，格式满足学院归档与公示要求。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五、结论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经实际部署与真实资料试运行，智能答辩分组编排系统功能完整、运行稳定，能够满足学位论文答辩分组与排期的业务要求，已在相应工作中实际应用，效果良好。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特此证明。</w:t>
      </w:r>
    </w:p>
    <w:p/>
    <w:p/>
    <w:p/>
    <w:p>
      <w:pPr>
        <w:spacing w:before="200"/>
        <w:ind w:left="3402"/>
      </w:pPr>
      <w:r>
        <w:rPr>
          <w:rFonts w:ascii="宋体" w:hAnsi="宋体" w:eastAsia="宋体"/>
          <w:b w:val="0"/>
          <w:sz w:val="24"/>
        </w:rPr>
        <w:t xml:space="preserve">应用单位（盖章）：　　　　　　　　</w:t>
      </w:r>
    </w:p>
    <w:p>
      <w:pPr>
        <w:spacing w:before="200"/>
        <w:ind w:left="3402"/>
      </w:pPr>
      <w:r>
        <w:rPr>
          <w:rFonts w:ascii="宋体" w:hAnsi="宋体" w:eastAsia="宋体"/>
          <w:b w:val="0"/>
          <w:sz w:val="24"/>
        </w:rPr>
        <w:t xml:space="preserve">负责人（签字）：　　　　　　　　</w:t>
      </w:r>
    </w:p>
    <w:p>
      <w:pPr>
        <w:spacing w:before="200"/>
        <w:ind w:left="3402"/>
      </w:pPr>
      <w:r>
        <w:rPr>
          <w:rFonts w:ascii="宋体" w:hAnsi="宋体" w:eastAsia="宋体"/>
          <w:b w:val="0"/>
          <w:sz w:val="24"/>
        </w:rPr>
        <w:t xml:space="preserve">联系电话：　　　　　　　　</w:t>
      </w:r>
    </w:p>
    <w:p>
      <w:pPr>
        <w:spacing w:before="200"/>
        <w:ind w:left="3402"/>
      </w:pPr>
      <w:r>
        <w:rPr>
          <w:rFonts w:ascii="宋体" w:hAnsi="宋体" w:eastAsia="宋体"/>
          <w:b w:val="0"/>
          <w:sz w:val="24"/>
        </w:rPr>
        <w:t xml:space="preserve">日期：　　　　　　　　</w:t>
      </w:r>
    </w:p>
    <w:sectPr w:rsidR="00FC693F" w:rsidRPr="0006063C" w:rsidSect="00034616"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