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jc w:val="center"/>
      </w:pPr>
      <w:r>
        <w:rPr>
          <w:rFonts w:ascii="Noto Sans CJK SC" w:hAnsi="Noto Sans CJK SC" w:eastAsia="Noto Sans CJK SC"/>
          <w:b/>
          <w:i w:val="0"/>
          <w:color w:val="1F4E79"/>
          <w:sz w:val="48"/>
        </w:rPr>
        <w:t>答辩排组排期系统</w:t>
      </w:r>
    </w:p>
    <w:p>
      <w:pPr>
        <w:spacing w:after="120"/>
        <w:jc w:val="center"/>
      </w:pPr>
      <w:r>
        <w:rPr>
          <w:rFonts w:ascii="Noto Sans CJK SC" w:hAnsi="Noto Sans CJK SC" w:eastAsia="Noto Sans CJK SC"/>
          <w:b/>
          <w:i w:val="0"/>
          <w:color w:val="222222"/>
          <w:sz w:val="36"/>
        </w:rPr>
        <w:t>产品需求文档（PRD）</w:t>
      </w:r>
    </w:p>
    <w:p>
      <w:pPr>
        <w:spacing w:after="400"/>
        <w:jc w:val="center"/>
      </w:pPr>
      <w:r>
        <w:rPr>
          <w:rFonts w:ascii="Noto Sans CJK SC" w:hAnsi="Noto Sans CJK SC" w:eastAsia="Noto Sans CJK SC"/>
          <w:b w:val="0"/>
          <w:i w:val="0"/>
          <w:color w:val="666666"/>
          <w:sz w:val="22"/>
        </w:rPr>
        <w:t>基于已确认需求口径的标准整理版</w:t>
      </w:r>
    </w:p>
    <w:tbl>
      <w:tblPr>
        <w:tblStyle w:val="TableGrid"/>
        <w:tblW w:type="auto" w:w="0"/>
        <w:jc w:val="center"/>
        <w:tblLayout w:type="fixed"/>
        <w:tblLook w:firstColumn="1" w:firstRow="1" w:lastColumn="0" w:lastRow="0" w:noHBand="0" w:noVBand="1" w:val="04A0"/>
      </w:tblPr>
      <w:tblGrid>
        <w:gridCol w:w="4816"/>
        <w:gridCol w:w="4816"/>
      </w:tblGrid>
      <w:tr>
        <w:tc>
          <w:tcPr>
            <w:tcW w:type="dxa" w:w="2268"/>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20"/>
              </w:rPr>
              <w:t>项目名称</w:t>
            </w:r>
          </w:p>
        </w:tc>
        <w:tc>
          <w:tcPr>
            <w:tcW w:type="dxa" w:w="612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20"/>
              </w:rPr>
              <w:t>答辩排组排期系统</w:t>
            </w:r>
          </w:p>
        </w:tc>
      </w:tr>
      <w:tr>
        <w:tc>
          <w:tcPr>
            <w:tcW w:type="dxa" w:w="2268"/>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20"/>
              </w:rPr>
              <w:t>文档类型</w:t>
            </w:r>
          </w:p>
        </w:tc>
        <w:tc>
          <w:tcPr>
            <w:tcW w:type="dxa" w:w="612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20"/>
              </w:rPr>
              <w:t>产品需求文档（PRD）</w:t>
            </w:r>
          </w:p>
        </w:tc>
      </w:tr>
      <w:tr>
        <w:tc>
          <w:tcPr>
            <w:tcW w:type="dxa" w:w="2268"/>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20"/>
              </w:rPr>
              <w:t>文档版本</w:t>
            </w:r>
          </w:p>
        </w:tc>
        <w:tc>
          <w:tcPr>
            <w:tcW w:type="dxa" w:w="612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20"/>
              </w:rPr>
              <w:t>V1.0</w:t>
            </w:r>
          </w:p>
        </w:tc>
      </w:tr>
      <w:tr>
        <w:tc>
          <w:tcPr>
            <w:tcW w:type="dxa" w:w="2268"/>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20"/>
              </w:rPr>
              <w:t>文档状态</w:t>
            </w:r>
          </w:p>
        </w:tc>
        <w:tc>
          <w:tcPr>
            <w:tcW w:type="dxa" w:w="612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20"/>
              </w:rPr>
              <w:t>需求整理稿 / 可进入设计评审</w:t>
            </w:r>
          </w:p>
        </w:tc>
      </w:tr>
      <w:tr>
        <w:tc>
          <w:tcPr>
            <w:tcW w:type="dxa" w:w="2268"/>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20"/>
              </w:rPr>
              <w:t>编制依据</w:t>
            </w:r>
          </w:p>
        </w:tc>
        <w:tc>
          <w:tcPr>
            <w:tcW w:type="dxa" w:w="612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20"/>
              </w:rPr>
              <w:t>已上传需求文档、简单说明，以及多轮确认口径</w:t>
            </w:r>
          </w:p>
        </w:tc>
      </w:tr>
    </w:tbl>
    <w:p/>
    <w:tbl>
      <w:tblPr>
        <w:tblW w:type="auto" w:w="0"/>
        <w:jc w:val="center"/>
        <w:tblLayout w:type="fixed"/>
        <w:tblLook w:firstColumn="1" w:firstRow="1" w:lastColumn="0" w:lastRow="0" w:noHBand="0" w:noVBand="1" w:val="04A0"/>
      </w:tblPr>
      <w:tblGrid>
        <w:gridCol w:w="9632"/>
      </w:tblGrid>
      <w:tr>
        <w:tc>
          <w:tcPr>
            <w:tcW w:type="dxa" w:w="9184"/>
            <w:shd w:fill="F4F8FB"/>
            <w:tcMar>
              <w:top w:w="120" w:type="dxa"/>
              <w:start w:w="180" w:type="dxa"/>
              <w:bottom w:w="120" w:type="dxa"/>
              <w:end w:w="180" w:type="dxa"/>
            </w:tcMar>
          </w:tcPr>
          <w:p>
            <w:pPr>
              <w:spacing w:before="0" w:after="60" w:line="276" w:lineRule="auto"/>
              <w:jc w:val="left"/>
            </w:pPr>
            <w:r>
              <w:rPr>
                <w:rFonts w:ascii="Noto Sans CJK SC" w:hAnsi="Noto Sans CJK SC" w:eastAsia="Noto Sans CJK SC"/>
                <w:b/>
                <w:i w:val="0"/>
                <w:color w:val="1F4E79"/>
                <w:sz w:val="21"/>
              </w:rPr>
              <w:t>文档说明</w:t>
            </w:r>
          </w:p>
          <w:p>
            <w:pPr>
              <w:spacing w:before="0" w:after="0" w:line="312" w:lineRule="auto"/>
            </w:pPr>
            <w:r>
              <w:rPr>
                <w:rFonts w:ascii="Noto Sans CJK SC" w:hAnsi="Noto Sans CJK SC" w:eastAsia="Noto Sans CJK SC"/>
                <w:b w:val="0"/>
                <w:i w:val="0"/>
                <w:color w:val="222222"/>
                <w:sz w:val="20"/>
              </w:rPr>
              <w:t>本文件将此前已确认的业务规则收敛为标准 PRD 结构，供原型设计、字段建模、规则引擎设计、开发评审和测试用例编写使用。除“待确认项”外，其余内容均按当前已确认口径执行。</w:t>
            </w:r>
          </w:p>
        </w:tc>
      </w:tr>
    </w:tbl>
    <w:p/>
    <w:p>
      <w:r>
        <w:br w:type="page"/>
      </w:r>
    </w:p>
    <w:p>
      <w:pPr>
        <w:keepNext/>
        <w:spacing w:before="240" w:after="80"/>
      </w:pPr>
      <w:r>
        <w:rPr>
          <w:rFonts w:ascii="Noto Sans CJK SC" w:hAnsi="Noto Sans CJK SC" w:eastAsia="Noto Sans CJK SC"/>
          <w:b/>
          <w:i w:val="0"/>
          <w:color w:val="1F4E79"/>
          <w:sz w:val="30"/>
        </w:rPr>
        <w:t>1. 产品概述</w:t>
      </w:r>
    </w:p>
    <w:p>
      <w:pPr>
        <w:keepNext/>
        <w:spacing w:before="160" w:after="40"/>
      </w:pPr>
      <w:r>
        <w:rPr>
          <w:rFonts w:ascii="Noto Sans CJK SC" w:hAnsi="Noto Sans CJK SC" w:eastAsia="Noto Sans CJK SC"/>
          <w:b/>
          <w:i w:val="0"/>
          <w:color w:val="1F4E79"/>
          <w:sz w:val="25"/>
        </w:rPr>
        <w:t>1.1 项目背景</w:t>
      </w:r>
    </w:p>
    <w:p>
      <w:pPr>
        <w:spacing w:before="0" w:after="120" w:line="331" w:lineRule="auto"/>
        <w:ind w:firstLine="420"/>
      </w:pPr>
      <w:r>
        <w:rPr>
          <w:rFonts w:ascii="Noto Sans CJK SC" w:hAnsi="Noto Sans CJK SC" w:eastAsia="Noto Sans CJK SC"/>
          <w:b w:val="0"/>
          <w:i w:val="0"/>
          <w:color w:val="222222"/>
          <w:sz w:val="21"/>
        </w:rPr>
        <w:t>当前预答辩、正式答辩、中期答辩的分组与排期工作依赖较多人工协调，涉及导师、专家、秘书、学生、校区、教室、职称、课程时间、不宜同组关系等多种约束，实际操作复杂，且在多轮调整后容易出现冲突遗漏、排期不均衡、导出格式不统一等问题。</w:t>
      </w:r>
    </w:p>
    <w:p>
      <w:pPr>
        <w:spacing w:before="0" w:after="120" w:line="331" w:lineRule="auto"/>
        <w:ind w:firstLine="420"/>
      </w:pPr>
      <w:r>
        <w:rPr>
          <w:rFonts w:ascii="Noto Sans CJK SC" w:hAnsi="Noto Sans CJK SC" w:eastAsia="Noto Sans CJK SC"/>
          <w:b w:val="0"/>
          <w:i w:val="0"/>
          <w:color w:val="222222"/>
          <w:sz w:val="21"/>
        </w:rPr>
        <w:t>为提高排组效率、减少人工协调成本、提升结果一致性，需要建设一套支持自动分组、自动排期、冲突检测、教室分配、人工微调和结果导出的业务系统。</w:t>
      </w:r>
    </w:p>
    <w:p>
      <w:pPr>
        <w:keepNext/>
        <w:spacing w:before="160" w:after="40"/>
      </w:pPr>
      <w:r>
        <w:rPr>
          <w:rFonts w:ascii="Noto Sans CJK SC" w:hAnsi="Noto Sans CJK SC" w:eastAsia="Noto Sans CJK SC"/>
          <w:b/>
          <w:i w:val="0"/>
          <w:color w:val="1F4E79"/>
          <w:sz w:val="25"/>
        </w:rPr>
        <w:t>1.2 产品目标</w:t>
      </w:r>
    </w:p>
    <w:p>
      <w:pPr>
        <w:pStyle w:val="ListBullet"/>
        <w:spacing w:before="0" w:after="60" w:line="300" w:lineRule="auto"/>
        <w:ind w:left="227"/>
      </w:pPr>
      <w:r>
        <w:rPr>
          <w:rFonts w:ascii="Noto Sans CJK SC" w:hAnsi="Noto Sans CJK SC" w:eastAsia="Noto Sans CJK SC"/>
          <w:b/>
          <w:i w:val="0"/>
          <w:color w:val="222222"/>
          <w:sz w:val="21"/>
        </w:rPr>
        <w:t>目标 1：</w:t>
      </w:r>
      <w:r>
        <w:rPr>
          <w:rFonts w:ascii="Noto Sans CJK SC" w:hAnsi="Noto Sans CJK SC" w:eastAsia="Noto Sans CJK SC"/>
          <w:b w:val="0"/>
          <w:i w:val="0"/>
          <w:color w:val="222222"/>
          <w:sz w:val="21"/>
        </w:rPr>
        <w:t>在统一规则下生成三类答辩安排，优先满足硬约束，在无法完全满足时尽量优化软约束。</w:t>
      </w:r>
    </w:p>
    <w:p>
      <w:pPr>
        <w:pStyle w:val="ListBullet"/>
        <w:spacing w:before="0" w:after="60" w:line="300" w:lineRule="auto"/>
        <w:ind w:left="227"/>
      </w:pPr>
      <w:r>
        <w:rPr>
          <w:rFonts w:ascii="Noto Sans CJK SC" w:hAnsi="Noto Sans CJK SC" w:eastAsia="Noto Sans CJK SC"/>
          <w:b/>
          <w:i w:val="0"/>
          <w:color w:val="222222"/>
          <w:sz w:val="21"/>
        </w:rPr>
        <w:t>目标 2：</w:t>
      </w:r>
      <w:r>
        <w:rPr>
          <w:rFonts w:ascii="Noto Sans CJK SC" w:hAnsi="Noto Sans CJK SC" w:eastAsia="Noto Sans CJK SC"/>
          <w:b w:val="0"/>
          <w:i w:val="0"/>
          <w:color w:val="222222"/>
          <w:sz w:val="21"/>
        </w:rPr>
        <w:t>支持管理员快速查看冲突、手工调整分组和排期，并保留业务可操作性。</w:t>
      </w:r>
    </w:p>
    <w:p>
      <w:pPr>
        <w:pStyle w:val="ListBullet"/>
        <w:spacing w:before="0" w:after="60" w:line="300" w:lineRule="auto"/>
        <w:ind w:left="227"/>
      </w:pPr>
      <w:r>
        <w:rPr>
          <w:rFonts w:ascii="Noto Sans CJK SC" w:hAnsi="Noto Sans CJK SC" w:eastAsia="Noto Sans CJK SC"/>
          <w:b/>
          <w:i w:val="0"/>
          <w:color w:val="222222"/>
          <w:sz w:val="21"/>
        </w:rPr>
        <w:t>目标 3：</w:t>
      </w:r>
      <w:r>
        <w:rPr>
          <w:rFonts w:ascii="Noto Sans CJK SC" w:hAnsi="Noto Sans CJK SC" w:eastAsia="Noto Sans CJK SC"/>
          <w:b w:val="0"/>
          <w:i w:val="0"/>
          <w:color w:val="222222"/>
          <w:sz w:val="21"/>
        </w:rPr>
        <w:t>支持自动分配教室、按关系上色导出结果，降低人工整理和二次排版成本。</w:t>
      </w:r>
    </w:p>
    <w:p>
      <w:pPr>
        <w:pStyle w:val="ListBullet"/>
        <w:spacing w:before="0" w:after="60" w:line="300" w:lineRule="auto"/>
        <w:ind w:left="227"/>
      </w:pPr>
      <w:r>
        <w:rPr>
          <w:rFonts w:ascii="Noto Sans CJK SC" w:hAnsi="Noto Sans CJK SC" w:eastAsia="Noto Sans CJK SC"/>
          <w:b/>
          <w:i w:val="0"/>
          <w:color w:val="222222"/>
          <w:sz w:val="21"/>
        </w:rPr>
        <w:t>目标 4：</w:t>
      </w:r>
      <w:r>
        <w:rPr>
          <w:rFonts w:ascii="Noto Sans CJK SC" w:hAnsi="Noto Sans CJK SC" w:eastAsia="Noto Sans CJK SC"/>
          <w:b w:val="0"/>
          <w:i w:val="0"/>
          <w:color w:val="222222"/>
          <w:sz w:val="21"/>
        </w:rPr>
        <w:t>让预答辩、正式答辩、中期答辩的规则具备可配置能力，便于不同轮次复用。</w:t>
      </w:r>
    </w:p>
    <w:p>
      <w:pPr>
        <w:keepNext/>
        <w:spacing w:before="160" w:after="40"/>
      </w:pPr>
      <w:r>
        <w:rPr>
          <w:rFonts w:ascii="Noto Sans CJK SC" w:hAnsi="Noto Sans CJK SC" w:eastAsia="Noto Sans CJK SC"/>
          <w:b/>
          <w:i w:val="0"/>
          <w:color w:val="1F4E79"/>
          <w:sz w:val="25"/>
        </w:rPr>
        <w:t>1.3 适用范围</w:t>
      </w:r>
    </w:p>
    <w:p>
      <w:pPr>
        <w:pStyle w:val="ListBullet"/>
        <w:spacing w:before="0" w:after="60" w:line="300" w:lineRule="auto"/>
        <w:ind w:left="227"/>
      </w:pPr>
      <w:r>
        <w:rPr>
          <w:rFonts w:ascii="Noto Sans CJK SC" w:hAnsi="Noto Sans CJK SC" w:eastAsia="Noto Sans CJK SC"/>
          <w:b w:val="0"/>
          <w:i w:val="0"/>
          <w:color w:val="222222"/>
          <w:sz w:val="21"/>
        </w:rPr>
        <w:t>适用于预答辩、正式答辩、中期答辩三类业务场景。</w:t>
      </w:r>
    </w:p>
    <w:p>
      <w:pPr>
        <w:pStyle w:val="ListBullet"/>
        <w:spacing w:before="0" w:after="60" w:line="300" w:lineRule="auto"/>
        <w:ind w:left="227"/>
      </w:pPr>
      <w:r>
        <w:rPr>
          <w:rFonts w:ascii="Noto Sans CJK SC" w:hAnsi="Noto Sans CJK SC" w:eastAsia="Noto Sans CJK SC"/>
          <w:b w:val="0"/>
          <w:i w:val="0"/>
          <w:color w:val="222222"/>
          <w:sz w:val="21"/>
        </w:rPr>
        <w:t>适用于创新港与兴庆两个校区。</w:t>
      </w:r>
    </w:p>
    <w:p>
      <w:pPr>
        <w:pStyle w:val="ListBullet"/>
        <w:spacing w:before="0" w:after="60" w:line="300" w:lineRule="auto"/>
        <w:ind w:left="227"/>
      </w:pPr>
      <w:r>
        <w:rPr>
          <w:rFonts w:ascii="Noto Sans CJK SC" w:hAnsi="Noto Sans CJK SC" w:eastAsia="Noto Sans CJK SC"/>
          <w:b w:val="0"/>
          <w:i w:val="0"/>
          <w:color w:val="222222"/>
          <w:sz w:val="21"/>
        </w:rPr>
        <w:t>适用于涉及学院导师、外院导师、专家、秘书、学生的统一排组排期工作。</w:t>
      </w:r>
    </w:p>
    <w:p>
      <w:pPr>
        <w:keepNext/>
        <w:spacing w:before="160" w:after="40"/>
      </w:pPr>
      <w:r>
        <w:rPr>
          <w:rFonts w:ascii="Noto Sans CJK SC" w:hAnsi="Noto Sans CJK SC" w:eastAsia="Noto Sans CJK SC"/>
          <w:b/>
          <w:i w:val="0"/>
          <w:color w:val="1F4E79"/>
          <w:sz w:val="25"/>
        </w:rPr>
        <w:t>1.4 非目标</w:t>
      </w:r>
    </w:p>
    <w:p>
      <w:pPr>
        <w:pStyle w:val="ListBullet"/>
        <w:spacing w:before="0" w:after="60" w:line="300" w:lineRule="auto"/>
        <w:ind w:left="227"/>
      </w:pPr>
      <w:r>
        <w:rPr>
          <w:rFonts w:ascii="Noto Sans CJK SC" w:hAnsi="Noto Sans CJK SC" w:eastAsia="Noto Sans CJK SC"/>
          <w:b w:val="0"/>
          <w:i w:val="0"/>
          <w:color w:val="222222"/>
          <w:sz w:val="21"/>
        </w:rPr>
        <w:t>本期不覆盖评分录入、评分汇总、成绩归档等评审后续流程。</w:t>
      </w:r>
    </w:p>
    <w:p>
      <w:pPr>
        <w:pStyle w:val="ListBullet"/>
        <w:spacing w:before="0" w:after="60" w:line="300" w:lineRule="auto"/>
        <w:ind w:left="227"/>
      </w:pPr>
      <w:r>
        <w:rPr>
          <w:rFonts w:ascii="Noto Sans CJK SC" w:hAnsi="Noto Sans CJK SC" w:eastAsia="Noto Sans CJK SC"/>
          <w:b w:val="0"/>
          <w:i w:val="0"/>
          <w:color w:val="222222"/>
          <w:sz w:val="21"/>
        </w:rPr>
        <w:t>本期不覆盖自动通知短信/邮件发送。</w:t>
      </w:r>
    </w:p>
    <w:p>
      <w:pPr>
        <w:pStyle w:val="ListBullet"/>
        <w:spacing w:before="0" w:after="60" w:line="300" w:lineRule="auto"/>
        <w:ind w:left="227"/>
      </w:pPr>
      <w:r>
        <w:rPr>
          <w:rFonts w:ascii="Noto Sans CJK SC" w:hAnsi="Noto Sans CJK SC" w:eastAsia="Noto Sans CJK SC"/>
          <w:b w:val="0"/>
          <w:i w:val="0"/>
          <w:color w:val="222222"/>
          <w:sz w:val="21"/>
        </w:rPr>
        <w:t>本期不覆盖跨院系审批流。</w:t>
      </w:r>
    </w:p>
    <w:p>
      <w:pPr>
        <w:keepNext/>
        <w:spacing w:before="160" w:after="40"/>
      </w:pPr>
      <w:r>
        <w:rPr>
          <w:rFonts w:ascii="Noto Sans CJK SC" w:hAnsi="Noto Sans CJK SC" w:eastAsia="Noto Sans CJK SC"/>
          <w:b/>
          <w:i w:val="0"/>
          <w:color w:val="1F4E79"/>
          <w:sz w:val="25"/>
        </w:rPr>
        <w:t>1.5 成功标准</w:t>
      </w:r>
    </w:p>
    <w:p>
      <w:pPr>
        <w:pStyle w:val="ListBullet"/>
        <w:spacing w:before="0" w:after="60" w:line="300" w:lineRule="auto"/>
        <w:ind w:left="227"/>
      </w:pPr>
      <w:r>
        <w:rPr>
          <w:rFonts w:ascii="Noto Sans CJK SC" w:hAnsi="Noto Sans CJK SC" w:eastAsia="Noto Sans CJK SC"/>
          <w:b w:val="0"/>
          <w:i w:val="0"/>
          <w:color w:val="222222"/>
          <w:sz w:val="21"/>
        </w:rPr>
        <w:t>系统能够在给定规则和基础数据完整的前提下输出可执行的分组排期结果。</w:t>
      </w:r>
    </w:p>
    <w:p>
      <w:pPr>
        <w:pStyle w:val="ListBullet"/>
        <w:spacing w:before="0" w:after="60" w:line="300" w:lineRule="auto"/>
        <w:ind w:left="227"/>
      </w:pPr>
      <w:r>
        <w:rPr>
          <w:rFonts w:ascii="Noto Sans CJK SC" w:hAnsi="Noto Sans CJK SC" w:eastAsia="Noto Sans CJK SC"/>
          <w:b w:val="0"/>
          <w:i w:val="0"/>
          <w:color w:val="222222"/>
          <w:sz w:val="21"/>
        </w:rPr>
        <w:t>系统能够自动识别并提示时间、课程、教室、回避、不宜同组等关键冲突。</w:t>
      </w:r>
    </w:p>
    <w:p>
      <w:pPr>
        <w:pStyle w:val="ListBullet"/>
        <w:spacing w:before="0" w:after="60" w:line="300" w:lineRule="auto"/>
        <w:ind w:left="227"/>
      </w:pPr>
      <w:r>
        <w:rPr>
          <w:rFonts w:ascii="Noto Sans CJK SC" w:hAnsi="Noto Sans CJK SC" w:eastAsia="Noto Sans CJK SC"/>
          <w:b w:val="0"/>
          <w:i w:val="0"/>
          <w:color w:val="222222"/>
          <w:sz w:val="21"/>
        </w:rPr>
        <w:t>管理员能够对默认结果进行人工调整，并重新校验。</w:t>
      </w:r>
    </w:p>
    <w:p>
      <w:pPr>
        <w:pStyle w:val="ListBullet"/>
        <w:spacing w:before="0" w:after="60" w:line="300" w:lineRule="auto"/>
        <w:ind w:left="227"/>
      </w:pPr>
      <w:r>
        <w:rPr>
          <w:rFonts w:ascii="Noto Sans CJK SC" w:hAnsi="Noto Sans CJK SC" w:eastAsia="Noto Sans CJK SC"/>
          <w:b w:val="0"/>
          <w:i w:val="0"/>
          <w:color w:val="222222"/>
          <w:sz w:val="21"/>
        </w:rPr>
        <w:t>系统能够导出结构完整、格式统一、关系颜色清晰的安排表。</w:t>
      </w:r>
    </w:p>
    <w:p>
      <w:pPr>
        <w:keepNext/>
        <w:spacing w:before="240" w:after="80"/>
      </w:pPr>
      <w:r>
        <w:rPr>
          <w:rFonts w:ascii="Noto Sans CJK SC" w:hAnsi="Noto Sans CJK SC" w:eastAsia="Noto Sans CJK SC"/>
          <w:b/>
          <w:i w:val="0"/>
          <w:color w:val="1F4E79"/>
          <w:sz w:val="30"/>
        </w:rPr>
        <w:t>2. 用户角色与业务对象</w:t>
      </w:r>
    </w:p>
    <w:p>
      <w:pPr>
        <w:keepNext/>
        <w:spacing w:before="160" w:after="40"/>
      </w:pPr>
      <w:r>
        <w:rPr>
          <w:rFonts w:ascii="Noto Sans CJK SC" w:hAnsi="Noto Sans CJK SC" w:eastAsia="Noto Sans CJK SC"/>
          <w:b/>
          <w:i w:val="0"/>
          <w:color w:val="1F4E79"/>
          <w:sz w:val="25"/>
        </w:rPr>
        <w:t>2.1 角色定义</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247"/>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角色</w:t>
            </w:r>
          </w:p>
        </w:tc>
        <w:tc>
          <w:tcPr>
            <w:tcW w:type="dxa" w:w="3515"/>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说明</w:t>
            </w:r>
          </w:p>
        </w:tc>
        <w:tc>
          <w:tcPr>
            <w:tcW w:type="dxa" w:w="3969"/>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系统内核心作用</w:t>
            </w:r>
          </w:p>
        </w:tc>
      </w:tr>
      <w:tr>
        <w:tc>
          <w:tcPr>
            <w:tcW w:type="dxa" w:w="124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管理员</w:t>
            </w:r>
          </w:p>
        </w:tc>
        <w:tc>
          <w:tcPr>
            <w:tcW w:type="dxa" w:w="3515"/>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负责维护基础数据、配置规则、发起排组、调整结果、导出安排表</w:t>
            </w:r>
          </w:p>
        </w:tc>
        <w:tc>
          <w:tcPr>
            <w:tcW w:type="dxa" w:w="396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系统主操作人</w:t>
            </w:r>
          </w:p>
        </w:tc>
      </w:tr>
      <w:tr>
        <w:tc>
          <w:tcPr>
            <w:tcW w:type="dxa" w:w="124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专家</w:t>
            </w:r>
          </w:p>
        </w:tc>
        <w:tc>
          <w:tcPr>
            <w:tcW w:type="dxa" w:w="3515"/>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参与预答辩、正式答辩、中期答辩评审</w:t>
            </w:r>
          </w:p>
        </w:tc>
        <w:tc>
          <w:tcPr>
            <w:tcW w:type="dxa" w:w="396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占用时间资源、承担组内评审职责</w:t>
            </w:r>
          </w:p>
        </w:tc>
      </w:tr>
      <w:tr>
        <w:tc>
          <w:tcPr>
            <w:tcW w:type="dxa" w:w="124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导师</w:t>
            </w:r>
          </w:p>
        </w:tc>
        <w:tc>
          <w:tcPr>
            <w:tcW w:type="dxa" w:w="3515"/>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学生对应导师，含学院导师与外院导师</w:t>
            </w:r>
          </w:p>
        </w:tc>
        <w:tc>
          <w:tcPr>
            <w:tcW w:type="dxa" w:w="396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影响学生入组、回避规则和外院导师集中安排</w:t>
            </w:r>
          </w:p>
        </w:tc>
      </w:tr>
      <w:tr>
        <w:tc>
          <w:tcPr>
            <w:tcW w:type="dxa" w:w="124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秘书</w:t>
            </w:r>
          </w:p>
        </w:tc>
        <w:tc>
          <w:tcPr>
            <w:tcW w:type="dxa" w:w="3515"/>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承担材料、组织、记录与反馈职责</w:t>
            </w:r>
          </w:p>
        </w:tc>
        <w:tc>
          <w:tcPr>
            <w:tcW w:type="dxa" w:w="396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占用时间资源，并与学生形成跟随关系</w:t>
            </w:r>
          </w:p>
        </w:tc>
      </w:tr>
      <w:tr>
        <w:tc>
          <w:tcPr>
            <w:tcW w:type="dxa" w:w="124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学生</w:t>
            </w:r>
          </w:p>
        </w:tc>
        <w:tc>
          <w:tcPr>
            <w:tcW w:type="dxa" w:w="3515"/>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参与对应答辩环节</w:t>
            </w:r>
          </w:p>
        </w:tc>
        <w:tc>
          <w:tcPr>
            <w:tcW w:type="dxa" w:w="396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作为分组和排期的核心对象</w:t>
            </w:r>
          </w:p>
        </w:tc>
      </w:tr>
    </w:tbl>
    <w:p/>
    <w:p>
      <w:pPr>
        <w:keepNext/>
        <w:spacing w:before="160" w:after="40"/>
      </w:pPr>
      <w:r>
        <w:rPr>
          <w:rFonts w:ascii="Noto Sans CJK SC" w:hAnsi="Noto Sans CJK SC" w:eastAsia="Noto Sans CJK SC"/>
          <w:b/>
          <w:i w:val="0"/>
          <w:color w:val="1F4E79"/>
          <w:sz w:val="25"/>
        </w:rPr>
        <w:t>2.2 基础数据对象</w:t>
      </w:r>
    </w:p>
    <w:tbl>
      <w:tblPr>
        <w:tblStyle w:val="TableGrid"/>
        <w:tblW w:type="auto" w:w="0"/>
        <w:jc w:val="center"/>
        <w:tblLayout w:type="fixed"/>
        <w:tblLook w:firstColumn="1" w:firstRow="1" w:lastColumn="0" w:lastRow="0" w:noHBand="0" w:noVBand="1" w:val="04A0"/>
      </w:tblPr>
      <w:tblGrid>
        <w:gridCol w:w="4816"/>
        <w:gridCol w:w="4816"/>
      </w:tblGrid>
      <w:tr>
        <w:tc>
          <w:tcPr>
            <w:tcW w:type="dxa" w:w="1701"/>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对象</w:t>
            </w:r>
          </w:p>
        </w:tc>
        <w:tc>
          <w:tcPr>
            <w:tcW w:type="dxa" w:w="7030"/>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关键字段</w:t>
            </w:r>
          </w:p>
        </w:tc>
      </w:tr>
      <w:tr>
        <w:tc>
          <w:tcPr>
            <w:tcW w:type="dxa" w:w="170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教师/专家</w:t>
            </w:r>
          </w:p>
        </w:tc>
        <w:tc>
          <w:tcPr>
            <w:tcW w:type="dxa" w:w="703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姓名、所属学院、是否外院、职称、是否可担任主席/组长/秘书、课表、可用时间、校区偏好、不宜同组名单</w:t>
            </w:r>
          </w:p>
        </w:tc>
      </w:tr>
      <w:tr>
        <w:tc>
          <w:tcPr>
            <w:tcW w:type="dxa" w:w="170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学生</w:t>
            </w:r>
          </w:p>
        </w:tc>
        <w:tc>
          <w:tcPr>
            <w:tcW w:type="dxa" w:w="703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姓名、学生类型（学硕/专硕）、所属导师、所属校区、参与环节、当前分组、对应秘书</w:t>
            </w:r>
          </w:p>
        </w:tc>
      </w:tr>
      <w:tr>
        <w:tc>
          <w:tcPr>
            <w:tcW w:type="dxa" w:w="170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导师关系</w:t>
            </w:r>
          </w:p>
        </w:tc>
        <w:tc>
          <w:tcPr>
            <w:tcW w:type="dxa" w:w="703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导师类型（学院/外院）、导师与学生关系、是否受回避规则影响</w:t>
            </w:r>
          </w:p>
        </w:tc>
      </w:tr>
      <w:tr>
        <w:tc>
          <w:tcPr>
            <w:tcW w:type="dxa" w:w="170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秘书关系</w:t>
            </w:r>
          </w:p>
        </w:tc>
        <w:tc>
          <w:tcPr>
            <w:tcW w:type="dxa" w:w="703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秘书与学生的对应关系、是否默认沿用到正式答辩、是否允许人工改动</w:t>
            </w:r>
          </w:p>
        </w:tc>
      </w:tr>
      <w:tr>
        <w:tc>
          <w:tcPr>
            <w:tcW w:type="dxa" w:w="170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场地资源</w:t>
            </w:r>
          </w:p>
        </w:tc>
        <w:tc>
          <w:tcPr>
            <w:tcW w:type="dxa" w:w="703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校区、教室名称/编号、教室可用时间、教室容量（如后续需要）</w:t>
            </w:r>
          </w:p>
        </w:tc>
      </w:tr>
      <w:tr>
        <w:tc>
          <w:tcPr>
            <w:tcW w:type="dxa" w:w="170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任务参数</w:t>
            </w:r>
          </w:p>
        </w:tc>
        <w:tc>
          <w:tcPr>
            <w:tcW w:type="dxa" w:w="703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开始日期、是否避开周末、是否避开法定节假日、是否回避导师、人数配置等</w:t>
            </w:r>
          </w:p>
        </w:tc>
      </w:tr>
    </w:tbl>
    <w:p/>
    <w:p>
      <w:pPr>
        <w:keepNext/>
        <w:spacing w:before="160" w:after="40"/>
      </w:pPr>
      <w:r>
        <w:rPr>
          <w:rFonts w:ascii="Noto Sans CJK SC" w:hAnsi="Noto Sans CJK SC" w:eastAsia="Noto Sans CJK SC"/>
          <w:b/>
          <w:i w:val="0"/>
          <w:color w:val="1F4E79"/>
          <w:sz w:val="25"/>
        </w:rPr>
        <w:t>2.3 角色资格规则</w:t>
      </w:r>
    </w:p>
    <w:p>
      <w:pPr>
        <w:pStyle w:val="ListBullet"/>
        <w:spacing w:before="0" w:after="60" w:line="300" w:lineRule="auto"/>
        <w:ind w:left="227"/>
      </w:pPr>
      <w:r>
        <w:rPr>
          <w:rFonts w:ascii="Noto Sans CJK SC" w:hAnsi="Noto Sans CJK SC" w:eastAsia="Noto Sans CJK SC"/>
          <w:b w:val="0"/>
          <w:i w:val="0"/>
          <w:color w:val="222222"/>
          <w:sz w:val="21"/>
        </w:rPr>
        <w:t>正式答辩主席必须为正高，院内老师优先。</w:t>
      </w:r>
    </w:p>
    <w:p>
      <w:pPr>
        <w:pStyle w:val="ListBullet"/>
        <w:spacing w:before="0" w:after="60" w:line="300" w:lineRule="auto"/>
        <w:ind w:left="227"/>
      </w:pPr>
      <w:r>
        <w:rPr>
          <w:rFonts w:ascii="Noto Sans CJK SC" w:hAnsi="Noto Sans CJK SC" w:eastAsia="Noto Sans CJK SC"/>
          <w:b w:val="0"/>
          <w:i w:val="0"/>
          <w:color w:val="222222"/>
          <w:sz w:val="21"/>
        </w:rPr>
        <w:t>预答辩与中期答辩组长至少为副高，正高优先。</w:t>
      </w:r>
    </w:p>
    <w:p>
      <w:pPr>
        <w:pStyle w:val="ListBullet"/>
        <w:spacing w:before="0" w:after="60" w:line="300" w:lineRule="auto"/>
        <w:ind w:left="227"/>
      </w:pPr>
      <w:r>
        <w:rPr>
          <w:rFonts w:ascii="Noto Sans CJK SC" w:hAnsi="Noto Sans CJK SC" w:eastAsia="Noto Sans CJK SC"/>
          <w:b w:val="0"/>
          <w:i w:val="0"/>
          <w:color w:val="222222"/>
          <w:sz w:val="21"/>
        </w:rPr>
        <w:t>秘书需为讲师及以上。</w:t>
      </w:r>
    </w:p>
    <w:p>
      <w:pPr>
        <w:pStyle w:val="ListBullet"/>
        <w:spacing w:before="0" w:after="60" w:line="300" w:lineRule="auto"/>
        <w:ind w:left="227"/>
      </w:pPr>
      <w:r>
        <w:rPr>
          <w:rFonts w:ascii="Noto Sans CJK SC" w:hAnsi="Noto Sans CJK SC" w:eastAsia="Noto Sans CJK SC"/>
          <w:b w:val="0"/>
          <w:i w:val="0"/>
          <w:color w:val="222222"/>
          <w:sz w:val="21"/>
        </w:rPr>
        <w:t>正式答辩允许“无学生导师”的专家参与评审。</w:t>
      </w:r>
    </w:p>
    <w:p>
      <w:pPr>
        <w:keepNext/>
        <w:spacing w:before="240" w:after="80"/>
      </w:pPr>
      <w:r>
        <w:rPr>
          <w:rFonts w:ascii="Noto Sans CJK SC" w:hAnsi="Noto Sans CJK SC" w:eastAsia="Noto Sans CJK SC"/>
          <w:b/>
          <w:i w:val="0"/>
          <w:color w:val="1F4E79"/>
          <w:sz w:val="30"/>
        </w:rPr>
        <w:t>3. 业务规则总览</w:t>
      </w:r>
    </w:p>
    <w:p>
      <w:pPr>
        <w:keepNext/>
        <w:spacing w:before="160" w:after="40"/>
      </w:pPr>
      <w:r>
        <w:rPr>
          <w:rFonts w:ascii="Noto Sans CJK SC" w:hAnsi="Noto Sans CJK SC" w:eastAsia="Noto Sans CJK SC"/>
          <w:b/>
          <w:i w:val="0"/>
          <w:color w:val="1F4E79"/>
          <w:sz w:val="25"/>
        </w:rPr>
        <w:t>3.1 规则分层</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417"/>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类型</w:t>
            </w:r>
          </w:p>
        </w:tc>
        <w:tc>
          <w:tcPr>
            <w:tcW w:type="dxa" w:w="2494"/>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说明</w:t>
            </w:r>
          </w:p>
        </w:tc>
        <w:tc>
          <w:tcPr>
            <w:tcW w:type="dxa" w:w="4819"/>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典型规则</w:t>
            </w:r>
          </w:p>
        </w:tc>
      </w:tr>
      <w:tr>
        <w:tc>
          <w:tcPr>
            <w:tcW w:type="dxa" w:w="141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硬约束</w:t>
            </w:r>
          </w:p>
        </w:tc>
        <w:tc>
          <w:tcPr>
            <w:tcW w:type="dxa" w:w="249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必须优先满足；若无法满足，则不应直接生成最终排期</w:t>
            </w:r>
          </w:p>
        </w:tc>
        <w:tc>
          <w:tcPr>
            <w:tcW w:type="dxa" w:w="481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时间不冲突、课程不冲突、职称满足、人数满足、不宜同组、同一教室同一时段仅一组、导师在场/回避规则等</w:t>
            </w:r>
          </w:p>
        </w:tc>
      </w:tr>
      <w:tr>
        <w:tc>
          <w:tcPr>
            <w:tcW w:type="dxa" w:w="141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软约束</w:t>
            </w:r>
          </w:p>
        </w:tc>
        <w:tc>
          <w:tcPr>
            <w:tcW w:type="dxa" w:w="249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在可行解基础上尽量优化</w:t>
            </w:r>
          </w:p>
        </w:tc>
        <w:tc>
          <w:tcPr>
            <w:tcW w:type="dxa" w:w="481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正高优先、外院导师尽量少跑、导师尽量单校区、人数尽量均衡、学硕优先排期等</w:t>
            </w:r>
          </w:p>
        </w:tc>
      </w:tr>
    </w:tbl>
    <w:p/>
    <w:p>
      <w:pPr>
        <w:keepNext/>
        <w:spacing w:before="160" w:after="40"/>
      </w:pPr>
      <w:r>
        <w:rPr>
          <w:rFonts w:ascii="Noto Sans CJK SC" w:hAnsi="Noto Sans CJK SC" w:eastAsia="Noto Sans CJK SC"/>
          <w:b/>
          <w:i w:val="0"/>
          <w:color w:val="1F4E79"/>
          <w:sz w:val="25"/>
        </w:rPr>
        <w:t>3.2 核心硬约束</w:t>
      </w:r>
    </w:p>
    <w:p>
      <w:pPr>
        <w:pStyle w:val="ListNumber"/>
        <w:spacing w:before="0" w:after="60" w:line="300" w:lineRule="auto"/>
      </w:pPr>
      <w:r>
        <w:rPr>
          <w:rFonts w:ascii="Noto Sans CJK SC" w:hAnsi="Noto Sans CJK SC" w:eastAsia="Noto Sans CJK SC"/>
          <w:b w:val="0"/>
          <w:i w:val="0"/>
          <w:color w:val="222222"/>
          <w:sz w:val="21"/>
        </w:rPr>
        <w:t>教师、专家、秘书不能与课程时间冲突。</w:t>
      </w:r>
    </w:p>
    <w:p>
      <w:pPr>
        <w:pStyle w:val="ListNumber"/>
        <w:spacing w:before="0" w:after="60" w:line="300" w:lineRule="auto"/>
      </w:pPr>
      <w:r>
        <w:rPr>
          <w:rFonts w:ascii="Noto Sans CJK SC" w:hAnsi="Noto Sans CJK SC" w:eastAsia="Noto Sans CJK SC"/>
          <w:b w:val="0"/>
          <w:i w:val="0"/>
          <w:color w:val="222222"/>
          <w:sz w:val="21"/>
        </w:rPr>
        <w:t>同一老师/专家/秘书在同一时间不能出现在多个组。</w:t>
      </w:r>
    </w:p>
    <w:p>
      <w:pPr>
        <w:pStyle w:val="ListNumber"/>
        <w:spacing w:before="0" w:after="60" w:line="300" w:lineRule="auto"/>
      </w:pPr>
      <w:r>
        <w:rPr>
          <w:rFonts w:ascii="Noto Sans CJK SC" w:hAnsi="Noto Sans CJK SC" w:eastAsia="Noto Sans CJK SC"/>
          <w:b w:val="0"/>
          <w:i w:val="0"/>
          <w:color w:val="222222"/>
          <w:sz w:val="21"/>
        </w:rPr>
        <w:t>各类角色资格必须满足职称规则。</w:t>
      </w:r>
    </w:p>
    <w:p>
      <w:pPr>
        <w:pStyle w:val="ListNumber"/>
        <w:spacing w:before="0" w:after="60" w:line="300" w:lineRule="auto"/>
      </w:pPr>
      <w:r>
        <w:rPr>
          <w:rFonts w:ascii="Noto Sans CJK SC" w:hAnsi="Noto Sans CJK SC" w:eastAsia="Noto Sans CJK SC"/>
          <w:b w:val="0"/>
          <w:i w:val="0"/>
          <w:color w:val="222222"/>
          <w:sz w:val="21"/>
        </w:rPr>
        <w:t>每组人数必须符合对应答辩类型的配置要求。</w:t>
      </w:r>
    </w:p>
    <w:p>
      <w:pPr>
        <w:pStyle w:val="ListNumber"/>
        <w:spacing w:before="0" w:after="60" w:line="300" w:lineRule="auto"/>
      </w:pPr>
      <w:r>
        <w:rPr>
          <w:rFonts w:ascii="Noto Sans CJK SC" w:hAnsi="Noto Sans CJK SC" w:eastAsia="Noto Sans CJK SC"/>
          <w:b w:val="0"/>
          <w:i w:val="0"/>
          <w:color w:val="222222"/>
          <w:sz w:val="21"/>
        </w:rPr>
        <w:t>不宜同组的老师不能进入同一组。</w:t>
      </w:r>
    </w:p>
    <w:p>
      <w:pPr>
        <w:pStyle w:val="ListNumber"/>
        <w:spacing w:before="0" w:after="60" w:line="300" w:lineRule="auto"/>
      </w:pPr>
      <w:r>
        <w:rPr>
          <w:rFonts w:ascii="Noto Sans CJK SC" w:hAnsi="Noto Sans CJK SC" w:eastAsia="Noto Sans CJK SC"/>
          <w:b w:val="0"/>
          <w:i w:val="0"/>
          <w:color w:val="222222"/>
          <w:sz w:val="21"/>
        </w:rPr>
        <w:t>同一时间段每个教室只能安排一个组。</w:t>
      </w:r>
    </w:p>
    <w:p>
      <w:pPr>
        <w:pStyle w:val="ListNumber"/>
        <w:spacing w:before="0" w:after="60" w:line="300" w:lineRule="auto"/>
      </w:pPr>
      <w:r>
        <w:rPr>
          <w:rFonts w:ascii="Noto Sans CJK SC" w:hAnsi="Noto Sans CJK SC" w:eastAsia="Noto Sans CJK SC"/>
          <w:b w:val="0"/>
          <w:i w:val="0"/>
          <w:color w:val="222222"/>
          <w:sz w:val="21"/>
        </w:rPr>
        <w:t>系统需要自动分配教室。</w:t>
      </w:r>
    </w:p>
    <w:p>
      <w:pPr>
        <w:pStyle w:val="ListNumber"/>
        <w:spacing w:before="0" w:after="60" w:line="300" w:lineRule="auto"/>
      </w:pPr>
      <w:r>
        <w:rPr>
          <w:rFonts w:ascii="Noto Sans CJK SC" w:hAnsi="Noto Sans CJK SC" w:eastAsia="Noto Sans CJK SC"/>
          <w:b w:val="0"/>
          <w:i w:val="0"/>
          <w:color w:val="222222"/>
          <w:sz w:val="21"/>
        </w:rPr>
        <w:t>预答辩与中期答辩中，学生必须进入自己导师在场的组。</w:t>
      </w:r>
    </w:p>
    <w:p>
      <w:pPr>
        <w:pStyle w:val="ListNumber"/>
        <w:spacing w:before="0" w:after="60" w:line="300" w:lineRule="auto"/>
      </w:pPr>
      <w:r>
        <w:rPr>
          <w:rFonts w:ascii="Noto Sans CJK SC" w:hAnsi="Noto Sans CJK SC" w:eastAsia="Noto Sans CJK SC"/>
          <w:b w:val="0"/>
          <w:i w:val="0"/>
          <w:color w:val="222222"/>
          <w:sz w:val="21"/>
        </w:rPr>
        <w:t>导师回避开关开启时，正式答辩按回避规则执行；关闭时，允许师生同组。</w:t>
      </w:r>
    </w:p>
    <w:p>
      <w:pPr>
        <w:pStyle w:val="ListNumber"/>
        <w:spacing w:before="0" w:after="60" w:line="300" w:lineRule="auto"/>
      </w:pPr>
      <w:r>
        <w:rPr>
          <w:rFonts w:ascii="Noto Sans CJK SC" w:hAnsi="Noto Sans CJK SC" w:eastAsia="Noto Sans CJK SC"/>
          <w:b w:val="0"/>
          <w:i w:val="0"/>
          <w:color w:val="222222"/>
          <w:sz w:val="21"/>
        </w:rPr>
        <w:t>秘书的学生不能在秘书所在组。</w:t>
      </w:r>
    </w:p>
    <w:p>
      <w:pPr>
        <w:keepNext/>
        <w:spacing w:before="160" w:after="40"/>
      </w:pPr>
      <w:r>
        <w:rPr>
          <w:rFonts w:ascii="Noto Sans CJK SC" w:hAnsi="Noto Sans CJK SC" w:eastAsia="Noto Sans CJK SC"/>
          <w:b/>
          <w:i w:val="0"/>
          <w:color w:val="1F4E79"/>
          <w:sz w:val="25"/>
        </w:rPr>
        <w:t>3.3 软约束与优化方向</w:t>
      </w:r>
    </w:p>
    <w:p>
      <w:pPr>
        <w:pStyle w:val="ListBullet"/>
        <w:spacing w:before="0" w:after="60" w:line="300" w:lineRule="auto"/>
        <w:ind w:left="227"/>
      </w:pPr>
      <w:r>
        <w:rPr>
          <w:rFonts w:ascii="Noto Sans CJK SC" w:hAnsi="Noto Sans CJK SC" w:eastAsia="Noto Sans CJK SC"/>
          <w:b w:val="0"/>
          <w:i w:val="0"/>
          <w:color w:val="222222"/>
          <w:sz w:val="21"/>
        </w:rPr>
        <w:t>预答辩和中期答辩组长优先选择正高。</w:t>
      </w:r>
    </w:p>
    <w:p>
      <w:pPr>
        <w:pStyle w:val="ListBullet"/>
        <w:spacing w:before="0" w:after="60" w:line="300" w:lineRule="auto"/>
        <w:ind w:left="227"/>
      </w:pPr>
      <w:r>
        <w:rPr>
          <w:rFonts w:ascii="Noto Sans CJK SC" w:hAnsi="Noto Sans CJK SC" w:eastAsia="Noto Sans CJK SC"/>
          <w:b w:val="0"/>
          <w:i w:val="0"/>
          <w:color w:val="222222"/>
          <w:sz w:val="21"/>
        </w:rPr>
        <w:t>导师一天尽量只在一个校区，避免跨校区来回跑动。</w:t>
      </w:r>
    </w:p>
    <w:p>
      <w:pPr>
        <w:pStyle w:val="ListBullet"/>
        <w:spacing w:before="0" w:after="60" w:line="300" w:lineRule="auto"/>
        <w:ind w:left="227"/>
      </w:pPr>
      <w:r>
        <w:rPr>
          <w:rFonts w:ascii="Noto Sans CJK SC" w:hAnsi="Noto Sans CJK SC" w:eastAsia="Noto Sans CJK SC"/>
          <w:b w:val="0"/>
          <w:i w:val="0"/>
          <w:color w:val="222222"/>
          <w:sz w:val="21"/>
        </w:rPr>
        <w:t>外院导师尽量少跑：学生少于 3 人集中为一组，多于 3 人集中为两组。</w:t>
      </w:r>
    </w:p>
    <w:p>
      <w:pPr>
        <w:pStyle w:val="ListBullet"/>
        <w:spacing w:before="0" w:after="60" w:line="300" w:lineRule="auto"/>
        <w:ind w:left="227"/>
      </w:pPr>
      <w:r>
        <w:rPr>
          <w:rFonts w:ascii="Noto Sans CJK SC" w:hAnsi="Noto Sans CJK SC" w:eastAsia="Noto Sans CJK SC"/>
          <w:b w:val="0"/>
          <w:i w:val="0"/>
          <w:color w:val="222222"/>
          <w:sz w:val="21"/>
        </w:rPr>
        <w:t>同类答辩中，各组学生数量尽量均衡。</w:t>
      </w:r>
    </w:p>
    <w:p>
      <w:pPr>
        <w:pStyle w:val="ListBullet"/>
        <w:spacing w:before="0" w:after="60" w:line="300" w:lineRule="auto"/>
        <w:ind w:left="227"/>
      </w:pPr>
      <w:r>
        <w:rPr>
          <w:rFonts w:ascii="Noto Sans CJK SC" w:hAnsi="Noto Sans CJK SC" w:eastAsia="Noto Sans CJK SC"/>
          <w:b w:val="0"/>
          <w:i w:val="0"/>
          <w:color w:val="222222"/>
          <w:sz w:val="21"/>
        </w:rPr>
        <w:t>在老师时间确定后，优先安排学硕，再安排专硕。</w:t>
      </w:r>
    </w:p>
    <w:tbl>
      <w:tblPr>
        <w:tblW w:type="auto" w:w="0"/>
        <w:jc w:val="center"/>
        <w:tblLayout w:type="fixed"/>
        <w:tblLook w:firstColumn="1" w:firstRow="1" w:lastColumn="0" w:lastRow="0" w:noHBand="0" w:noVBand="1" w:val="04A0"/>
      </w:tblPr>
      <w:tblGrid>
        <w:gridCol w:w="9632"/>
      </w:tblGrid>
      <w:tr>
        <w:tc>
          <w:tcPr>
            <w:tcW w:type="dxa" w:w="9184"/>
            <w:shd w:fill="F4F8FB"/>
            <w:tcMar>
              <w:top w:w="120" w:type="dxa"/>
              <w:start w:w="180" w:type="dxa"/>
              <w:bottom w:w="120" w:type="dxa"/>
              <w:end w:w="180" w:type="dxa"/>
            </w:tcMar>
          </w:tcPr>
          <w:p>
            <w:pPr>
              <w:spacing w:before="0" w:after="60" w:line="276" w:lineRule="auto"/>
              <w:jc w:val="left"/>
            </w:pPr>
            <w:r>
              <w:rPr>
                <w:rFonts w:ascii="Noto Sans CJK SC" w:hAnsi="Noto Sans CJK SC" w:eastAsia="Noto Sans CJK SC"/>
                <w:b/>
                <w:i w:val="0"/>
                <w:color w:val="1F4E79"/>
                <w:sz w:val="21"/>
              </w:rPr>
              <w:t>实现建议</w:t>
            </w:r>
          </w:p>
          <w:p>
            <w:pPr>
              <w:spacing w:before="0" w:after="0" w:line="312" w:lineRule="auto"/>
            </w:pPr>
            <w:r>
              <w:rPr>
                <w:rFonts w:ascii="Noto Sans CJK SC" w:hAnsi="Noto Sans CJK SC" w:eastAsia="Noto Sans CJK SC"/>
                <w:b w:val="0"/>
                <w:i w:val="0"/>
                <w:color w:val="222222"/>
                <w:sz w:val="20"/>
              </w:rPr>
              <w:t>排期引擎应先求满足硬约束的可行解，再对软约束进行打分优化。若最终仅能输出“存在例外”的方案，系统需显式标记未满足项，供管理员决定是否放行。</w:t>
            </w:r>
          </w:p>
        </w:tc>
      </w:tr>
    </w:tbl>
    <w:p/>
    <w:p>
      <w:pPr>
        <w:keepNext/>
        <w:spacing w:before="240" w:after="80"/>
      </w:pPr>
      <w:r>
        <w:rPr>
          <w:rFonts w:ascii="Noto Sans CJK SC" w:hAnsi="Noto Sans CJK SC" w:eastAsia="Noto Sans CJK SC"/>
          <w:b/>
          <w:i w:val="0"/>
          <w:color w:val="1F4E79"/>
          <w:sz w:val="30"/>
        </w:rPr>
        <w:t>4. 业务流程</w:t>
      </w:r>
    </w:p>
    <w:p>
      <w:pPr>
        <w:keepNext/>
        <w:spacing w:before="160" w:after="40"/>
      </w:pPr>
      <w:r>
        <w:rPr>
          <w:rFonts w:ascii="Noto Sans CJK SC" w:hAnsi="Noto Sans CJK SC" w:eastAsia="Noto Sans CJK SC"/>
          <w:b/>
          <w:i w:val="0"/>
          <w:color w:val="1F4E79"/>
          <w:sz w:val="25"/>
        </w:rPr>
        <w:t>4.1 总体流程</w:t>
      </w:r>
    </w:p>
    <w:p>
      <w:pPr>
        <w:pStyle w:val="ListNumber"/>
        <w:spacing w:before="0" w:after="60" w:line="300" w:lineRule="auto"/>
      </w:pPr>
      <w:r>
        <w:rPr>
          <w:rFonts w:ascii="Noto Sans CJK SC" w:hAnsi="Noto Sans CJK SC" w:eastAsia="Noto Sans CJK SC"/>
          <w:b w:val="0"/>
          <w:i w:val="0"/>
          <w:color w:val="222222"/>
          <w:sz w:val="21"/>
        </w:rPr>
        <w:t>管理员维护基础数据：教师/专家、学生、导师关系、秘书关系、教室与任务参数。</w:t>
      </w:r>
    </w:p>
    <w:p>
      <w:pPr>
        <w:pStyle w:val="ListNumber"/>
        <w:spacing w:before="0" w:after="60" w:line="300" w:lineRule="auto"/>
      </w:pPr>
      <w:r>
        <w:rPr>
          <w:rFonts w:ascii="Noto Sans CJK SC" w:hAnsi="Noto Sans CJK SC" w:eastAsia="Noto Sans CJK SC"/>
          <w:b w:val="0"/>
          <w:i w:val="0"/>
          <w:color w:val="222222"/>
          <w:sz w:val="21"/>
        </w:rPr>
        <w:t>管理员配置本轮规则：开始日期、是否避开周末和节假日、是否回避导师、人数规则等。</w:t>
      </w:r>
    </w:p>
    <w:p>
      <w:pPr>
        <w:pStyle w:val="ListNumber"/>
        <w:spacing w:before="0" w:after="60" w:line="300" w:lineRule="auto"/>
      </w:pPr>
      <w:r>
        <w:rPr>
          <w:rFonts w:ascii="Noto Sans CJK SC" w:hAnsi="Noto Sans CJK SC" w:eastAsia="Noto Sans CJK SC"/>
          <w:b w:val="0"/>
          <w:i w:val="0"/>
          <w:color w:val="222222"/>
          <w:sz w:val="21"/>
        </w:rPr>
        <w:t>系统基于约束自动生成分组、时间和教室安排。</w:t>
      </w:r>
    </w:p>
    <w:p>
      <w:pPr>
        <w:pStyle w:val="ListNumber"/>
        <w:spacing w:before="0" w:after="60" w:line="300" w:lineRule="auto"/>
      </w:pPr>
      <w:r>
        <w:rPr>
          <w:rFonts w:ascii="Noto Sans CJK SC" w:hAnsi="Noto Sans CJK SC" w:eastAsia="Noto Sans CJK SC"/>
          <w:b w:val="0"/>
          <w:i w:val="0"/>
          <w:color w:val="222222"/>
          <w:sz w:val="21"/>
        </w:rPr>
        <w:t>系统输出冲突列表、规则例外列表和优化建议。</w:t>
      </w:r>
    </w:p>
    <w:p>
      <w:pPr>
        <w:pStyle w:val="ListNumber"/>
        <w:spacing w:before="0" w:after="60" w:line="300" w:lineRule="auto"/>
      </w:pPr>
      <w:r>
        <w:rPr>
          <w:rFonts w:ascii="Noto Sans CJK SC" w:hAnsi="Noto Sans CJK SC" w:eastAsia="Noto Sans CJK SC"/>
          <w:b w:val="0"/>
          <w:i w:val="0"/>
          <w:color w:val="222222"/>
          <w:sz w:val="21"/>
        </w:rPr>
        <w:t>管理员对结果进行人工调整。</w:t>
      </w:r>
    </w:p>
    <w:p>
      <w:pPr>
        <w:pStyle w:val="ListNumber"/>
        <w:spacing w:before="0" w:after="60" w:line="300" w:lineRule="auto"/>
      </w:pPr>
      <w:r>
        <w:rPr>
          <w:rFonts w:ascii="Noto Sans CJK SC" w:hAnsi="Noto Sans CJK SC" w:eastAsia="Noto Sans CJK SC"/>
          <w:b w:val="0"/>
          <w:i w:val="0"/>
          <w:color w:val="222222"/>
          <w:sz w:val="21"/>
        </w:rPr>
        <w:t>系统重新校验冲突。</w:t>
      </w:r>
    </w:p>
    <w:p>
      <w:pPr>
        <w:pStyle w:val="ListNumber"/>
        <w:spacing w:before="0" w:after="60" w:line="300" w:lineRule="auto"/>
      </w:pPr>
      <w:r>
        <w:rPr>
          <w:rFonts w:ascii="Noto Sans CJK SC" w:hAnsi="Noto Sans CJK SC" w:eastAsia="Noto Sans CJK SC"/>
          <w:b w:val="0"/>
          <w:i w:val="0"/>
          <w:color w:val="222222"/>
          <w:sz w:val="21"/>
        </w:rPr>
        <w:t>管理员确认并导出安排表。</w:t>
      </w:r>
    </w:p>
    <w:p>
      <w:pPr>
        <w:keepNext/>
        <w:spacing w:before="160" w:after="40"/>
      </w:pPr>
      <w:r>
        <w:rPr>
          <w:rFonts w:ascii="Noto Sans CJK SC" w:hAnsi="Noto Sans CJK SC" w:eastAsia="Noto Sans CJK SC"/>
          <w:b/>
          <w:i w:val="0"/>
          <w:color w:val="1F4E79"/>
          <w:sz w:val="25"/>
        </w:rPr>
        <w:t>4.2 三类答辩差异总览</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c>
          <w:tcPr>
            <w:tcW w:type="dxa" w:w="1134"/>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类型</w:t>
            </w:r>
          </w:p>
        </w:tc>
        <w:tc>
          <w:tcPr>
            <w:tcW w:type="dxa" w:w="1701"/>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学生规模</w:t>
            </w:r>
          </w:p>
        </w:tc>
        <w:tc>
          <w:tcPr>
            <w:tcW w:type="dxa" w:w="2608"/>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专家规模</w:t>
            </w:r>
          </w:p>
        </w:tc>
        <w:tc>
          <w:tcPr>
            <w:tcW w:type="dxa" w:w="3005"/>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关键规则</w:t>
            </w:r>
          </w:p>
        </w:tc>
        <w:tc>
          <w:tcPr>
            <w:tcW w:type="dxa" w:w="1247"/>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输出</w:t>
            </w:r>
          </w:p>
        </w:tc>
      </w:tr>
      <w:tr>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预答辩</w:t>
            </w:r>
          </w:p>
        </w:tc>
        <w:tc>
          <w:tcPr>
            <w:tcW w:type="dxa" w:w="170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约 6 人/组</w:t>
            </w:r>
          </w:p>
        </w:tc>
        <w:tc>
          <w:tcPr>
            <w:tcW w:type="dxa" w:w="2608"/>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至少 3 位专家 + 1 位组长 + 1 位秘书</w:t>
            </w:r>
          </w:p>
        </w:tc>
        <w:tc>
          <w:tcPr>
            <w:tcW w:type="dxa" w:w="3005"/>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导师不回避；学生必须在导师在场的组；秘书的学生不能在秘书所在组</w:t>
            </w:r>
          </w:p>
        </w:tc>
        <w:tc>
          <w:tcPr>
            <w:tcW w:type="dxa" w:w="124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预答辩安排表</w:t>
            </w:r>
          </w:p>
        </w:tc>
      </w:tr>
      <w:tr>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正式答辩</w:t>
            </w:r>
          </w:p>
        </w:tc>
        <w:tc>
          <w:tcPr>
            <w:tcW w:type="dxa" w:w="170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约 6 人/组</w:t>
            </w:r>
          </w:p>
        </w:tc>
        <w:tc>
          <w:tcPr>
            <w:tcW w:type="dxa" w:w="2608"/>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5 位专家（主席 1、组员 4）+ 1 位秘书</w:t>
            </w:r>
          </w:p>
        </w:tc>
        <w:tc>
          <w:tcPr>
            <w:tcW w:type="dxa" w:w="3005"/>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默认导师回避；全局开关可关闭回避；默认沿用预答辩秘书与学生组，但管理员可调整</w:t>
            </w:r>
          </w:p>
        </w:tc>
        <w:tc>
          <w:tcPr>
            <w:tcW w:type="dxa" w:w="124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正式答辩汇总表</w:t>
            </w:r>
          </w:p>
        </w:tc>
      </w:tr>
      <w:tr>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中期答辩</w:t>
            </w:r>
          </w:p>
        </w:tc>
        <w:tc>
          <w:tcPr>
            <w:tcW w:type="dxa" w:w="170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目标 12 人，允许 10–13 人</w:t>
            </w:r>
          </w:p>
        </w:tc>
        <w:tc>
          <w:tcPr>
            <w:tcW w:type="dxa" w:w="2608"/>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至少 5 位专家（含组长）+ 1 位秘书</w:t>
            </w:r>
          </w:p>
        </w:tc>
        <w:tc>
          <w:tcPr>
            <w:tcW w:type="dxa" w:w="3005"/>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学生必须进入自己导师在场的组；学生数量尽量均衡；必要时拆组或增补专家</w:t>
            </w:r>
          </w:p>
        </w:tc>
        <w:tc>
          <w:tcPr>
            <w:tcW w:type="dxa" w:w="124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中期答辩安排表</w:t>
            </w:r>
          </w:p>
        </w:tc>
      </w:tr>
    </w:tbl>
    <w:p/>
    <w:p>
      <w:pPr>
        <w:keepNext/>
        <w:spacing w:before="160" w:after="40"/>
      </w:pPr>
      <w:r>
        <w:rPr>
          <w:rFonts w:ascii="Noto Sans CJK SC" w:hAnsi="Noto Sans CJK SC" w:eastAsia="Noto Sans CJK SC"/>
          <w:b/>
          <w:i w:val="0"/>
          <w:color w:val="1F4E79"/>
          <w:sz w:val="25"/>
        </w:rPr>
        <w:t>4.3 正式答辩与预答辩衔接规则</w:t>
      </w:r>
    </w:p>
    <w:p>
      <w:pPr>
        <w:pStyle w:val="ListBullet"/>
        <w:spacing w:before="0" w:after="60" w:line="300" w:lineRule="auto"/>
        <w:ind w:left="227"/>
      </w:pPr>
      <w:r>
        <w:rPr>
          <w:rFonts w:ascii="Noto Sans CJK SC" w:hAnsi="Noto Sans CJK SC" w:eastAsia="Noto Sans CJK SC"/>
          <w:b w:val="0"/>
          <w:i w:val="0"/>
          <w:color w:val="222222"/>
          <w:sz w:val="21"/>
        </w:rPr>
        <w:t>学生从预答辩开始默认跟随同一个秘书。</w:t>
      </w:r>
    </w:p>
    <w:p>
      <w:pPr>
        <w:pStyle w:val="ListBullet"/>
        <w:spacing w:before="0" w:after="60" w:line="300" w:lineRule="auto"/>
        <w:ind w:left="227"/>
      </w:pPr>
      <w:r>
        <w:rPr>
          <w:rFonts w:ascii="Noto Sans CJK SC" w:hAnsi="Noto Sans CJK SC" w:eastAsia="Noto Sans CJK SC"/>
          <w:b w:val="0"/>
          <w:i w:val="0"/>
          <w:color w:val="222222"/>
          <w:sz w:val="21"/>
        </w:rPr>
        <w:t>默认从预答辩到正式答辩，秘书和学生组沿用。</w:t>
      </w:r>
    </w:p>
    <w:p>
      <w:pPr>
        <w:pStyle w:val="ListBullet"/>
        <w:spacing w:before="0" w:after="60" w:line="300" w:lineRule="auto"/>
        <w:ind w:left="227"/>
      </w:pPr>
      <w:r>
        <w:rPr>
          <w:rFonts w:ascii="Noto Sans CJK SC" w:hAnsi="Noto Sans CJK SC" w:eastAsia="Noto Sans CJK SC"/>
          <w:b w:val="0"/>
          <w:i w:val="0"/>
          <w:color w:val="222222"/>
          <w:sz w:val="21"/>
        </w:rPr>
        <w:t>管理员可以在正式答辩阶段进行调整，但调整后必须重新触发冲突校验。</w:t>
      </w:r>
    </w:p>
    <w:p>
      <w:pPr>
        <w:keepNext/>
        <w:spacing w:before="240" w:after="80"/>
      </w:pPr>
      <w:r>
        <w:rPr>
          <w:rFonts w:ascii="Noto Sans CJK SC" w:hAnsi="Noto Sans CJK SC" w:eastAsia="Noto Sans CJK SC"/>
          <w:b/>
          <w:i w:val="0"/>
          <w:color w:val="1F4E79"/>
          <w:sz w:val="30"/>
        </w:rPr>
        <w:t>5. 功能需求</w:t>
      </w:r>
    </w:p>
    <w:p>
      <w:pPr>
        <w:keepNext/>
        <w:spacing w:before="160" w:after="40"/>
      </w:pPr>
      <w:r>
        <w:rPr>
          <w:rFonts w:ascii="Noto Sans CJK SC" w:hAnsi="Noto Sans CJK SC" w:eastAsia="Noto Sans CJK SC"/>
          <w:b/>
          <w:i w:val="0"/>
          <w:color w:val="1F4E79"/>
          <w:sz w:val="25"/>
        </w:rPr>
        <w:t>5.1 模块清单</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57"/>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模块</w:t>
            </w:r>
          </w:p>
        </w:tc>
        <w:tc>
          <w:tcPr>
            <w:tcW w:type="dxa" w:w="6009"/>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功能描述</w:t>
            </w:r>
          </w:p>
        </w:tc>
        <w:tc>
          <w:tcPr>
            <w:tcW w:type="dxa" w:w="1134"/>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优先级</w:t>
            </w:r>
          </w:p>
        </w:tc>
      </w:tr>
      <w:tr>
        <w:tc>
          <w:tcPr>
            <w:tcW w:type="dxa" w:w="175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基础信息管理</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维护教师/专家、学生、导师关系、秘书关系、校区、教室、时间等基础数据</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P0</w:t>
            </w:r>
          </w:p>
        </w:tc>
      </w:tr>
      <w:tr>
        <w:tc>
          <w:tcPr>
            <w:tcW w:type="dxa" w:w="175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规则配置中心</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维护回避开关、人数规则、角色资格、节假日和起始日期等参数</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P0</w:t>
            </w:r>
          </w:p>
        </w:tc>
      </w:tr>
      <w:tr>
        <w:tc>
          <w:tcPr>
            <w:tcW w:type="dxa" w:w="175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自动排组排期引擎</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自动生成分组、时间与教室方案</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P0</w:t>
            </w:r>
          </w:p>
        </w:tc>
      </w:tr>
      <w:tr>
        <w:tc>
          <w:tcPr>
            <w:tcW w:type="dxa" w:w="175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冲突检测</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输出时间、课程、教室、回避、不宜同组等冲突</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P0</w:t>
            </w:r>
          </w:p>
        </w:tc>
      </w:tr>
      <w:tr>
        <w:tc>
          <w:tcPr>
            <w:tcW w:type="dxa" w:w="175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人工调整</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允许管理员微调学生、专家、秘书、时间、校区、教室</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P0</w:t>
            </w:r>
          </w:p>
        </w:tc>
      </w:tr>
      <w:tr>
        <w:tc>
          <w:tcPr>
            <w:tcW w:type="dxa" w:w="175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导出模块</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导出 Excel/PDF，并按关系上色</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P0</w:t>
            </w:r>
          </w:p>
        </w:tc>
      </w:tr>
      <w:tr>
        <w:tc>
          <w:tcPr>
            <w:tcW w:type="dxa" w:w="175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日志与留痕</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记录关键配置与人工调整历史</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P1</w:t>
            </w:r>
          </w:p>
        </w:tc>
      </w:tr>
    </w:tbl>
    <w:p/>
    <w:p>
      <w:pPr>
        <w:keepNext/>
        <w:spacing w:before="160" w:after="40"/>
      </w:pPr>
      <w:r>
        <w:rPr>
          <w:rFonts w:ascii="Noto Sans CJK SC" w:hAnsi="Noto Sans CJK SC" w:eastAsia="Noto Sans CJK SC"/>
          <w:b/>
          <w:i w:val="0"/>
          <w:color w:val="1F4E79"/>
          <w:sz w:val="25"/>
        </w:rPr>
        <w:t>5.2 基础信息管理</w:t>
      </w:r>
    </w:p>
    <w:p>
      <w:pPr>
        <w:pStyle w:val="ListBullet"/>
        <w:spacing w:before="0" w:after="60" w:line="300" w:lineRule="auto"/>
        <w:ind w:left="227"/>
      </w:pPr>
      <w:r>
        <w:rPr>
          <w:rFonts w:ascii="Noto Sans CJK SC" w:hAnsi="Noto Sans CJK SC" w:eastAsia="Noto Sans CJK SC"/>
          <w:b w:val="0"/>
          <w:i w:val="0"/>
          <w:color w:val="222222"/>
          <w:sz w:val="21"/>
        </w:rPr>
        <w:t>支持录入、编辑、停用教师/专家信息。</w:t>
      </w:r>
    </w:p>
    <w:p>
      <w:pPr>
        <w:pStyle w:val="ListBullet"/>
        <w:spacing w:before="0" w:after="60" w:line="300" w:lineRule="auto"/>
        <w:ind w:left="227"/>
      </w:pPr>
      <w:r>
        <w:rPr>
          <w:rFonts w:ascii="Noto Sans CJK SC" w:hAnsi="Noto Sans CJK SC" w:eastAsia="Noto Sans CJK SC"/>
          <w:b w:val="0"/>
          <w:i w:val="0"/>
          <w:color w:val="222222"/>
          <w:sz w:val="21"/>
        </w:rPr>
        <w:t>支持维护学生、导师、秘书对应关系。</w:t>
      </w:r>
    </w:p>
    <w:p>
      <w:pPr>
        <w:pStyle w:val="ListBullet"/>
        <w:spacing w:before="0" w:after="60" w:line="300" w:lineRule="auto"/>
        <w:ind w:left="227"/>
      </w:pPr>
      <w:r>
        <w:rPr>
          <w:rFonts w:ascii="Noto Sans CJK SC" w:hAnsi="Noto Sans CJK SC" w:eastAsia="Noto Sans CJK SC"/>
          <w:b w:val="0"/>
          <w:i w:val="0"/>
          <w:color w:val="222222"/>
          <w:sz w:val="21"/>
        </w:rPr>
        <w:t>支持维护校区和教室信息。</w:t>
      </w:r>
    </w:p>
    <w:p>
      <w:pPr>
        <w:pStyle w:val="ListBullet"/>
        <w:spacing w:before="0" w:after="60" w:line="300" w:lineRule="auto"/>
        <w:ind w:left="227"/>
      </w:pPr>
      <w:r>
        <w:rPr>
          <w:rFonts w:ascii="Noto Sans CJK SC" w:hAnsi="Noto Sans CJK SC" w:eastAsia="Noto Sans CJK SC"/>
          <w:b w:val="0"/>
          <w:i w:val="0"/>
          <w:color w:val="222222"/>
          <w:sz w:val="21"/>
        </w:rPr>
        <w:t>支持导入课表或手工维护不可用时间。</w:t>
      </w:r>
    </w:p>
    <w:p>
      <w:pPr>
        <w:pStyle w:val="ListBullet"/>
        <w:spacing w:before="0" w:after="60" w:line="300" w:lineRule="auto"/>
        <w:ind w:left="227"/>
      </w:pPr>
      <w:r>
        <w:rPr>
          <w:rFonts w:ascii="Noto Sans CJK SC" w:hAnsi="Noto Sans CJK SC" w:eastAsia="Noto Sans CJK SC"/>
          <w:b w:val="0"/>
          <w:i w:val="0"/>
          <w:color w:val="222222"/>
          <w:sz w:val="21"/>
        </w:rPr>
        <w:t>支持维护老师不宜同组黑名单，并记录原因备注。</w:t>
      </w:r>
    </w:p>
    <w:p>
      <w:pPr>
        <w:keepNext/>
        <w:spacing w:before="160" w:after="40"/>
      </w:pPr>
      <w:r>
        <w:rPr>
          <w:rFonts w:ascii="Noto Sans CJK SC" w:hAnsi="Noto Sans CJK SC" w:eastAsia="Noto Sans CJK SC"/>
          <w:b/>
          <w:i w:val="0"/>
          <w:color w:val="1F4E79"/>
          <w:sz w:val="25"/>
        </w:rPr>
        <w:t>5.3 规则配置中心</w:t>
      </w:r>
    </w:p>
    <w:p>
      <w:pPr>
        <w:pStyle w:val="ListBullet"/>
        <w:spacing w:before="0" w:after="60" w:line="300" w:lineRule="auto"/>
        <w:ind w:left="227"/>
      </w:pPr>
      <w:r>
        <w:rPr>
          <w:rFonts w:ascii="Noto Sans CJK SC" w:hAnsi="Noto Sans CJK SC" w:eastAsia="Noto Sans CJK SC"/>
          <w:b w:val="0"/>
          <w:i w:val="0"/>
          <w:color w:val="222222"/>
          <w:sz w:val="21"/>
        </w:rPr>
        <w:t>支持配置全局“是否回避导师”开关。</w:t>
      </w:r>
    </w:p>
    <w:p>
      <w:pPr>
        <w:pStyle w:val="ListBullet"/>
        <w:spacing w:before="0" w:after="60" w:line="300" w:lineRule="auto"/>
        <w:ind w:left="227"/>
      </w:pPr>
      <w:r>
        <w:rPr>
          <w:rFonts w:ascii="Noto Sans CJK SC" w:hAnsi="Noto Sans CJK SC" w:eastAsia="Noto Sans CJK SC"/>
          <w:b w:val="0"/>
          <w:i w:val="0"/>
          <w:color w:val="222222"/>
          <w:sz w:val="21"/>
        </w:rPr>
        <w:t>支持配置各类答辩的学生数、专家数、秘书数、组长/主席资格。</w:t>
      </w:r>
    </w:p>
    <w:p>
      <w:pPr>
        <w:pStyle w:val="ListBullet"/>
        <w:spacing w:before="0" w:after="60" w:line="300" w:lineRule="auto"/>
        <w:ind w:left="227"/>
      </w:pPr>
      <w:r>
        <w:rPr>
          <w:rFonts w:ascii="Noto Sans CJK SC" w:hAnsi="Noto Sans CJK SC" w:eastAsia="Noto Sans CJK SC"/>
          <w:b w:val="0"/>
          <w:i w:val="0"/>
          <w:color w:val="222222"/>
          <w:sz w:val="21"/>
        </w:rPr>
        <w:t>支持配置开始日期、是否避开周末、是否避开法定节假日。</w:t>
      </w:r>
    </w:p>
    <w:p>
      <w:pPr>
        <w:pStyle w:val="ListBullet"/>
        <w:spacing w:before="0" w:after="60" w:line="300" w:lineRule="auto"/>
        <w:ind w:left="227"/>
      </w:pPr>
      <w:r>
        <w:rPr>
          <w:rFonts w:ascii="Noto Sans CJK SC" w:hAnsi="Noto Sans CJK SC" w:eastAsia="Noto Sans CJK SC"/>
          <w:b w:val="0"/>
          <w:i w:val="0"/>
          <w:color w:val="222222"/>
          <w:sz w:val="21"/>
        </w:rPr>
        <w:t>支持配置中期答辩学生规模区间（目标值 12，允许 10–13）。</w:t>
      </w:r>
    </w:p>
    <w:p>
      <w:pPr>
        <w:pStyle w:val="ListBullet"/>
        <w:spacing w:before="0" w:after="60" w:line="300" w:lineRule="auto"/>
        <w:ind w:left="227"/>
      </w:pPr>
      <w:r>
        <w:rPr>
          <w:rFonts w:ascii="Noto Sans CJK SC" w:hAnsi="Noto Sans CJK SC" w:eastAsia="Noto Sans CJK SC"/>
          <w:b w:val="0"/>
          <w:i w:val="0"/>
          <w:color w:val="222222"/>
          <w:sz w:val="21"/>
        </w:rPr>
        <w:t>支持配置外院导师集中安排规则。</w:t>
      </w:r>
    </w:p>
    <w:p>
      <w:pPr>
        <w:keepNext/>
        <w:spacing w:before="160" w:after="40"/>
      </w:pPr>
      <w:r>
        <w:rPr>
          <w:rFonts w:ascii="Noto Sans CJK SC" w:hAnsi="Noto Sans CJK SC" w:eastAsia="Noto Sans CJK SC"/>
          <w:b/>
          <w:i w:val="0"/>
          <w:color w:val="1F4E79"/>
          <w:sz w:val="25"/>
        </w:rPr>
        <w:t>5.4 自动排组排期引擎</w:t>
      </w:r>
    </w:p>
    <w:p>
      <w:pPr>
        <w:pStyle w:val="ListBullet"/>
        <w:spacing w:before="0" w:after="60" w:line="300" w:lineRule="auto"/>
        <w:ind w:left="227"/>
      </w:pPr>
      <w:r>
        <w:rPr>
          <w:rFonts w:ascii="Noto Sans CJK SC" w:hAnsi="Noto Sans CJK SC" w:eastAsia="Noto Sans CJK SC"/>
          <w:b w:val="0"/>
          <w:i w:val="0"/>
          <w:color w:val="222222"/>
          <w:sz w:val="21"/>
        </w:rPr>
        <w:t>根据专家、导师、秘书、学生、教室和时间生成自动方案。</w:t>
      </w:r>
    </w:p>
    <w:p>
      <w:pPr>
        <w:pStyle w:val="ListBullet"/>
        <w:spacing w:before="0" w:after="60" w:line="300" w:lineRule="auto"/>
        <w:ind w:left="227"/>
      </w:pPr>
      <w:r>
        <w:rPr>
          <w:rFonts w:ascii="Noto Sans CJK SC" w:hAnsi="Noto Sans CJK SC" w:eastAsia="Noto Sans CJK SC"/>
          <w:b w:val="0"/>
          <w:i w:val="0"/>
          <w:color w:val="222222"/>
          <w:sz w:val="21"/>
        </w:rPr>
        <w:t>先满足老师、专家、秘书的可用时间，再安排学生。</w:t>
      </w:r>
    </w:p>
    <w:p>
      <w:pPr>
        <w:pStyle w:val="ListBullet"/>
        <w:spacing w:before="0" w:after="60" w:line="300" w:lineRule="auto"/>
        <w:ind w:left="227"/>
      </w:pPr>
      <w:r>
        <w:rPr>
          <w:rFonts w:ascii="Noto Sans CJK SC" w:hAnsi="Noto Sans CJK SC" w:eastAsia="Noto Sans CJK SC"/>
          <w:b w:val="0"/>
          <w:i w:val="0"/>
          <w:color w:val="222222"/>
          <w:sz w:val="21"/>
        </w:rPr>
        <w:t>在满足时间和约束条件后，优先排学硕，再排专硕。</w:t>
      </w:r>
    </w:p>
    <w:p>
      <w:pPr>
        <w:pStyle w:val="ListBullet"/>
        <w:spacing w:before="0" w:after="60" w:line="300" w:lineRule="auto"/>
        <w:ind w:left="227"/>
      </w:pPr>
      <w:r>
        <w:rPr>
          <w:rFonts w:ascii="Noto Sans CJK SC" w:hAnsi="Noto Sans CJK SC" w:eastAsia="Noto Sans CJK SC"/>
          <w:b w:val="0"/>
          <w:i w:val="0"/>
          <w:color w:val="222222"/>
          <w:sz w:val="21"/>
        </w:rPr>
        <w:t>同一时间段、不同教室可并行；同一教室同一时间只允许一组。</w:t>
      </w:r>
    </w:p>
    <w:p>
      <w:pPr>
        <w:pStyle w:val="ListBullet"/>
        <w:spacing w:before="0" w:after="60" w:line="300" w:lineRule="auto"/>
        <w:ind w:left="227"/>
      </w:pPr>
      <w:r>
        <w:rPr>
          <w:rFonts w:ascii="Noto Sans CJK SC" w:hAnsi="Noto Sans CJK SC" w:eastAsia="Noto Sans CJK SC"/>
          <w:b w:val="0"/>
          <w:i w:val="0"/>
          <w:color w:val="222222"/>
          <w:sz w:val="21"/>
        </w:rPr>
        <w:t>完成分组后自动分配教室。</w:t>
      </w:r>
    </w:p>
    <w:p>
      <w:pPr>
        <w:keepNext/>
        <w:spacing w:before="160" w:after="40"/>
      </w:pPr>
      <w:r>
        <w:rPr>
          <w:rFonts w:ascii="Noto Sans CJK SC" w:hAnsi="Noto Sans CJK SC" w:eastAsia="Noto Sans CJK SC"/>
          <w:b/>
          <w:i w:val="0"/>
          <w:color w:val="1F4E79"/>
          <w:sz w:val="25"/>
        </w:rPr>
        <w:t>5.5 冲突检测</w:t>
      </w:r>
    </w:p>
    <w:p>
      <w:pPr>
        <w:pStyle w:val="ListBullet"/>
        <w:spacing w:before="0" w:after="60" w:line="300" w:lineRule="auto"/>
        <w:ind w:left="227"/>
      </w:pPr>
      <w:r>
        <w:rPr>
          <w:rFonts w:ascii="Noto Sans CJK SC" w:hAnsi="Noto Sans CJK SC" w:eastAsia="Noto Sans CJK SC"/>
          <w:b w:val="0"/>
          <w:i w:val="0"/>
          <w:color w:val="222222"/>
          <w:sz w:val="21"/>
        </w:rPr>
        <w:t>检测时间冲突、课程冲突。</w:t>
      </w:r>
    </w:p>
    <w:p>
      <w:pPr>
        <w:pStyle w:val="ListBullet"/>
        <w:spacing w:before="0" w:after="60" w:line="300" w:lineRule="auto"/>
        <w:ind w:left="227"/>
      </w:pPr>
      <w:r>
        <w:rPr>
          <w:rFonts w:ascii="Noto Sans CJK SC" w:hAnsi="Noto Sans CJK SC" w:eastAsia="Noto Sans CJK SC"/>
          <w:b w:val="0"/>
          <w:i w:val="0"/>
          <w:color w:val="222222"/>
          <w:sz w:val="21"/>
        </w:rPr>
        <w:t>检测同人多组冲突。</w:t>
      </w:r>
    </w:p>
    <w:p>
      <w:pPr>
        <w:pStyle w:val="ListBullet"/>
        <w:spacing w:before="0" w:after="60" w:line="300" w:lineRule="auto"/>
        <w:ind w:left="227"/>
      </w:pPr>
      <w:r>
        <w:rPr>
          <w:rFonts w:ascii="Noto Sans CJK SC" w:hAnsi="Noto Sans CJK SC" w:eastAsia="Noto Sans CJK SC"/>
          <w:b w:val="0"/>
          <w:i w:val="0"/>
          <w:color w:val="222222"/>
          <w:sz w:val="21"/>
        </w:rPr>
        <w:t>检测不宜同组冲突。</w:t>
      </w:r>
    </w:p>
    <w:p>
      <w:pPr>
        <w:pStyle w:val="ListBullet"/>
        <w:spacing w:before="0" w:after="60" w:line="300" w:lineRule="auto"/>
        <w:ind w:left="227"/>
      </w:pPr>
      <w:r>
        <w:rPr>
          <w:rFonts w:ascii="Noto Sans CJK SC" w:hAnsi="Noto Sans CJK SC" w:eastAsia="Noto Sans CJK SC"/>
          <w:b w:val="0"/>
          <w:i w:val="0"/>
          <w:color w:val="222222"/>
          <w:sz w:val="21"/>
        </w:rPr>
        <w:t>检测导师回避冲突。</w:t>
      </w:r>
    </w:p>
    <w:p>
      <w:pPr>
        <w:pStyle w:val="ListBullet"/>
        <w:spacing w:before="0" w:after="60" w:line="300" w:lineRule="auto"/>
        <w:ind w:left="227"/>
      </w:pPr>
      <w:r>
        <w:rPr>
          <w:rFonts w:ascii="Noto Sans CJK SC" w:hAnsi="Noto Sans CJK SC" w:eastAsia="Noto Sans CJK SC"/>
          <w:b w:val="0"/>
          <w:i w:val="0"/>
          <w:color w:val="222222"/>
          <w:sz w:val="21"/>
        </w:rPr>
        <w:t>检测秘书与其学生同组冲突。</w:t>
      </w:r>
    </w:p>
    <w:p>
      <w:pPr>
        <w:pStyle w:val="ListBullet"/>
        <w:spacing w:before="0" w:after="60" w:line="300" w:lineRule="auto"/>
        <w:ind w:left="227"/>
      </w:pPr>
      <w:r>
        <w:rPr>
          <w:rFonts w:ascii="Noto Sans CJK SC" w:hAnsi="Noto Sans CJK SC" w:eastAsia="Noto Sans CJK SC"/>
          <w:b w:val="0"/>
          <w:i w:val="0"/>
          <w:color w:val="222222"/>
          <w:sz w:val="21"/>
        </w:rPr>
        <w:t>检测教室重复占用冲突。</w:t>
      </w:r>
    </w:p>
    <w:p>
      <w:pPr>
        <w:pStyle w:val="ListBullet"/>
        <w:spacing w:before="0" w:after="60" w:line="300" w:lineRule="auto"/>
        <w:ind w:left="227"/>
      </w:pPr>
      <w:r>
        <w:rPr>
          <w:rFonts w:ascii="Noto Sans CJK SC" w:hAnsi="Noto Sans CJK SC" w:eastAsia="Noto Sans CJK SC"/>
          <w:b w:val="0"/>
          <w:i w:val="0"/>
          <w:color w:val="222222"/>
          <w:sz w:val="21"/>
        </w:rPr>
        <w:t>检测校区不合理切换冲突（作为优化提示）。</w:t>
      </w:r>
    </w:p>
    <w:p>
      <w:pPr>
        <w:pStyle w:val="ListBullet"/>
        <w:spacing w:before="0" w:after="60" w:line="300" w:lineRule="auto"/>
        <w:ind w:left="227"/>
      </w:pPr>
      <w:r>
        <w:rPr>
          <w:rFonts w:ascii="Noto Sans CJK SC" w:hAnsi="Noto Sans CJK SC" w:eastAsia="Noto Sans CJK SC"/>
          <w:b w:val="0"/>
          <w:i w:val="0"/>
          <w:color w:val="222222"/>
          <w:sz w:val="21"/>
        </w:rPr>
        <w:t>检测外院导师集中安排未达标冲突（作为优化提示）。</w:t>
      </w:r>
    </w:p>
    <w:p>
      <w:pPr>
        <w:keepNext/>
        <w:spacing w:before="160" w:after="40"/>
      </w:pPr>
      <w:r>
        <w:rPr>
          <w:rFonts w:ascii="Noto Sans CJK SC" w:hAnsi="Noto Sans CJK SC" w:eastAsia="Noto Sans CJK SC"/>
          <w:b/>
          <w:i w:val="0"/>
          <w:color w:val="1F4E79"/>
          <w:sz w:val="25"/>
        </w:rPr>
        <w:t>5.6 人工调整</w:t>
      </w:r>
    </w:p>
    <w:p>
      <w:pPr>
        <w:pStyle w:val="ListBullet"/>
        <w:spacing w:before="0" w:after="60" w:line="300" w:lineRule="auto"/>
        <w:ind w:left="227"/>
      </w:pPr>
      <w:r>
        <w:rPr>
          <w:rFonts w:ascii="Noto Sans CJK SC" w:hAnsi="Noto Sans CJK SC" w:eastAsia="Noto Sans CJK SC"/>
          <w:b w:val="0"/>
          <w:i w:val="0"/>
          <w:color w:val="222222"/>
          <w:sz w:val="21"/>
        </w:rPr>
        <w:t>支持管理员调整学生所属组。</w:t>
      </w:r>
    </w:p>
    <w:p>
      <w:pPr>
        <w:pStyle w:val="ListBullet"/>
        <w:spacing w:before="0" w:after="60" w:line="300" w:lineRule="auto"/>
        <w:ind w:left="227"/>
      </w:pPr>
      <w:r>
        <w:rPr>
          <w:rFonts w:ascii="Noto Sans CJK SC" w:hAnsi="Noto Sans CJK SC" w:eastAsia="Noto Sans CJK SC"/>
          <w:b w:val="0"/>
          <w:i w:val="0"/>
          <w:color w:val="222222"/>
          <w:sz w:val="21"/>
        </w:rPr>
        <w:t>支持调整专家、组长、主席、秘书。</w:t>
      </w:r>
    </w:p>
    <w:p>
      <w:pPr>
        <w:pStyle w:val="ListBullet"/>
        <w:spacing w:before="0" w:after="60" w:line="300" w:lineRule="auto"/>
        <w:ind w:left="227"/>
      </w:pPr>
      <w:r>
        <w:rPr>
          <w:rFonts w:ascii="Noto Sans CJK SC" w:hAnsi="Noto Sans CJK SC" w:eastAsia="Noto Sans CJK SC"/>
          <w:b w:val="0"/>
          <w:i w:val="0"/>
          <w:color w:val="222222"/>
          <w:sz w:val="21"/>
        </w:rPr>
        <w:t>支持调整时间、校区、教室。</w:t>
      </w:r>
    </w:p>
    <w:p>
      <w:pPr>
        <w:pStyle w:val="ListBullet"/>
        <w:spacing w:before="0" w:after="60" w:line="300" w:lineRule="auto"/>
        <w:ind w:left="227"/>
      </w:pPr>
      <w:r>
        <w:rPr>
          <w:rFonts w:ascii="Noto Sans CJK SC" w:hAnsi="Noto Sans CJK SC" w:eastAsia="Noto Sans CJK SC"/>
          <w:b w:val="0"/>
          <w:i w:val="0"/>
          <w:color w:val="222222"/>
          <w:sz w:val="21"/>
        </w:rPr>
        <w:t>支持调整秘书与学生的跟随关系。</w:t>
      </w:r>
    </w:p>
    <w:p>
      <w:pPr>
        <w:pStyle w:val="ListBullet"/>
        <w:spacing w:before="0" w:after="60" w:line="300" w:lineRule="auto"/>
        <w:ind w:left="227"/>
      </w:pPr>
      <w:r>
        <w:rPr>
          <w:rFonts w:ascii="Noto Sans CJK SC" w:hAnsi="Noto Sans CJK SC" w:eastAsia="Noto Sans CJK SC"/>
          <w:b w:val="0"/>
          <w:i w:val="0"/>
          <w:color w:val="222222"/>
          <w:sz w:val="21"/>
        </w:rPr>
        <w:t>每次调整后系统需自动重新校验冲突。</w:t>
      </w:r>
    </w:p>
    <w:p>
      <w:pPr>
        <w:keepNext/>
        <w:spacing w:before="160" w:after="40"/>
      </w:pPr>
      <w:r>
        <w:rPr>
          <w:rFonts w:ascii="Noto Sans CJK SC" w:hAnsi="Noto Sans CJK SC" w:eastAsia="Noto Sans CJK SC"/>
          <w:b/>
          <w:i w:val="0"/>
          <w:color w:val="1F4E79"/>
          <w:sz w:val="25"/>
        </w:rPr>
        <w:t>5.7 导出</w:t>
      </w:r>
    </w:p>
    <w:p>
      <w:pPr>
        <w:pStyle w:val="ListBullet"/>
        <w:spacing w:before="0" w:after="60" w:line="300" w:lineRule="auto"/>
        <w:ind w:left="227"/>
      </w:pPr>
      <w:r>
        <w:rPr>
          <w:rFonts w:ascii="Noto Sans CJK SC" w:hAnsi="Noto Sans CJK SC" w:eastAsia="Noto Sans CJK SC"/>
          <w:b w:val="0"/>
          <w:i w:val="0"/>
          <w:color w:val="222222"/>
          <w:sz w:val="21"/>
        </w:rPr>
        <w:t>支持导出 Excel、PDF 等格式。</w:t>
      </w:r>
    </w:p>
    <w:p>
      <w:pPr>
        <w:pStyle w:val="ListBullet"/>
        <w:spacing w:before="0" w:after="60" w:line="300" w:lineRule="auto"/>
        <w:ind w:left="227"/>
      </w:pPr>
      <w:r>
        <w:rPr>
          <w:rFonts w:ascii="Noto Sans CJK SC" w:hAnsi="Noto Sans CJK SC" w:eastAsia="Noto Sans CJK SC"/>
          <w:b w:val="0"/>
          <w:i w:val="0"/>
          <w:color w:val="222222"/>
          <w:sz w:val="21"/>
        </w:rPr>
        <w:t>导出内容包含组别、时间、校区、教室、专家、主席/组长、秘书、学生、导师信息。</w:t>
      </w:r>
    </w:p>
    <w:p>
      <w:pPr>
        <w:pStyle w:val="ListBullet"/>
        <w:spacing w:before="0" w:after="60" w:line="300" w:lineRule="auto"/>
        <w:ind w:left="227"/>
      </w:pPr>
      <w:r>
        <w:rPr>
          <w:rFonts w:ascii="Noto Sans CJK SC" w:hAnsi="Noto Sans CJK SC" w:eastAsia="Noto Sans CJK SC"/>
          <w:b w:val="0"/>
          <w:i w:val="0"/>
          <w:color w:val="222222"/>
          <w:sz w:val="21"/>
        </w:rPr>
        <w:t>导出时导师与其学生按同一颜色显示。</w:t>
      </w:r>
    </w:p>
    <w:p>
      <w:pPr>
        <w:pStyle w:val="ListBullet"/>
        <w:spacing w:before="0" w:after="60" w:line="300" w:lineRule="auto"/>
        <w:ind w:left="227"/>
      </w:pPr>
      <w:r>
        <w:rPr>
          <w:rFonts w:ascii="Noto Sans CJK SC" w:hAnsi="Noto Sans CJK SC" w:eastAsia="Noto Sans CJK SC"/>
          <w:b w:val="0"/>
          <w:i w:val="0"/>
          <w:color w:val="222222"/>
          <w:sz w:val="21"/>
        </w:rPr>
        <w:t>允许不同导师使用不同颜色，以便快速识别师生对应关系。</w:t>
      </w:r>
    </w:p>
    <w:p>
      <w:pPr>
        <w:keepNext/>
        <w:spacing w:before="240" w:after="80"/>
      </w:pPr>
      <w:r>
        <w:rPr>
          <w:rFonts w:ascii="Noto Sans CJK SC" w:hAnsi="Noto Sans CJK SC" w:eastAsia="Noto Sans CJK SC"/>
          <w:b/>
          <w:i w:val="0"/>
          <w:color w:val="1F4E79"/>
          <w:sz w:val="30"/>
        </w:rPr>
        <w:t>6. 分场景详细需求</w:t>
      </w:r>
    </w:p>
    <w:p>
      <w:pPr>
        <w:keepNext/>
        <w:spacing w:before="160" w:after="40"/>
      </w:pPr>
      <w:r>
        <w:rPr>
          <w:rFonts w:ascii="Noto Sans CJK SC" w:hAnsi="Noto Sans CJK SC" w:eastAsia="Noto Sans CJK SC"/>
          <w:b/>
          <w:i w:val="0"/>
          <w:color w:val="1F4E79"/>
          <w:sz w:val="25"/>
        </w:rPr>
        <w:t>6.1 预答辩</w:t>
      </w:r>
    </w:p>
    <w:tbl>
      <w:tblPr>
        <w:tblStyle w:val="TableGrid"/>
        <w:tblW w:type="auto" w:w="0"/>
        <w:jc w:val="center"/>
        <w:tblLayout w:type="fixed"/>
        <w:tblLook w:firstColumn="1" w:firstRow="1" w:lastColumn="0" w:lastRow="0" w:noHBand="0" w:noVBand="1" w:val="04A0"/>
      </w:tblPr>
      <w:tblGrid>
        <w:gridCol w:w="4816"/>
        <w:gridCol w:w="4816"/>
      </w:tblGrid>
      <w:tr>
        <w:tc>
          <w:tcPr>
            <w:tcW w:type="dxa" w:w="1587"/>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维度</w:t>
            </w:r>
          </w:p>
        </w:tc>
        <w:tc>
          <w:tcPr>
            <w:tcW w:type="dxa" w:w="7143"/>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要求</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组构成</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学生约 6 人/组；至少 3 位专家；其中 1 位组长；秘书 1 人</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角色资格</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组长至少副高，正高优先；秘书为讲师及以上</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导师规则</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不回避导师；学生必须分到自己导师在场的组</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秘书规则</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秘书的学生不能在秘书所在组</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排期规则</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避开组内老师上课时间；同时考虑专家和秘书时间</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输出</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生成预答辩安排表</w:t>
            </w:r>
          </w:p>
        </w:tc>
      </w:tr>
    </w:tbl>
    <w:p/>
    <w:p>
      <w:pPr>
        <w:keepNext/>
        <w:spacing w:before="160" w:after="40"/>
      </w:pPr>
      <w:r>
        <w:rPr>
          <w:rFonts w:ascii="Noto Sans CJK SC" w:hAnsi="Noto Sans CJK SC" w:eastAsia="Noto Sans CJK SC"/>
          <w:b/>
          <w:i w:val="0"/>
          <w:color w:val="1F4E79"/>
          <w:sz w:val="25"/>
        </w:rPr>
        <w:t>6.2 正式答辩</w:t>
      </w:r>
    </w:p>
    <w:tbl>
      <w:tblPr>
        <w:tblStyle w:val="TableGrid"/>
        <w:tblW w:type="auto" w:w="0"/>
        <w:jc w:val="center"/>
        <w:tblLayout w:type="fixed"/>
        <w:tblLook w:firstColumn="1" w:firstRow="1" w:lastColumn="0" w:lastRow="0" w:noHBand="0" w:noVBand="1" w:val="04A0"/>
      </w:tblPr>
      <w:tblGrid>
        <w:gridCol w:w="4816"/>
        <w:gridCol w:w="4816"/>
      </w:tblGrid>
      <w:tr>
        <w:tc>
          <w:tcPr>
            <w:tcW w:type="dxa" w:w="1587"/>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维度</w:t>
            </w:r>
          </w:p>
        </w:tc>
        <w:tc>
          <w:tcPr>
            <w:tcW w:type="dxa" w:w="7143"/>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要求</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组构成</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学生约 6 人/组；专家 5 人（主席 1、组员 4）；秘书 1 人</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角色资格</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主席必须为正高，院内老师优先；允许无学生导师专家参与评审</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回避规则</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默认导师回避；系统提供全局开关；关闭时允许师生同组</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衔接规则</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默认沿用预答辩的秘书与学生组，但管理员可调整</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排期规则</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优先排学硕，再排专硕；同时考虑专家、秘书在预答辩和正式答辩两阶段的时间</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输出</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生成正式答辩汇总表</w:t>
            </w:r>
          </w:p>
        </w:tc>
      </w:tr>
    </w:tbl>
    <w:p/>
    <w:p>
      <w:pPr>
        <w:keepNext/>
        <w:spacing w:before="160" w:after="40"/>
      </w:pPr>
      <w:r>
        <w:rPr>
          <w:rFonts w:ascii="Noto Sans CJK SC" w:hAnsi="Noto Sans CJK SC" w:eastAsia="Noto Sans CJK SC"/>
          <w:b/>
          <w:i w:val="0"/>
          <w:color w:val="1F4E79"/>
          <w:sz w:val="25"/>
        </w:rPr>
        <w:t>6.3 中期答辩</w:t>
      </w:r>
    </w:p>
    <w:tbl>
      <w:tblPr>
        <w:tblStyle w:val="TableGrid"/>
        <w:tblW w:type="auto" w:w="0"/>
        <w:jc w:val="center"/>
        <w:tblLayout w:type="fixed"/>
        <w:tblLook w:firstColumn="1" w:firstRow="1" w:lastColumn="0" w:lastRow="0" w:noHBand="0" w:noVBand="1" w:val="04A0"/>
      </w:tblPr>
      <w:tblGrid>
        <w:gridCol w:w="4816"/>
        <w:gridCol w:w="4816"/>
      </w:tblGrid>
      <w:tr>
        <w:tc>
          <w:tcPr>
            <w:tcW w:type="dxa" w:w="1587"/>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维度</w:t>
            </w:r>
          </w:p>
        </w:tc>
        <w:tc>
          <w:tcPr>
            <w:tcW w:type="dxa" w:w="7143"/>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9"/>
              </w:rPr>
              <w:t>要求</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组构成</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目标 12 人/组，允许 10–13 人；至少 5 位专家（含组长）；秘书 1 人</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导师规则</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学生必须分到自己导师在场的组；导师可同时作为专家</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均衡规则</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各组学生数量尽量均衡；学生过多时拆组或增加专家；过少时可并组</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校区规则</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创新港与兴庆可分别排期，开始时间可不同</w:t>
            </w:r>
          </w:p>
        </w:tc>
      </w:tr>
      <w:tr>
        <w:tc>
          <w:tcPr>
            <w:tcW w:type="dxa" w:w="1587"/>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输出</w:t>
            </w:r>
          </w:p>
        </w:tc>
        <w:tc>
          <w:tcPr>
            <w:tcW w:type="dxa" w:w="7143"/>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9"/>
              </w:rPr>
              <w:t>生成中期答辩安排表</w:t>
            </w:r>
          </w:p>
        </w:tc>
      </w:tr>
    </w:tbl>
    <w:p/>
    <w:p>
      <w:pPr>
        <w:keepNext/>
        <w:spacing w:before="240" w:after="80"/>
      </w:pPr>
      <w:r>
        <w:rPr>
          <w:rFonts w:ascii="Noto Sans CJK SC" w:hAnsi="Noto Sans CJK SC" w:eastAsia="Noto Sans CJK SC"/>
          <w:b/>
          <w:i w:val="0"/>
          <w:color w:val="1F4E79"/>
          <w:sz w:val="30"/>
        </w:rPr>
        <w:t>7. 数据字段建议</w:t>
      </w:r>
    </w:p>
    <w:p>
      <w:pPr>
        <w:keepNext/>
        <w:spacing w:before="160" w:after="40"/>
      </w:pPr>
      <w:r>
        <w:rPr>
          <w:rFonts w:ascii="Noto Sans CJK SC" w:hAnsi="Noto Sans CJK SC" w:eastAsia="Noto Sans CJK SC"/>
          <w:b/>
          <w:i w:val="0"/>
          <w:color w:val="1F4E79"/>
          <w:sz w:val="25"/>
        </w:rPr>
        <w:t>7.1 教师/专家字段</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871"/>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字段</w:t>
            </w:r>
          </w:p>
        </w:tc>
        <w:tc>
          <w:tcPr>
            <w:tcW w:type="dxa" w:w="6009"/>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说明</w:t>
            </w:r>
          </w:p>
        </w:tc>
        <w:tc>
          <w:tcPr>
            <w:tcW w:type="dxa" w:w="1134"/>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是否必填</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姓名</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教师/专家姓名</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所属学院</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院内/外院归属</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是否外院</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用于外院导师集中安排规则</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职称</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决定主席/组长/秘书资格</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可担任角色</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主席/组长/秘书/普通专家</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可参加类型</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预答辩/正式答辩/中期答辩</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课表与不可用时间</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用于避开上课和占用冲突</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校区偏好</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用于优化校区安排</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否</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不宜同组名单</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与其他教师的冲突关系</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否</w:t>
            </w:r>
          </w:p>
        </w:tc>
      </w:tr>
    </w:tbl>
    <w:p/>
    <w:p>
      <w:pPr>
        <w:keepNext/>
        <w:spacing w:before="160" w:after="40"/>
      </w:pPr>
      <w:r>
        <w:rPr>
          <w:rFonts w:ascii="Noto Sans CJK SC" w:hAnsi="Noto Sans CJK SC" w:eastAsia="Noto Sans CJK SC"/>
          <w:b/>
          <w:i w:val="0"/>
          <w:color w:val="1F4E79"/>
          <w:sz w:val="25"/>
        </w:rPr>
        <w:t>7.2 学生字段</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871"/>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字段</w:t>
            </w:r>
          </w:p>
        </w:tc>
        <w:tc>
          <w:tcPr>
            <w:tcW w:type="dxa" w:w="6009"/>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说明</w:t>
            </w:r>
          </w:p>
        </w:tc>
        <w:tc>
          <w:tcPr>
            <w:tcW w:type="dxa" w:w="1134"/>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是否必填</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姓名</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学生姓名</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学生类型</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学硕/专硕</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导师</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学生对应导师</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所属校区</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用于分校区排期</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参与环节</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预答辩/正式答辩/中期答辩</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对应秘书</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支持跟随关系与默认沿用</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w:t>
            </w:r>
          </w:p>
        </w:tc>
      </w:tr>
      <w:tr>
        <w:tc>
          <w:tcPr>
            <w:tcW w:type="dxa" w:w="187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当前分组</w:t>
            </w:r>
          </w:p>
        </w:tc>
        <w:tc>
          <w:tcPr>
            <w:tcW w:type="dxa" w:w="6009"/>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用于排期结果回写</w:t>
            </w:r>
          </w:p>
        </w:tc>
        <w:tc>
          <w:tcPr>
            <w:tcW w:type="dxa" w:w="1134"/>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否</w:t>
            </w:r>
          </w:p>
        </w:tc>
      </w:tr>
    </w:tbl>
    <w:p/>
    <w:p>
      <w:pPr>
        <w:keepNext/>
        <w:spacing w:before="160" w:after="40"/>
      </w:pPr>
      <w:r>
        <w:rPr>
          <w:rFonts w:ascii="Noto Sans CJK SC" w:hAnsi="Noto Sans CJK SC" w:eastAsia="Noto Sans CJK SC"/>
          <w:b/>
          <w:i w:val="0"/>
          <w:color w:val="1F4E79"/>
          <w:sz w:val="25"/>
        </w:rPr>
        <w:t>7.3 场地与任务参数字段</w:t>
      </w:r>
    </w:p>
    <w:tbl>
      <w:tblPr>
        <w:tblStyle w:val="TableGrid"/>
        <w:tblW w:type="auto" w:w="0"/>
        <w:jc w:val="center"/>
        <w:tblLayout w:type="fixed"/>
        <w:tblLook w:firstColumn="1" w:firstRow="1" w:lastColumn="0" w:lastRow="0" w:noHBand="0" w:noVBand="1" w:val="04A0"/>
      </w:tblPr>
      <w:tblGrid>
        <w:gridCol w:w="4816"/>
        <w:gridCol w:w="4816"/>
      </w:tblGrid>
      <w:tr>
        <w:tc>
          <w:tcPr>
            <w:tcW w:type="dxa" w:w="2381"/>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字段</w:t>
            </w:r>
          </w:p>
        </w:tc>
        <w:tc>
          <w:tcPr>
            <w:tcW w:type="dxa" w:w="6350"/>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说明</w:t>
            </w:r>
          </w:p>
        </w:tc>
      </w:tr>
      <w:tr>
        <w:tc>
          <w:tcPr>
            <w:tcW w:type="dxa" w:w="238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校区</w:t>
            </w:r>
          </w:p>
        </w:tc>
        <w:tc>
          <w:tcPr>
            <w:tcW w:type="dxa" w:w="635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创新港、兴庆</w:t>
            </w:r>
          </w:p>
        </w:tc>
      </w:tr>
      <w:tr>
        <w:tc>
          <w:tcPr>
            <w:tcW w:type="dxa" w:w="238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教室名称/编号</w:t>
            </w:r>
          </w:p>
        </w:tc>
        <w:tc>
          <w:tcPr>
            <w:tcW w:type="dxa" w:w="635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用于自动分配和冲突校验</w:t>
            </w:r>
          </w:p>
        </w:tc>
      </w:tr>
      <w:tr>
        <w:tc>
          <w:tcPr>
            <w:tcW w:type="dxa" w:w="238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教室可用时间</w:t>
            </w:r>
          </w:p>
        </w:tc>
        <w:tc>
          <w:tcPr>
            <w:tcW w:type="dxa" w:w="635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用于排教室</w:t>
            </w:r>
          </w:p>
        </w:tc>
      </w:tr>
      <w:tr>
        <w:tc>
          <w:tcPr>
            <w:tcW w:type="dxa" w:w="238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任务开始日期</w:t>
            </w:r>
          </w:p>
        </w:tc>
        <w:tc>
          <w:tcPr>
            <w:tcW w:type="dxa" w:w="635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如预答辩 4 月 1 日、正式答辩 5 月 6 日；应做成配置项</w:t>
            </w:r>
          </w:p>
        </w:tc>
      </w:tr>
      <w:tr>
        <w:tc>
          <w:tcPr>
            <w:tcW w:type="dxa" w:w="238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节假日规则</w:t>
            </w:r>
          </w:p>
        </w:tc>
        <w:tc>
          <w:tcPr>
            <w:tcW w:type="dxa" w:w="635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避开周末和法定节假日</w:t>
            </w:r>
          </w:p>
        </w:tc>
      </w:tr>
      <w:tr>
        <w:tc>
          <w:tcPr>
            <w:tcW w:type="dxa" w:w="238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回避开关</w:t>
            </w:r>
          </w:p>
        </w:tc>
        <w:tc>
          <w:tcPr>
            <w:tcW w:type="dxa" w:w="635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控制正式答辩是否执行导师回避</w:t>
            </w:r>
          </w:p>
        </w:tc>
      </w:tr>
      <w:tr>
        <w:tc>
          <w:tcPr>
            <w:tcW w:type="dxa" w:w="2381"/>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人数配置</w:t>
            </w:r>
          </w:p>
        </w:tc>
        <w:tc>
          <w:tcPr>
            <w:tcW w:type="dxa" w:w="635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各类答辩的人数规则与目标值</w:t>
            </w:r>
          </w:p>
        </w:tc>
      </w:tr>
    </w:tbl>
    <w:p/>
    <w:p>
      <w:pPr>
        <w:keepNext/>
        <w:spacing w:before="240" w:after="80"/>
      </w:pPr>
      <w:r>
        <w:rPr>
          <w:rFonts w:ascii="Noto Sans CJK SC" w:hAnsi="Noto Sans CJK SC" w:eastAsia="Noto Sans CJK SC"/>
          <w:b/>
          <w:i w:val="0"/>
          <w:color w:val="1F4E79"/>
          <w:sz w:val="30"/>
        </w:rPr>
        <w:t>8. 导出要求</w:t>
      </w:r>
    </w:p>
    <w:p>
      <w:pPr>
        <w:keepNext/>
        <w:spacing w:before="160" w:after="40"/>
      </w:pPr>
      <w:r>
        <w:rPr>
          <w:rFonts w:ascii="Noto Sans CJK SC" w:hAnsi="Noto Sans CJK SC" w:eastAsia="Noto Sans CJK SC"/>
          <w:b/>
          <w:i w:val="0"/>
          <w:color w:val="1F4E79"/>
          <w:sz w:val="25"/>
        </w:rPr>
        <w:t>8.1 导出内容</w:t>
      </w:r>
    </w:p>
    <w:p>
      <w:pPr>
        <w:pStyle w:val="ListBullet"/>
        <w:spacing w:before="0" w:after="60" w:line="300" w:lineRule="auto"/>
        <w:ind w:left="227"/>
      </w:pPr>
      <w:r>
        <w:rPr>
          <w:rFonts w:ascii="Noto Sans CJK SC" w:hAnsi="Noto Sans CJK SC" w:eastAsia="Noto Sans CJK SC"/>
          <w:b w:val="0"/>
          <w:i w:val="0"/>
          <w:color w:val="222222"/>
          <w:sz w:val="21"/>
        </w:rPr>
        <w:t>组别、时间、校区、教室。</w:t>
      </w:r>
    </w:p>
    <w:p>
      <w:pPr>
        <w:pStyle w:val="ListBullet"/>
        <w:spacing w:before="0" w:after="60" w:line="300" w:lineRule="auto"/>
        <w:ind w:left="227"/>
      </w:pPr>
      <w:r>
        <w:rPr>
          <w:rFonts w:ascii="Noto Sans CJK SC" w:hAnsi="Noto Sans CJK SC" w:eastAsia="Noto Sans CJK SC"/>
          <w:b w:val="0"/>
          <w:i w:val="0"/>
          <w:color w:val="222222"/>
          <w:sz w:val="21"/>
        </w:rPr>
        <w:t>专家名单、主席/组长、秘书。</w:t>
      </w:r>
    </w:p>
    <w:p>
      <w:pPr>
        <w:pStyle w:val="ListBullet"/>
        <w:spacing w:before="0" w:after="60" w:line="300" w:lineRule="auto"/>
        <w:ind w:left="227"/>
      </w:pPr>
      <w:r>
        <w:rPr>
          <w:rFonts w:ascii="Noto Sans CJK SC" w:hAnsi="Noto Sans CJK SC" w:eastAsia="Noto Sans CJK SC"/>
          <w:b w:val="0"/>
          <w:i w:val="0"/>
          <w:color w:val="222222"/>
          <w:sz w:val="21"/>
        </w:rPr>
        <w:t>学生名单及对应导师。</w:t>
      </w:r>
    </w:p>
    <w:p>
      <w:pPr>
        <w:pStyle w:val="ListBullet"/>
        <w:spacing w:before="0" w:after="60" w:line="300" w:lineRule="auto"/>
        <w:ind w:left="227"/>
      </w:pPr>
      <w:r>
        <w:rPr>
          <w:rFonts w:ascii="Noto Sans CJK SC" w:hAnsi="Noto Sans CJK SC" w:eastAsia="Noto Sans CJK SC"/>
          <w:b w:val="0"/>
          <w:i w:val="0"/>
          <w:color w:val="222222"/>
          <w:sz w:val="21"/>
        </w:rPr>
        <w:t>必要时附带冲突说明或例外说明。</w:t>
      </w:r>
    </w:p>
    <w:p>
      <w:pPr>
        <w:keepNext/>
        <w:spacing w:before="160" w:after="40"/>
      </w:pPr>
      <w:r>
        <w:rPr>
          <w:rFonts w:ascii="Noto Sans CJK SC" w:hAnsi="Noto Sans CJK SC" w:eastAsia="Noto Sans CJK SC"/>
          <w:b/>
          <w:i w:val="0"/>
          <w:color w:val="1F4E79"/>
          <w:sz w:val="25"/>
        </w:rPr>
        <w:t>8.2 导出格式</w:t>
      </w:r>
    </w:p>
    <w:p>
      <w:pPr>
        <w:pStyle w:val="ListBullet"/>
        <w:spacing w:before="0" w:after="60" w:line="300" w:lineRule="auto"/>
        <w:ind w:left="227"/>
      </w:pPr>
      <w:r>
        <w:rPr>
          <w:rFonts w:ascii="Noto Sans CJK SC" w:hAnsi="Noto Sans CJK SC" w:eastAsia="Noto Sans CJK SC"/>
          <w:b w:val="0"/>
          <w:i w:val="0"/>
          <w:color w:val="222222"/>
          <w:sz w:val="21"/>
        </w:rPr>
        <w:t>支持 Excel 导出。</w:t>
      </w:r>
    </w:p>
    <w:p>
      <w:pPr>
        <w:pStyle w:val="ListBullet"/>
        <w:spacing w:before="0" w:after="60" w:line="300" w:lineRule="auto"/>
        <w:ind w:left="227"/>
      </w:pPr>
      <w:r>
        <w:rPr>
          <w:rFonts w:ascii="Noto Sans CJK SC" w:hAnsi="Noto Sans CJK SC" w:eastAsia="Noto Sans CJK SC"/>
          <w:b w:val="0"/>
          <w:i w:val="0"/>
          <w:color w:val="222222"/>
          <w:sz w:val="21"/>
        </w:rPr>
        <w:t>支持 PDF 导出。</w:t>
      </w:r>
    </w:p>
    <w:p>
      <w:pPr>
        <w:pStyle w:val="ListBullet"/>
        <w:spacing w:before="0" w:after="60" w:line="300" w:lineRule="auto"/>
        <w:ind w:left="227"/>
      </w:pPr>
      <w:r>
        <w:rPr>
          <w:rFonts w:ascii="Noto Sans CJK SC" w:hAnsi="Noto Sans CJK SC" w:eastAsia="Noto Sans CJK SC"/>
          <w:b w:val="0"/>
          <w:i w:val="0"/>
          <w:color w:val="222222"/>
          <w:sz w:val="21"/>
        </w:rPr>
        <w:t>表格需按角色与关系保持清晰可读，不得出现信息挤压。</w:t>
      </w:r>
    </w:p>
    <w:p>
      <w:pPr>
        <w:keepNext/>
        <w:spacing w:before="160" w:after="40"/>
      </w:pPr>
      <w:r>
        <w:rPr>
          <w:rFonts w:ascii="Noto Sans CJK SC" w:hAnsi="Noto Sans CJK SC" w:eastAsia="Noto Sans CJK SC"/>
          <w:b/>
          <w:i w:val="0"/>
          <w:color w:val="1F4E79"/>
          <w:sz w:val="25"/>
        </w:rPr>
        <w:t>8.3 颜色规则</w:t>
      </w:r>
    </w:p>
    <w:p>
      <w:pPr>
        <w:pStyle w:val="ListBullet"/>
        <w:spacing w:before="0" w:after="60" w:line="300" w:lineRule="auto"/>
        <w:ind w:left="227"/>
      </w:pPr>
      <w:r>
        <w:rPr>
          <w:rFonts w:ascii="Noto Sans CJK SC" w:hAnsi="Noto Sans CJK SC" w:eastAsia="Noto Sans CJK SC"/>
          <w:b w:val="0"/>
          <w:i w:val="0"/>
          <w:color w:val="222222"/>
          <w:sz w:val="21"/>
        </w:rPr>
        <w:t>同一导师及其学生使用同一颜色标识。</w:t>
      </w:r>
    </w:p>
    <w:p>
      <w:pPr>
        <w:pStyle w:val="ListBullet"/>
        <w:spacing w:before="0" w:after="60" w:line="300" w:lineRule="auto"/>
        <w:ind w:left="227"/>
      </w:pPr>
      <w:r>
        <w:rPr>
          <w:rFonts w:ascii="Noto Sans CJK SC" w:hAnsi="Noto Sans CJK SC" w:eastAsia="Noto Sans CJK SC"/>
          <w:b w:val="0"/>
          <w:i w:val="0"/>
          <w:color w:val="222222"/>
          <w:sz w:val="21"/>
        </w:rPr>
        <w:t>不同导师使用不同颜色，颜色由系统自动分配。</w:t>
      </w:r>
    </w:p>
    <w:p>
      <w:pPr>
        <w:pStyle w:val="ListBullet"/>
        <w:spacing w:before="0" w:after="60" w:line="300" w:lineRule="auto"/>
        <w:ind w:left="227"/>
      </w:pPr>
      <w:r>
        <w:rPr>
          <w:rFonts w:ascii="Noto Sans CJK SC" w:hAnsi="Noto Sans CJK SC" w:eastAsia="Noto Sans CJK SC"/>
          <w:b w:val="0"/>
          <w:i w:val="0"/>
          <w:color w:val="222222"/>
          <w:sz w:val="21"/>
        </w:rPr>
        <w:t>专家与秘书无需强制与导师共色，可采用统一中性色或角色标识色。</w:t>
      </w:r>
    </w:p>
    <w:p>
      <w:pPr>
        <w:keepNext/>
        <w:spacing w:before="240" w:after="80"/>
      </w:pPr>
      <w:r>
        <w:rPr>
          <w:rFonts w:ascii="Noto Sans CJK SC" w:hAnsi="Noto Sans CJK SC" w:eastAsia="Noto Sans CJK SC"/>
          <w:b/>
          <w:i w:val="0"/>
          <w:color w:val="1F4E79"/>
          <w:sz w:val="30"/>
        </w:rPr>
        <w:t>9. 待确认项</w:t>
      </w:r>
    </w:p>
    <w:p>
      <w:pPr>
        <w:spacing w:before="0" w:after="120" w:line="331" w:lineRule="auto"/>
        <w:ind w:firstLine="420"/>
      </w:pPr>
      <w:r>
        <w:rPr>
          <w:rFonts w:ascii="Noto Sans CJK SC" w:hAnsi="Noto Sans CJK SC" w:eastAsia="Noto Sans CJK SC"/>
          <w:b w:val="0"/>
          <w:i w:val="0"/>
          <w:color w:val="222222"/>
          <w:sz w:val="21"/>
        </w:rPr>
        <w:t>当前业务规则已基本收敛，但以下数据或策略仍需补充，以保证系统上线前能够完整运行。</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680"/>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序号</w:t>
            </w:r>
          </w:p>
        </w:tc>
        <w:tc>
          <w:tcPr>
            <w:tcW w:type="dxa" w:w="4932"/>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待确认项</w:t>
            </w:r>
          </w:p>
        </w:tc>
        <w:tc>
          <w:tcPr>
            <w:tcW w:type="dxa" w:w="3458"/>
            <w:vAlign w:val="center"/>
            <w:tcMar>
              <w:top w:w="80" w:type="dxa"/>
              <w:start w:w="120" w:type="dxa"/>
              <w:bottom w:w="80" w:type="dxa"/>
              <w:end w:w="120" w:type="dxa"/>
            </w:tcMar>
            <w:shd w:fill="DDEBF7"/>
          </w:tcPr>
          <w:p>
            <w:pPr>
              <w:spacing w:before="0" w:after="40" w:line="288" w:lineRule="auto"/>
              <w:jc w:val="left"/>
            </w:pPr>
            <w:r>
              <w:rPr>
                <w:rFonts w:ascii="Noto Sans CJK SC" w:hAnsi="Noto Sans CJK SC" w:eastAsia="Noto Sans CJK SC"/>
                <w:b/>
                <w:i w:val="0"/>
                <w:color w:val="1F4E79"/>
                <w:sz w:val="18"/>
              </w:rPr>
              <w:t>影响</w:t>
            </w:r>
          </w:p>
        </w:tc>
      </w:tr>
      <w:tr>
        <w:tc>
          <w:tcPr>
            <w:tcW w:type="dxa" w:w="68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1</w:t>
            </w:r>
          </w:p>
        </w:tc>
        <w:tc>
          <w:tcPr>
            <w:tcW w:type="dxa" w:w="4932"/>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两个校区的教室清单、数量及可用时间</w:t>
            </w:r>
          </w:p>
        </w:tc>
        <w:tc>
          <w:tcPr>
            <w:tcW w:type="dxa" w:w="3458"/>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直接影响教室自动分配是否可落地</w:t>
            </w:r>
          </w:p>
        </w:tc>
      </w:tr>
      <w:tr>
        <w:tc>
          <w:tcPr>
            <w:tcW w:type="dxa" w:w="68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2</w:t>
            </w:r>
          </w:p>
        </w:tc>
        <w:tc>
          <w:tcPr>
            <w:tcW w:type="dxa" w:w="4932"/>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法定节假日数据来源（手工维护、后台配置或外部接口）</w:t>
            </w:r>
          </w:p>
        </w:tc>
        <w:tc>
          <w:tcPr>
            <w:tcW w:type="dxa" w:w="3458"/>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影响排期算法和运维方式</w:t>
            </w:r>
          </w:p>
        </w:tc>
      </w:tr>
      <w:tr>
        <w:tc>
          <w:tcPr>
            <w:tcW w:type="dxa" w:w="68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3</w:t>
            </w:r>
          </w:p>
        </w:tc>
        <w:tc>
          <w:tcPr>
            <w:tcW w:type="dxa" w:w="4932"/>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时间段粒度（按场次、半天、小时等）</w:t>
            </w:r>
          </w:p>
        </w:tc>
        <w:tc>
          <w:tcPr>
            <w:tcW w:type="dxa" w:w="3458"/>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影响排期引擎建模</w:t>
            </w:r>
          </w:p>
        </w:tc>
      </w:tr>
      <w:tr>
        <w:tc>
          <w:tcPr>
            <w:tcW w:type="dxa" w:w="68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4</w:t>
            </w:r>
          </w:p>
        </w:tc>
        <w:tc>
          <w:tcPr>
            <w:tcW w:type="dxa" w:w="4932"/>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教室自动分配的默认策略</w:t>
            </w:r>
          </w:p>
        </w:tc>
        <w:tc>
          <w:tcPr>
            <w:tcW w:type="dxa" w:w="3458"/>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影响排期结果可解释性与用户预期</w:t>
            </w:r>
          </w:p>
        </w:tc>
      </w:tr>
      <w:tr>
        <w:tc>
          <w:tcPr>
            <w:tcW w:type="dxa" w:w="680"/>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5</w:t>
            </w:r>
          </w:p>
        </w:tc>
        <w:tc>
          <w:tcPr>
            <w:tcW w:type="dxa" w:w="4932"/>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是否需要记录并展示人工调整日志</w:t>
            </w:r>
          </w:p>
        </w:tc>
        <w:tc>
          <w:tcPr>
            <w:tcW w:type="dxa" w:w="3458"/>
            <w:vAlign w:val="center"/>
            <w:tcMar>
              <w:top w:w="80" w:type="dxa"/>
              <w:start w:w="120" w:type="dxa"/>
              <w:bottom w:w="80" w:type="dxa"/>
              <w:end w:w="120" w:type="dxa"/>
            </w:tcMar>
          </w:tcPr>
          <w:p>
            <w:pPr>
              <w:spacing w:before="0" w:after="40" w:line="288" w:lineRule="auto"/>
              <w:jc w:val="left"/>
            </w:pPr>
            <w:r>
              <w:rPr>
                <w:rFonts w:ascii="Noto Sans CJK SC" w:hAnsi="Noto Sans CJK SC" w:eastAsia="Noto Sans CJK SC"/>
                <w:b w:val="0"/>
                <w:i w:val="0"/>
                <w:color w:val="222222"/>
                <w:sz w:val="18"/>
              </w:rPr>
              <w:t>影响后台交互与审计能力</w:t>
            </w:r>
          </w:p>
        </w:tc>
      </w:tr>
    </w:tbl>
    <w:p/>
    <w:p>
      <w:pPr>
        <w:keepNext/>
        <w:spacing w:before="240" w:after="80"/>
      </w:pPr>
      <w:r>
        <w:rPr>
          <w:rFonts w:ascii="Noto Sans CJK SC" w:hAnsi="Noto Sans CJK SC" w:eastAsia="Noto Sans CJK SC"/>
          <w:b/>
          <w:i w:val="0"/>
          <w:color w:val="1F4E79"/>
          <w:sz w:val="30"/>
        </w:rPr>
        <w:t>10. 实施建议</w:t>
      </w:r>
    </w:p>
    <w:p>
      <w:pPr>
        <w:pStyle w:val="ListBullet"/>
        <w:spacing w:before="0" w:after="60" w:line="300" w:lineRule="auto"/>
        <w:ind w:left="227"/>
      </w:pPr>
      <w:r>
        <w:rPr>
          <w:rFonts w:ascii="Noto Sans CJK SC" w:hAnsi="Noto Sans CJK SC" w:eastAsia="Noto Sans CJK SC"/>
          <w:b w:val="0"/>
          <w:i w:val="0"/>
          <w:color w:val="222222"/>
          <w:sz w:val="21"/>
        </w:rPr>
        <w:t>第一阶段先打通基础数据管理、规则配置、自动排组排期、冲突检测和导出。</w:t>
      </w:r>
    </w:p>
    <w:p>
      <w:pPr>
        <w:pStyle w:val="ListBullet"/>
        <w:spacing w:before="0" w:after="60" w:line="300" w:lineRule="auto"/>
        <w:ind w:left="227"/>
      </w:pPr>
      <w:r>
        <w:rPr>
          <w:rFonts w:ascii="Noto Sans CJK SC" w:hAnsi="Noto Sans CJK SC" w:eastAsia="Noto Sans CJK SC"/>
          <w:b w:val="0"/>
          <w:i w:val="0"/>
          <w:color w:val="222222"/>
          <w:sz w:val="21"/>
        </w:rPr>
        <w:t>第二阶段再增强日志留痕、模板化导出、节假日同步和更精细的优化算法。</w:t>
      </w:r>
    </w:p>
    <w:p>
      <w:pPr>
        <w:pStyle w:val="ListBullet"/>
        <w:spacing w:before="0" w:after="60" w:line="300" w:lineRule="auto"/>
        <w:ind w:left="227"/>
      </w:pPr>
      <w:r>
        <w:rPr>
          <w:rFonts w:ascii="Noto Sans CJK SC" w:hAnsi="Noto Sans CJK SC" w:eastAsia="Noto Sans CJK SC"/>
          <w:b w:val="0"/>
          <w:i w:val="0"/>
          <w:color w:val="222222"/>
          <w:sz w:val="21"/>
        </w:rPr>
        <w:t>教室自动分配建议先采用“按校区筛选可用教室，再按顺序分配”的简单策略，待实际使用后再优化。</w:t>
      </w:r>
    </w:p>
    <w:p>
      <w:pPr>
        <w:pStyle w:val="ListBullet"/>
        <w:spacing w:before="0" w:after="60" w:line="300" w:lineRule="auto"/>
        <w:ind w:left="227"/>
      </w:pPr>
      <w:r>
        <w:rPr>
          <w:rFonts w:ascii="Noto Sans CJK SC" w:hAnsi="Noto Sans CJK SC" w:eastAsia="Noto Sans CJK SC"/>
          <w:b w:val="0"/>
          <w:i w:val="0"/>
          <w:color w:val="222222"/>
          <w:sz w:val="21"/>
        </w:rPr>
        <w:t>为降低需求返工，建议在开发前补齐教室与时间粒度数据，并完成一次规则走查。</w:t>
      </w:r>
    </w:p>
    <w:tbl>
      <w:tblPr>
        <w:tblW w:type="auto" w:w="0"/>
        <w:jc w:val="center"/>
        <w:tblLayout w:type="fixed"/>
        <w:tblLook w:firstColumn="1" w:firstRow="1" w:lastColumn="0" w:lastRow="0" w:noHBand="0" w:noVBand="1" w:val="04A0"/>
      </w:tblPr>
      <w:tblGrid>
        <w:gridCol w:w="9632"/>
      </w:tblGrid>
      <w:tr>
        <w:tc>
          <w:tcPr>
            <w:tcW w:type="dxa" w:w="9184"/>
            <w:shd w:fill="F4F8FB"/>
            <w:tcMar>
              <w:top w:w="120" w:type="dxa"/>
              <w:start w:w="180" w:type="dxa"/>
              <w:bottom w:w="120" w:type="dxa"/>
              <w:end w:w="180" w:type="dxa"/>
            </w:tcMar>
          </w:tcPr>
          <w:p>
            <w:pPr>
              <w:spacing w:before="0" w:after="60" w:line="276" w:lineRule="auto"/>
              <w:jc w:val="left"/>
            </w:pPr>
            <w:r>
              <w:rPr>
                <w:rFonts w:ascii="Noto Sans CJK SC" w:hAnsi="Noto Sans CJK SC" w:eastAsia="Noto Sans CJK SC"/>
                <w:b/>
                <w:i w:val="0"/>
                <w:color w:val="1F4E79"/>
                <w:sz w:val="21"/>
              </w:rPr>
              <w:t>结论</w:t>
            </w:r>
          </w:p>
          <w:p>
            <w:pPr>
              <w:spacing w:before="0" w:after="0" w:line="312" w:lineRule="auto"/>
            </w:pPr>
            <w:r>
              <w:rPr>
                <w:rFonts w:ascii="Noto Sans CJK SC" w:hAnsi="Noto Sans CJK SC" w:eastAsia="Noto Sans CJK SC"/>
                <w:b w:val="0"/>
                <w:i w:val="0"/>
                <w:color w:val="222222"/>
                <w:sz w:val="20"/>
              </w:rPr>
              <w:t>本 PRD 已将当前已确认的需求转化为标准产品文档结构。若补齐教室与时间粒度等基础配置，即可进入原型设计、数据库建模、规则引擎设计与开发排期。</w:t>
            </w:r>
          </w:p>
        </w:tc>
      </w:tr>
    </w:tbl>
    <w:p/>
    <w:sectPr w:rsidR="00FC693F" w:rsidRPr="0006063C" w:rsidSect="00034616">
      <w:headerReference w:type="default" r:id="rId9"/>
      <w:footerReference w:type="default" r:id="rId10"/>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666666"/>
        <w:sz w:val="17"/>
      </w:rPr>
      <w:t>内部评审稿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666666"/>
        <w:sz w:val="17"/>
      </w:rPr>
      <w:t>答辩排组排期系统｜产品需求文档（PRD）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