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A3142" w14:textId="59172050" w:rsidR="00B36943" w:rsidRPr="00B36943" w:rsidRDefault="00AE1EDC" w:rsidP="00B36943">
      <w:pPr>
        <w:shd w:val="clear" w:color="auto" w:fill="DEF2F8"/>
        <w:spacing w:after="120" w:line="240" w:lineRule="auto"/>
        <w:rPr>
          <w:rFonts w:ascii="open_sansregular" w:eastAsia="Times New Roman" w:hAnsi="open_sansregular" w:cs="Times New Roman"/>
          <w:color w:val="2F6473"/>
          <w:sz w:val="23"/>
          <w:szCs w:val="23"/>
        </w:rPr>
      </w:pPr>
      <w:r>
        <w:rPr>
          <w:rFonts w:ascii="open_sansregular" w:eastAsia="Times New Roman" w:hAnsi="open_sansregular" w:cs="Times New Roman"/>
          <w:color w:val="2F6473"/>
          <w:sz w:val="23"/>
          <w:szCs w:val="23"/>
        </w:rPr>
        <w:t xml:space="preserve"> </w:t>
      </w:r>
      <w:r w:rsidR="001C7496">
        <w:rPr>
          <w:rFonts w:ascii="open_sansregular" w:eastAsia="Times New Roman" w:hAnsi="open_sansregular" w:cs="Times New Roman"/>
          <w:color w:val="2F6473"/>
          <w:sz w:val="23"/>
          <w:szCs w:val="23"/>
        </w:rPr>
        <w:t xml:space="preserve">Q1: </w:t>
      </w:r>
      <w:r w:rsidR="00B36943" w:rsidRPr="00B36943">
        <w:rPr>
          <w:rFonts w:ascii="open_sansregular" w:eastAsia="Times New Roman" w:hAnsi="open_sansregular" w:cs="Times New Roman"/>
          <w:color w:val="2F6473"/>
          <w:sz w:val="23"/>
          <w:szCs w:val="23"/>
        </w:rPr>
        <w:t>A country's labor force is the sum of the number of employed and unemployed workers. The accompanying table provides data on the size of the labor force and the number of unemployed workers for different regions of the United States.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F2F8"/>
        <w:tblCellMar>
          <w:top w:w="15" w:type="dxa"/>
          <w:left w:w="15" w:type="dxa"/>
          <w:bottom w:w="15" w:type="dxa"/>
          <w:right w:w="15" w:type="dxa"/>
        </w:tblCellMar>
        <w:tblLook w:val="04A0" w:firstRow="1" w:lastRow="0" w:firstColumn="1" w:lastColumn="0" w:noHBand="0" w:noVBand="1"/>
      </w:tblPr>
      <w:tblGrid>
        <w:gridCol w:w="1165"/>
        <w:gridCol w:w="1631"/>
        <w:gridCol w:w="1429"/>
        <w:gridCol w:w="1368"/>
        <w:gridCol w:w="1399"/>
      </w:tblGrid>
      <w:tr w:rsidR="00B36943" w:rsidRPr="00B36943" w14:paraId="616DCC51" w14:textId="77777777" w:rsidTr="009B3D51">
        <w:trPr>
          <w:jc w:val="center"/>
        </w:trPr>
        <w:tc>
          <w:tcPr>
            <w:tcW w:w="4225" w:type="dxa"/>
            <w:gridSpan w:val="3"/>
            <w:shd w:val="clear" w:color="auto" w:fill="DEF2F8"/>
            <w:vAlign w:val="center"/>
            <w:hideMark/>
          </w:tcPr>
          <w:p w14:paraId="6280900F" w14:textId="77777777" w:rsidR="00B36943" w:rsidRPr="00B36943" w:rsidRDefault="00B36943" w:rsidP="00576189">
            <w:pPr>
              <w:spacing w:after="0" w:line="240" w:lineRule="auto"/>
              <w:jc w:val="center"/>
              <w:rPr>
                <w:rFonts w:ascii="open_sansregular" w:eastAsia="Times New Roman" w:hAnsi="open_sansregular" w:cs="Times New Roman"/>
                <w:color w:val="2F6473"/>
                <w:sz w:val="23"/>
                <w:szCs w:val="23"/>
              </w:rPr>
            </w:pPr>
            <w:r w:rsidRPr="00576189">
              <w:rPr>
                <w:rFonts w:ascii="open_sansregular" w:eastAsia="Times New Roman" w:hAnsi="open_sansregular" w:cs="Times New Roman"/>
                <w:color w:val="2F6473"/>
                <w:sz w:val="19"/>
                <w:szCs w:val="23"/>
              </w:rPr>
              <w:t>Labor force (thousands)</w:t>
            </w:r>
          </w:p>
        </w:tc>
        <w:tc>
          <w:tcPr>
            <w:tcW w:w="2767" w:type="dxa"/>
            <w:gridSpan w:val="2"/>
            <w:shd w:val="clear" w:color="auto" w:fill="DEF2F8"/>
            <w:vAlign w:val="center"/>
            <w:hideMark/>
          </w:tcPr>
          <w:p w14:paraId="79237C8B"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576189">
              <w:rPr>
                <w:rFonts w:ascii="open_sansregular" w:eastAsia="Times New Roman" w:hAnsi="open_sansregular" w:cs="Times New Roman"/>
                <w:color w:val="2F6473"/>
                <w:sz w:val="19"/>
                <w:szCs w:val="23"/>
              </w:rPr>
              <w:t>Unemployment (thousands)</w:t>
            </w:r>
          </w:p>
        </w:tc>
      </w:tr>
      <w:tr w:rsidR="00B36943" w:rsidRPr="00B36943" w14:paraId="47BEEC83" w14:textId="77777777" w:rsidTr="009B3D51">
        <w:trPr>
          <w:jc w:val="center"/>
        </w:trPr>
        <w:tc>
          <w:tcPr>
            <w:tcW w:w="1165" w:type="dxa"/>
            <w:shd w:val="clear" w:color="auto" w:fill="DEF2F8"/>
            <w:vAlign w:val="center"/>
            <w:hideMark/>
          </w:tcPr>
          <w:p w14:paraId="4C4427F3" w14:textId="77777777" w:rsidR="00B36943" w:rsidRPr="00B36943" w:rsidRDefault="00B36943" w:rsidP="00B36943">
            <w:pPr>
              <w:spacing w:after="12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Region</w:t>
            </w:r>
          </w:p>
        </w:tc>
        <w:tc>
          <w:tcPr>
            <w:tcW w:w="1631" w:type="dxa"/>
            <w:shd w:val="clear" w:color="auto" w:fill="DEF2F8"/>
            <w:vAlign w:val="center"/>
            <w:hideMark/>
          </w:tcPr>
          <w:p w14:paraId="6DBD7E06" w14:textId="77777777" w:rsidR="00B36943" w:rsidRPr="00374633" w:rsidRDefault="00B36943" w:rsidP="00B36943">
            <w:pPr>
              <w:spacing w:after="0" w:line="240" w:lineRule="auto"/>
              <w:jc w:val="center"/>
              <w:rPr>
                <w:rFonts w:ascii="open_sansregular" w:eastAsia="Times New Roman" w:hAnsi="open_sansregular" w:cs="Times New Roman"/>
                <w:color w:val="FF0000"/>
                <w:sz w:val="23"/>
                <w:szCs w:val="23"/>
              </w:rPr>
            </w:pPr>
            <w:r w:rsidRPr="00374633">
              <w:rPr>
                <w:rFonts w:ascii="open_sansregular" w:eastAsia="Times New Roman" w:hAnsi="open_sansregular" w:cs="Times New Roman"/>
                <w:color w:val="FF0000"/>
                <w:sz w:val="23"/>
                <w:szCs w:val="23"/>
              </w:rPr>
              <w:t>April 2013</w:t>
            </w:r>
          </w:p>
        </w:tc>
        <w:tc>
          <w:tcPr>
            <w:tcW w:w="1429" w:type="dxa"/>
            <w:shd w:val="clear" w:color="auto" w:fill="DEF2F8"/>
            <w:vAlign w:val="center"/>
            <w:hideMark/>
          </w:tcPr>
          <w:p w14:paraId="1998A9D6"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April 2014</w:t>
            </w:r>
          </w:p>
        </w:tc>
        <w:tc>
          <w:tcPr>
            <w:tcW w:w="1368" w:type="dxa"/>
            <w:shd w:val="clear" w:color="auto" w:fill="DEF2F8"/>
            <w:vAlign w:val="center"/>
            <w:hideMark/>
          </w:tcPr>
          <w:p w14:paraId="10B841C0" w14:textId="77777777" w:rsidR="00B36943" w:rsidRPr="00374633" w:rsidRDefault="00B36943" w:rsidP="00B36943">
            <w:pPr>
              <w:spacing w:after="0" w:line="240" w:lineRule="auto"/>
              <w:jc w:val="center"/>
              <w:rPr>
                <w:rFonts w:ascii="open_sansregular" w:eastAsia="Times New Roman" w:hAnsi="open_sansregular" w:cs="Times New Roman"/>
                <w:color w:val="FF0000"/>
                <w:sz w:val="23"/>
                <w:szCs w:val="23"/>
              </w:rPr>
            </w:pPr>
            <w:r w:rsidRPr="00374633">
              <w:rPr>
                <w:rFonts w:ascii="open_sansregular" w:eastAsia="Times New Roman" w:hAnsi="open_sansregular" w:cs="Times New Roman"/>
                <w:color w:val="FF0000"/>
                <w:sz w:val="23"/>
                <w:szCs w:val="23"/>
              </w:rPr>
              <w:t>April 2013</w:t>
            </w:r>
          </w:p>
        </w:tc>
        <w:tc>
          <w:tcPr>
            <w:tcW w:w="1399" w:type="dxa"/>
            <w:shd w:val="clear" w:color="auto" w:fill="DEF2F8"/>
            <w:vAlign w:val="center"/>
            <w:hideMark/>
          </w:tcPr>
          <w:p w14:paraId="07BF0F69"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April 2014</w:t>
            </w:r>
          </w:p>
        </w:tc>
      </w:tr>
      <w:tr w:rsidR="00B36943" w:rsidRPr="00B36943" w14:paraId="6B576AAB" w14:textId="77777777" w:rsidTr="009B3D51">
        <w:trPr>
          <w:jc w:val="center"/>
        </w:trPr>
        <w:tc>
          <w:tcPr>
            <w:tcW w:w="1165" w:type="dxa"/>
            <w:shd w:val="clear" w:color="auto" w:fill="DEF2F8"/>
            <w:vAlign w:val="center"/>
            <w:hideMark/>
          </w:tcPr>
          <w:p w14:paraId="02842E5E" w14:textId="79D3A87E" w:rsidR="00B36943" w:rsidRPr="00B36943" w:rsidRDefault="00B36943" w:rsidP="00B36943">
            <w:pPr>
              <w:spacing w:after="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Northeast</w:t>
            </w:r>
            <w:r w:rsidR="00560E2C">
              <w:rPr>
                <w:rFonts w:ascii="open_sansregular" w:eastAsia="Times New Roman" w:hAnsi="open_sansregular" w:cs="Times New Roman"/>
                <w:color w:val="2F6473"/>
                <w:sz w:val="23"/>
                <w:szCs w:val="23"/>
              </w:rPr>
              <w:t xml:space="preserve"> </w:t>
            </w:r>
          </w:p>
        </w:tc>
        <w:tc>
          <w:tcPr>
            <w:tcW w:w="1631" w:type="dxa"/>
            <w:shd w:val="clear" w:color="auto" w:fill="DEF2F8"/>
            <w:vAlign w:val="center"/>
            <w:hideMark/>
          </w:tcPr>
          <w:p w14:paraId="23F37849" w14:textId="77777777" w:rsidR="00B36943" w:rsidRPr="00374633" w:rsidRDefault="00B36943" w:rsidP="00B36943">
            <w:pPr>
              <w:spacing w:after="0" w:line="240" w:lineRule="auto"/>
              <w:jc w:val="center"/>
              <w:rPr>
                <w:rFonts w:ascii="open_sansregular" w:eastAsia="Times New Roman" w:hAnsi="open_sansregular" w:cs="Times New Roman"/>
                <w:color w:val="FF0000"/>
                <w:sz w:val="23"/>
                <w:szCs w:val="23"/>
              </w:rPr>
            </w:pPr>
            <w:r w:rsidRPr="00374633">
              <w:rPr>
                <w:rFonts w:ascii="open_sansregular" w:eastAsia="Times New Roman" w:hAnsi="open_sansregular" w:cs="Times New Roman"/>
                <w:color w:val="FF0000"/>
                <w:sz w:val="23"/>
                <w:szCs w:val="23"/>
              </w:rPr>
              <w:t>28,407.2</w:t>
            </w:r>
          </w:p>
        </w:tc>
        <w:tc>
          <w:tcPr>
            <w:tcW w:w="1429" w:type="dxa"/>
            <w:shd w:val="clear" w:color="auto" w:fill="DEF2F8"/>
            <w:vAlign w:val="center"/>
            <w:hideMark/>
          </w:tcPr>
          <w:p w14:paraId="4E5A3B79"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28,288.9</w:t>
            </w:r>
          </w:p>
        </w:tc>
        <w:tc>
          <w:tcPr>
            <w:tcW w:w="1368" w:type="dxa"/>
            <w:shd w:val="clear" w:color="auto" w:fill="DEF2F8"/>
            <w:vAlign w:val="center"/>
            <w:hideMark/>
          </w:tcPr>
          <w:p w14:paraId="76A86F37" w14:textId="77777777" w:rsidR="00B36943" w:rsidRPr="00374633" w:rsidRDefault="00B36943" w:rsidP="00B36943">
            <w:pPr>
              <w:spacing w:after="0" w:line="240" w:lineRule="auto"/>
              <w:jc w:val="center"/>
              <w:rPr>
                <w:rFonts w:ascii="open_sansregular" w:eastAsia="Times New Roman" w:hAnsi="open_sansregular" w:cs="Times New Roman"/>
                <w:color w:val="FF0000"/>
                <w:sz w:val="23"/>
                <w:szCs w:val="23"/>
              </w:rPr>
            </w:pPr>
            <w:r w:rsidRPr="00374633">
              <w:rPr>
                <w:rFonts w:ascii="open_sansregular" w:eastAsia="Times New Roman" w:hAnsi="open_sansregular" w:cs="Times New Roman"/>
                <w:color w:val="FF0000"/>
                <w:sz w:val="23"/>
                <w:szCs w:val="23"/>
              </w:rPr>
              <w:t>2,174.4</w:t>
            </w:r>
          </w:p>
        </w:tc>
        <w:tc>
          <w:tcPr>
            <w:tcW w:w="1399" w:type="dxa"/>
            <w:shd w:val="clear" w:color="auto" w:fill="DEF2F8"/>
            <w:vAlign w:val="center"/>
            <w:hideMark/>
          </w:tcPr>
          <w:p w14:paraId="36BF7E27"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1,781.3</w:t>
            </w:r>
          </w:p>
        </w:tc>
      </w:tr>
      <w:tr w:rsidR="00B36943" w:rsidRPr="00B36943" w14:paraId="157EA4D2" w14:textId="77777777" w:rsidTr="009B3D51">
        <w:trPr>
          <w:jc w:val="center"/>
        </w:trPr>
        <w:tc>
          <w:tcPr>
            <w:tcW w:w="1165" w:type="dxa"/>
            <w:shd w:val="clear" w:color="auto" w:fill="DEF2F8"/>
            <w:vAlign w:val="center"/>
            <w:hideMark/>
          </w:tcPr>
          <w:p w14:paraId="13A40D6C" w14:textId="77777777" w:rsidR="00B36943" w:rsidRPr="00B36943" w:rsidRDefault="00B36943" w:rsidP="00B36943">
            <w:pPr>
              <w:spacing w:after="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South</w:t>
            </w:r>
          </w:p>
        </w:tc>
        <w:tc>
          <w:tcPr>
            <w:tcW w:w="1631" w:type="dxa"/>
            <w:shd w:val="clear" w:color="auto" w:fill="DEF2F8"/>
            <w:vAlign w:val="center"/>
            <w:hideMark/>
          </w:tcPr>
          <w:p w14:paraId="17A39FE9" w14:textId="77777777" w:rsidR="00B36943" w:rsidRPr="00374633" w:rsidRDefault="00B36943" w:rsidP="00B36943">
            <w:pPr>
              <w:spacing w:after="0" w:line="240" w:lineRule="auto"/>
              <w:jc w:val="center"/>
              <w:rPr>
                <w:rFonts w:ascii="open_sansregular" w:eastAsia="Times New Roman" w:hAnsi="open_sansregular" w:cs="Times New Roman"/>
                <w:color w:val="FF0000"/>
                <w:sz w:val="23"/>
                <w:szCs w:val="23"/>
              </w:rPr>
            </w:pPr>
            <w:r w:rsidRPr="00374633">
              <w:rPr>
                <w:rFonts w:ascii="open_sansregular" w:eastAsia="Times New Roman" w:hAnsi="open_sansregular" w:cs="Times New Roman"/>
                <w:color w:val="FF0000"/>
                <w:sz w:val="23"/>
                <w:szCs w:val="23"/>
              </w:rPr>
              <w:t>56,787.8</w:t>
            </w:r>
          </w:p>
        </w:tc>
        <w:tc>
          <w:tcPr>
            <w:tcW w:w="1429" w:type="dxa"/>
            <w:shd w:val="clear" w:color="auto" w:fill="DEF2F8"/>
            <w:vAlign w:val="center"/>
            <w:hideMark/>
          </w:tcPr>
          <w:p w14:paraId="7B3A5F8B"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57,016.4</w:t>
            </w:r>
          </w:p>
        </w:tc>
        <w:tc>
          <w:tcPr>
            <w:tcW w:w="1368" w:type="dxa"/>
            <w:shd w:val="clear" w:color="auto" w:fill="DEF2F8"/>
            <w:vAlign w:val="center"/>
            <w:hideMark/>
          </w:tcPr>
          <w:p w14:paraId="097056A7" w14:textId="77777777" w:rsidR="00B36943" w:rsidRPr="00374633" w:rsidRDefault="00B36943" w:rsidP="00B36943">
            <w:pPr>
              <w:spacing w:after="0" w:line="240" w:lineRule="auto"/>
              <w:jc w:val="center"/>
              <w:rPr>
                <w:rFonts w:ascii="open_sansregular" w:eastAsia="Times New Roman" w:hAnsi="open_sansregular" w:cs="Times New Roman"/>
                <w:color w:val="FF0000"/>
                <w:sz w:val="23"/>
                <w:szCs w:val="23"/>
              </w:rPr>
            </w:pPr>
            <w:r w:rsidRPr="00374633">
              <w:rPr>
                <w:rFonts w:ascii="open_sansregular" w:eastAsia="Times New Roman" w:hAnsi="open_sansregular" w:cs="Times New Roman"/>
                <w:color w:val="FF0000"/>
                <w:sz w:val="23"/>
                <w:szCs w:val="23"/>
              </w:rPr>
              <w:t>4,089.9</w:t>
            </w:r>
          </w:p>
        </w:tc>
        <w:tc>
          <w:tcPr>
            <w:tcW w:w="1399" w:type="dxa"/>
            <w:shd w:val="clear" w:color="auto" w:fill="DEF2F8"/>
            <w:vAlign w:val="center"/>
            <w:hideMark/>
          </w:tcPr>
          <w:p w14:paraId="35B90196"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3,363.8</w:t>
            </w:r>
          </w:p>
        </w:tc>
      </w:tr>
      <w:tr w:rsidR="00B36943" w:rsidRPr="00B36943" w14:paraId="47E70FC0" w14:textId="77777777" w:rsidTr="009B3D51">
        <w:trPr>
          <w:jc w:val="center"/>
        </w:trPr>
        <w:tc>
          <w:tcPr>
            <w:tcW w:w="1165" w:type="dxa"/>
            <w:shd w:val="clear" w:color="auto" w:fill="DEF2F8"/>
            <w:vAlign w:val="center"/>
            <w:hideMark/>
          </w:tcPr>
          <w:p w14:paraId="3685D126" w14:textId="77777777" w:rsidR="00B36943" w:rsidRPr="00B36943" w:rsidRDefault="00B36943" w:rsidP="00B36943">
            <w:pPr>
              <w:spacing w:after="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Midwest</w:t>
            </w:r>
          </w:p>
        </w:tc>
        <w:tc>
          <w:tcPr>
            <w:tcW w:w="1631" w:type="dxa"/>
            <w:shd w:val="clear" w:color="auto" w:fill="DEF2F8"/>
            <w:vAlign w:val="center"/>
            <w:hideMark/>
          </w:tcPr>
          <w:p w14:paraId="46B575DF" w14:textId="77777777" w:rsidR="00B36943" w:rsidRPr="00374633" w:rsidRDefault="00B36943" w:rsidP="00B36943">
            <w:pPr>
              <w:spacing w:after="0" w:line="240" w:lineRule="auto"/>
              <w:jc w:val="center"/>
              <w:rPr>
                <w:rFonts w:ascii="open_sansregular" w:eastAsia="Times New Roman" w:hAnsi="open_sansregular" w:cs="Times New Roman"/>
                <w:color w:val="FF0000"/>
                <w:sz w:val="23"/>
                <w:szCs w:val="23"/>
              </w:rPr>
            </w:pPr>
            <w:r w:rsidRPr="00374633">
              <w:rPr>
                <w:rFonts w:ascii="open_sansregular" w:eastAsia="Times New Roman" w:hAnsi="open_sansregular" w:cs="Times New Roman"/>
                <w:color w:val="FF0000"/>
                <w:sz w:val="23"/>
                <w:szCs w:val="23"/>
              </w:rPr>
              <w:t>34,320.0</w:t>
            </w:r>
          </w:p>
        </w:tc>
        <w:tc>
          <w:tcPr>
            <w:tcW w:w="1429" w:type="dxa"/>
            <w:shd w:val="clear" w:color="auto" w:fill="DEF2F8"/>
            <w:vAlign w:val="center"/>
            <w:hideMark/>
          </w:tcPr>
          <w:p w14:paraId="3A77C866"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34,467.0</w:t>
            </w:r>
          </w:p>
        </w:tc>
        <w:tc>
          <w:tcPr>
            <w:tcW w:w="1368" w:type="dxa"/>
            <w:shd w:val="clear" w:color="auto" w:fill="DEF2F8"/>
            <w:vAlign w:val="center"/>
            <w:hideMark/>
          </w:tcPr>
          <w:p w14:paraId="204FC979" w14:textId="77777777" w:rsidR="00B36943" w:rsidRPr="00374633" w:rsidRDefault="00B36943" w:rsidP="00B36943">
            <w:pPr>
              <w:spacing w:after="0" w:line="240" w:lineRule="auto"/>
              <w:jc w:val="center"/>
              <w:rPr>
                <w:rFonts w:ascii="open_sansregular" w:eastAsia="Times New Roman" w:hAnsi="open_sansregular" w:cs="Times New Roman"/>
                <w:color w:val="FF0000"/>
                <w:sz w:val="23"/>
                <w:szCs w:val="23"/>
              </w:rPr>
            </w:pPr>
            <w:r w:rsidRPr="00374633">
              <w:rPr>
                <w:rFonts w:ascii="open_sansregular" w:eastAsia="Times New Roman" w:hAnsi="open_sansregular" w:cs="Times New Roman"/>
                <w:color w:val="FF0000"/>
                <w:sz w:val="23"/>
                <w:szCs w:val="23"/>
              </w:rPr>
              <w:t>2,473.7</w:t>
            </w:r>
          </w:p>
        </w:tc>
        <w:tc>
          <w:tcPr>
            <w:tcW w:w="1399" w:type="dxa"/>
            <w:shd w:val="clear" w:color="auto" w:fill="DEF2F8"/>
            <w:vAlign w:val="center"/>
            <w:hideMark/>
          </w:tcPr>
          <w:p w14:paraId="2FF0E752"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2,109.0</w:t>
            </w:r>
          </w:p>
        </w:tc>
      </w:tr>
      <w:tr w:rsidR="00B36943" w:rsidRPr="00B36943" w14:paraId="0922885D" w14:textId="77777777" w:rsidTr="009B3D51">
        <w:trPr>
          <w:jc w:val="center"/>
        </w:trPr>
        <w:tc>
          <w:tcPr>
            <w:tcW w:w="1165" w:type="dxa"/>
            <w:shd w:val="clear" w:color="auto" w:fill="DEF2F8"/>
            <w:vAlign w:val="center"/>
            <w:hideMark/>
          </w:tcPr>
          <w:p w14:paraId="06542639" w14:textId="77777777" w:rsidR="00B36943" w:rsidRPr="00B36943" w:rsidRDefault="00B36943" w:rsidP="00B36943">
            <w:pPr>
              <w:spacing w:after="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West</w:t>
            </w:r>
          </w:p>
        </w:tc>
        <w:tc>
          <w:tcPr>
            <w:tcW w:w="1631" w:type="dxa"/>
            <w:shd w:val="clear" w:color="auto" w:fill="DEF2F8"/>
            <w:vAlign w:val="center"/>
            <w:hideMark/>
          </w:tcPr>
          <w:p w14:paraId="654B1AA4" w14:textId="77777777" w:rsidR="00B36943" w:rsidRPr="00374633" w:rsidRDefault="00B36943" w:rsidP="00B36943">
            <w:pPr>
              <w:spacing w:after="0" w:line="240" w:lineRule="auto"/>
              <w:jc w:val="center"/>
              <w:rPr>
                <w:rFonts w:ascii="open_sansregular" w:eastAsia="Times New Roman" w:hAnsi="open_sansregular" w:cs="Times New Roman"/>
                <w:color w:val="FF0000"/>
                <w:sz w:val="23"/>
                <w:szCs w:val="23"/>
              </w:rPr>
            </w:pPr>
            <w:r w:rsidRPr="00374633">
              <w:rPr>
                <w:rFonts w:ascii="open_sansregular" w:eastAsia="Times New Roman" w:hAnsi="open_sansregular" w:cs="Times New Roman"/>
                <w:color w:val="FF0000"/>
                <w:sz w:val="23"/>
                <w:szCs w:val="23"/>
              </w:rPr>
              <w:t>36,122.2</w:t>
            </w:r>
          </w:p>
        </w:tc>
        <w:tc>
          <w:tcPr>
            <w:tcW w:w="1429" w:type="dxa"/>
            <w:shd w:val="clear" w:color="auto" w:fill="DEF2F8"/>
            <w:vAlign w:val="center"/>
            <w:hideMark/>
          </w:tcPr>
          <w:p w14:paraId="0D49FFCA"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36,307.3</w:t>
            </w:r>
          </w:p>
        </w:tc>
        <w:tc>
          <w:tcPr>
            <w:tcW w:w="1368" w:type="dxa"/>
            <w:shd w:val="clear" w:color="auto" w:fill="DEF2F8"/>
            <w:vAlign w:val="center"/>
            <w:hideMark/>
          </w:tcPr>
          <w:p w14:paraId="6AE6A5AC" w14:textId="77777777" w:rsidR="00B36943" w:rsidRPr="00374633" w:rsidRDefault="00B36943" w:rsidP="00B36943">
            <w:pPr>
              <w:spacing w:after="0" w:line="240" w:lineRule="auto"/>
              <w:jc w:val="center"/>
              <w:rPr>
                <w:rFonts w:ascii="open_sansregular" w:eastAsia="Times New Roman" w:hAnsi="open_sansregular" w:cs="Times New Roman"/>
                <w:color w:val="FF0000"/>
                <w:sz w:val="23"/>
                <w:szCs w:val="23"/>
              </w:rPr>
            </w:pPr>
            <w:r w:rsidRPr="00374633">
              <w:rPr>
                <w:rFonts w:ascii="open_sansregular" w:eastAsia="Times New Roman" w:hAnsi="open_sansregular" w:cs="Times New Roman"/>
                <w:color w:val="FF0000"/>
                <w:sz w:val="23"/>
                <w:szCs w:val="23"/>
              </w:rPr>
              <w:t>2,940.8</w:t>
            </w:r>
          </w:p>
        </w:tc>
        <w:tc>
          <w:tcPr>
            <w:tcW w:w="1399" w:type="dxa"/>
            <w:shd w:val="clear" w:color="auto" w:fill="DEF2F8"/>
            <w:vAlign w:val="center"/>
            <w:hideMark/>
          </w:tcPr>
          <w:p w14:paraId="2D6EA7A7"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2,535.7</w:t>
            </w:r>
          </w:p>
        </w:tc>
      </w:tr>
    </w:tbl>
    <w:p w14:paraId="54CE94D2" w14:textId="77777777" w:rsidR="008619C1" w:rsidRDefault="008619C1" w:rsidP="008619C1">
      <w:pPr>
        <w:spacing w:after="120" w:line="240" w:lineRule="auto"/>
        <w:rPr>
          <w:rFonts w:ascii="open_sansregular" w:eastAsia="Times New Roman" w:hAnsi="open_sansregular" w:cs="Times New Roman"/>
          <w:color w:val="2F6473"/>
          <w:sz w:val="23"/>
          <w:szCs w:val="23"/>
        </w:rPr>
      </w:pPr>
    </w:p>
    <w:p w14:paraId="42AA595D" w14:textId="380682D0" w:rsidR="00DC63DD" w:rsidRPr="00A71F79" w:rsidRDefault="00B36943" w:rsidP="00675F3D">
      <w:pPr>
        <w:shd w:val="clear" w:color="auto" w:fill="DEF2F8"/>
        <w:spacing w:after="12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a) Calculate the number of workers employed in each of the regions in April 2013 and April 2014. Use your answers to calculate the change in the total number of workers employed between April 2013 and April 2014</w:t>
      </w:r>
      <w:r w:rsidR="00675F3D">
        <w:rPr>
          <w:rFonts w:ascii="open_sansregular" w:eastAsia="Times New Roman" w:hAnsi="open_sansregular" w:cs="Times New Roman"/>
          <w:color w:val="2F6473"/>
          <w:sz w:val="23"/>
          <w:szCs w:val="23"/>
        </w:rPr>
        <w:t>.</w:t>
      </w:r>
    </w:p>
    <w:tbl>
      <w:tblPr>
        <w:tblStyle w:val="TableGrid"/>
        <w:tblW w:w="0" w:type="auto"/>
        <w:tblLook w:val="04A0" w:firstRow="1" w:lastRow="0" w:firstColumn="1" w:lastColumn="0" w:noHBand="0" w:noVBand="1"/>
      </w:tblPr>
      <w:tblGrid>
        <w:gridCol w:w="985"/>
        <w:gridCol w:w="1521"/>
        <w:gridCol w:w="1103"/>
        <w:gridCol w:w="1251"/>
        <w:gridCol w:w="1075"/>
        <w:gridCol w:w="967"/>
        <w:gridCol w:w="1113"/>
        <w:gridCol w:w="1335"/>
      </w:tblGrid>
      <w:tr w:rsidR="005B39EF" w14:paraId="389A3A8B" w14:textId="4C321FC0" w:rsidTr="00AF4F40">
        <w:tc>
          <w:tcPr>
            <w:tcW w:w="985" w:type="dxa"/>
          </w:tcPr>
          <w:p w14:paraId="0B886357" w14:textId="0A353AF8" w:rsidR="005B39EF" w:rsidRDefault="005B39EF" w:rsidP="00DC63DD">
            <w:pPr>
              <w:spacing w:after="120"/>
            </w:pPr>
            <w:r>
              <w:t>Region</w:t>
            </w:r>
          </w:p>
        </w:tc>
        <w:tc>
          <w:tcPr>
            <w:tcW w:w="3875" w:type="dxa"/>
            <w:gridSpan w:val="3"/>
          </w:tcPr>
          <w:p w14:paraId="0A57A8FF" w14:textId="779301C9" w:rsidR="005B39EF" w:rsidRDefault="005B39EF" w:rsidP="00DC63DD">
            <w:pPr>
              <w:spacing w:after="120"/>
              <w:jc w:val="right"/>
            </w:pPr>
            <w:r>
              <w:t>April 2013</w:t>
            </w:r>
          </w:p>
        </w:tc>
        <w:tc>
          <w:tcPr>
            <w:tcW w:w="3155" w:type="dxa"/>
            <w:gridSpan w:val="3"/>
          </w:tcPr>
          <w:p w14:paraId="5FFAEE70" w14:textId="2D4132FA" w:rsidR="005B39EF" w:rsidRDefault="005B39EF" w:rsidP="00DC63DD">
            <w:pPr>
              <w:spacing w:after="120"/>
              <w:jc w:val="right"/>
            </w:pPr>
            <w:r>
              <w:t>April 2014</w:t>
            </w:r>
          </w:p>
        </w:tc>
        <w:tc>
          <w:tcPr>
            <w:tcW w:w="1335" w:type="dxa"/>
          </w:tcPr>
          <w:p w14:paraId="39F8DBFF" w14:textId="686200D0" w:rsidR="005B39EF" w:rsidRDefault="005B39EF" w:rsidP="00DC63DD">
            <w:pPr>
              <w:spacing w:after="120"/>
              <w:jc w:val="right"/>
            </w:pPr>
          </w:p>
        </w:tc>
      </w:tr>
      <w:tr w:rsidR="005B39EF" w14:paraId="67FA1AEE" w14:textId="1B1C97E9" w:rsidTr="00AF4F40">
        <w:tc>
          <w:tcPr>
            <w:tcW w:w="985" w:type="dxa"/>
          </w:tcPr>
          <w:p w14:paraId="44B7414E" w14:textId="28729CB0" w:rsidR="005B39EF" w:rsidRDefault="005B39EF" w:rsidP="00DC63DD">
            <w:pPr>
              <w:spacing w:after="120"/>
            </w:pPr>
          </w:p>
        </w:tc>
        <w:tc>
          <w:tcPr>
            <w:tcW w:w="2624" w:type="dxa"/>
            <w:gridSpan w:val="2"/>
          </w:tcPr>
          <w:p w14:paraId="3203E250" w14:textId="389BED0E" w:rsidR="005B39EF" w:rsidRDefault="005B39EF" w:rsidP="00DC63DD">
            <w:pPr>
              <w:spacing w:after="120"/>
            </w:pPr>
            <w:r>
              <w:t xml:space="preserve">Labor Force – </w:t>
            </w:r>
            <w:r w:rsidR="00AF4F40">
              <w:t>u</w:t>
            </w:r>
            <w:r>
              <w:t xml:space="preserve">nemployed </w:t>
            </w:r>
          </w:p>
        </w:tc>
        <w:tc>
          <w:tcPr>
            <w:tcW w:w="1251" w:type="dxa"/>
          </w:tcPr>
          <w:p w14:paraId="5A0DD7CD" w14:textId="4ED3003D" w:rsidR="005B39EF" w:rsidRDefault="005B39EF" w:rsidP="00DC63DD">
            <w:pPr>
              <w:spacing w:after="120"/>
            </w:pPr>
            <w:r w:rsidRPr="002863B5">
              <w:rPr>
                <w:b/>
                <w:i/>
              </w:rPr>
              <w:t>Employed</w:t>
            </w:r>
            <w:r>
              <w:rPr>
                <w:b/>
                <w:i/>
              </w:rPr>
              <w:t xml:space="preserve"> </w:t>
            </w:r>
          </w:p>
        </w:tc>
        <w:tc>
          <w:tcPr>
            <w:tcW w:w="3155" w:type="dxa"/>
            <w:gridSpan w:val="3"/>
          </w:tcPr>
          <w:p w14:paraId="0C2E5185" w14:textId="77E569F2" w:rsidR="005B39EF" w:rsidRDefault="005B39EF" w:rsidP="00DC63DD">
            <w:pPr>
              <w:spacing w:after="120"/>
              <w:jc w:val="right"/>
            </w:pPr>
            <w:r w:rsidRPr="002863B5">
              <w:rPr>
                <w:b/>
                <w:i/>
              </w:rPr>
              <w:t>Employed</w:t>
            </w:r>
          </w:p>
        </w:tc>
        <w:tc>
          <w:tcPr>
            <w:tcW w:w="1335" w:type="dxa"/>
          </w:tcPr>
          <w:p w14:paraId="32FC8A0E" w14:textId="02706261" w:rsidR="005B39EF" w:rsidRPr="002863B5" w:rsidRDefault="005B39EF" w:rsidP="00DC63DD">
            <w:pPr>
              <w:spacing w:after="120"/>
              <w:jc w:val="right"/>
              <w:rPr>
                <w:b/>
                <w:i/>
              </w:rPr>
            </w:pPr>
            <w:r>
              <w:rPr>
                <w:b/>
                <w:i/>
              </w:rPr>
              <w:t>Change</w:t>
            </w:r>
          </w:p>
        </w:tc>
      </w:tr>
      <w:tr w:rsidR="005B39EF" w14:paraId="139E9771" w14:textId="1D490EB5" w:rsidTr="00AF4F40">
        <w:tc>
          <w:tcPr>
            <w:tcW w:w="985" w:type="dxa"/>
          </w:tcPr>
          <w:p w14:paraId="0FC4CA01" w14:textId="5EE69568" w:rsidR="005B39EF" w:rsidRDefault="005B39EF" w:rsidP="005B39EF">
            <w:pPr>
              <w:spacing w:after="120"/>
            </w:pPr>
            <w:r>
              <w:t>North-east</w:t>
            </w:r>
          </w:p>
        </w:tc>
        <w:tc>
          <w:tcPr>
            <w:tcW w:w="1521" w:type="dxa"/>
            <w:vAlign w:val="center"/>
          </w:tcPr>
          <w:p w14:paraId="098AC8B8" w14:textId="1272BFA7" w:rsidR="005B39EF" w:rsidRDefault="005B39EF" w:rsidP="005B39EF">
            <w:pPr>
              <w:spacing w:after="120"/>
            </w:pPr>
            <w:r w:rsidRPr="00B36943">
              <w:rPr>
                <w:rFonts w:ascii="open_sansregular" w:eastAsia="Times New Roman" w:hAnsi="open_sansregular" w:cs="Times New Roman"/>
                <w:color w:val="2F6473"/>
                <w:sz w:val="23"/>
                <w:szCs w:val="23"/>
              </w:rPr>
              <w:t>28,407.2</w:t>
            </w:r>
            <w:r>
              <w:rPr>
                <w:rFonts w:ascii="open_sansregular" w:eastAsia="Times New Roman" w:hAnsi="open_sansregular" w:cs="Times New Roman"/>
                <w:color w:val="2F6473"/>
                <w:sz w:val="23"/>
                <w:szCs w:val="23"/>
              </w:rPr>
              <w:t xml:space="preserve"> </w:t>
            </w:r>
            <w:r>
              <w:t xml:space="preserve">– </w:t>
            </w:r>
          </w:p>
        </w:tc>
        <w:tc>
          <w:tcPr>
            <w:tcW w:w="1103" w:type="dxa"/>
            <w:vAlign w:val="center"/>
          </w:tcPr>
          <w:p w14:paraId="31089728" w14:textId="77777777" w:rsidR="005B39EF" w:rsidRDefault="005B39EF" w:rsidP="005B39EF">
            <w:pPr>
              <w:spacing w:after="120"/>
            </w:pPr>
            <w:r w:rsidRPr="00B36943">
              <w:rPr>
                <w:rFonts w:ascii="open_sansregular" w:eastAsia="Times New Roman" w:hAnsi="open_sansregular" w:cs="Times New Roman"/>
                <w:color w:val="2F6473"/>
                <w:sz w:val="23"/>
                <w:szCs w:val="23"/>
              </w:rPr>
              <w:t>2,174.4</w:t>
            </w:r>
          </w:p>
        </w:tc>
        <w:tc>
          <w:tcPr>
            <w:tcW w:w="1251" w:type="dxa"/>
            <w:vAlign w:val="bottom"/>
          </w:tcPr>
          <w:p w14:paraId="0B86443C" w14:textId="032C6FE5" w:rsidR="005B39EF" w:rsidRPr="0018701B" w:rsidRDefault="005B39EF" w:rsidP="005B39EF">
            <w:pPr>
              <w:spacing w:after="120"/>
              <w:rPr>
                <w:b/>
                <w:i/>
              </w:rPr>
            </w:pPr>
            <w:r>
              <w:rPr>
                <w:rFonts w:ascii="Calibri" w:hAnsi="Calibri"/>
                <w:b/>
                <w:i/>
                <w:color w:val="000000"/>
              </w:rPr>
              <w:t>=</w:t>
            </w:r>
            <w:r w:rsidRPr="0018701B">
              <w:rPr>
                <w:rFonts w:ascii="Calibri" w:hAnsi="Calibri"/>
                <w:b/>
                <w:i/>
                <w:color w:val="000000"/>
              </w:rPr>
              <w:t>26,232.80</w:t>
            </w:r>
          </w:p>
        </w:tc>
        <w:tc>
          <w:tcPr>
            <w:tcW w:w="1075" w:type="dxa"/>
            <w:vAlign w:val="center"/>
          </w:tcPr>
          <w:p w14:paraId="21F8667E" w14:textId="18B857A7" w:rsidR="005B39EF" w:rsidRDefault="005B39EF" w:rsidP="005B39EF">
            <w:pPr>
              <w:spacing w:after="120"/>
            </w:pPr>
            <w:r w:rsidRPr="00B36943">
              <w:rPr>
                <w:rFonts w:ascii="open_sansregular" w:eastAsia="Times New Roman" w:hAnsi="open_sansregular" w:cs="Times New Roman"/>
                <w:color w:val="2F6473"/>
                <w:sz w:val="23"/>
                <w:szCs w:val="23"/>
              </w:rPr>
              <w:t>28,288.9</w:t>
            </w:r>
          </w:p>
        </w:tc>
        <w:tc>
          <w:tcPr>
            <w:tcW w:w="967" w:type="dxa"/>
            <w:vAlign w:val="center"/>
          </w:tcPr>
          <w:p w14:paraId="5180BBFA" w14:textId="6D6768AC" w:rsidR="005B39EF" w:rsidRDefault="005B39EF" w:rsidP="005B39EF">
            <w:pPr>
              <w:spacing w:after="120"/>
            </w:pPr>
            <w:r w:rsidRPr="00B36943">
              <w:rPr>
                <w:rFonts w:ascii="open_sansregular" w:eastAsia="Times New Roman" w:hAnsi="open_sansregular" w:cs="Times New Roman"/>
                <w:color w:val="2F6473"/>
                <w:sz w:val="23"/>
                <w:szCs w:val="23"/>
              </w:rPr>
              <w:t>1,781.3</w:t>
            </w:r>
          </w:p>
        </w:tc>
        <w:tc>
          <w:tcPr>
            <w:tcW w:w="1113" w:type="dxa"/>
            <w:vAlign w:val="bottom"/>
          </w:tcPr>
          <w:p w14:paraId="38F46A4B" w14:textId="2F1050C3" w:rsidR="005B39EF" w:rsidRPr="002863B5" w:rsidRDefault="005B39EF" w:rsidP="005B39EF">
            <w:pPr>
              <w:spacing w:after="120"/>
              <w:rPr>
                <w:b/>
                <w:i/>
              </w:rPr>
            </w:pPr>
            <w:r w:rsidRPr="002863B5">
              <w:rPr>
                <w:rFonts w:ascii="Calibri" w:hAnsi="Calibri"/>
                <w:b/>
                <w:i/>
                <w:color w:val="000000"/>
              </w:rPr>
              <w:t>26,507.60</w:t>
            </w:r>
          </w:p>
        </w:tc>
        <w:tc>
          <w:tcPr>
            <w:tcW w:w="1335" w:type="dxa"/>
            <w:vAlign w:val="bottom"/>
          </w:tcPr>
          <w:p w14:paraId="16C60482" w14:textId="58A52070" w:rsidR="005B39EF" w:rsidRPr="005B39EF" w:rsidRDefault="005B39EF" w:rsidP="005B39EF">
            <w:pPr>
              <w:spacing w:after="120"/>
              <w:jc w:val="center"/>
              <w:rPr>
                <w:rFonts w:ascii="Calibri" w:hAnsi="Calibri"/>
                <w:b/>
                <w:i/>
                <w:color w:val="FF0000"/>
              </w:rPr>
            </w:pPr>
            <w:r w:rsidRPr="005B39EF">
              <w:rPr>
                <w:rFonts w:ascii="Calibri" w:hAnsi="Calibri"/>
                <w:color w:val="FF0000"/>
              </w:rPr>
              <w:t>274.80</w:t>
            </w:r>
          </w:p>
        </w:tc>
      </w:tr>
      <w:tr w:rsidR="005B39EF" w14:paraId="2054A1B1" w14:textId="45A79F08" w:rsidTr="00AF4F40">
        <w:tc>
          <w:tcPr>
            <w:tcW w:w="985" w:type="dxa"/>
          </w:tcPr>
          <w:p w14:paraId="46247582" w14:textId="0B62815F" w:rsidR="005B39EF" w:rsidRDefault="005B39EF" w:rsidP="005B39EF">
            <w:pPr>
              <w:spacing w:after="120"/>
            </w:pPr>
            <w:r>
              <w:t>South</w:t>
            </w:r>
          </w:p>
        </w:tc>
        <w:tc>
          <w:tcPr>
            <w:tcW w:w="1521" w:type="dxa"/>
            <w:vAlign w:val="center"/>
          </w:tcPr>
          <w:p w14:paraId="4B9EAEA8" w14:textId="77777777" w:rsidR="005B39EF" w:rsidRDefault="005B39EF" w:rsidP="005B39EF">
            <w:pPr>
              <w:spacing w:after="120"/>
            </w:pPr>
            <w:r w:rsidRPr="00B36943">
              <w:rPr>
                <w:rFonts w:ascii="open_sansregular" w:eastAsia="Times New Roman" w:hAnsi="open_sansregular" w:cs="Times New Roman"/>
                <w:color w:val="2F6473"/>
                <w:sz w:val="23"/>
                <w:szCs w:val="23"/>
              </w:rPr>
              <w:t>56,787.8</w:t>
            </w:r>
            <w:r>
              <w:rPr>
                <w:rFonts w:ascii="open_sansregular" w:eastAsia="Times New Roman" w:hAnsi="open_sansregular" w:cs="Times New Roman"/>
                <w:color w:val="2F6473"/>
                <w:sz w:val="23"/>
                <w:szCs w:val="23"/>
              </w:rPr>
              <w:t xml:space="preserve"> </w:t>
            </w:r>
            <w:r>
              <w:t>–</w:t>
            </w:r>
          </w:p>
        </w:tc>
        <w:tc>
          <w:tcPr>
            <w:tcW w:w="1103" w:type="dxa"/>
            <w:vAlign w:val="center"/>
          </w:tcPr>
          <w:p w14:paraId="1C3324DD" w14:textId="77777777" w:rsidR="005B39EF" w:rsidRDefault="005B39EF" w:rsidP="005B39EF">
            <w:pPr>
              <w:spacing w:after="120"/>
            </w:pPr>
            <w:r w:rsidRPr="00B36943">
              <w:rPr>
                <w:rFonts w:ascii="open_sansregular" w:eastAsia="Times New Roman" w:hAnsi="open_sansregular" w:cs="Times New Roman"/>
                <w:color w:val="2F6473"/>
                <w:sz w:val="23"/>
                <w:szCs w:val="23"/>
              </w:rPr>
              <w:t>4,089.9</w:t>
            </w:r>
          </w:p>
        </w:tc>
        <w:tc>
          <w:tcPr>
            <w:tcW w:w="1251" w:type="dxa"/>
            <w:vAlign w:val="bottom"/>
          </w:tcPr>
          <w:p w14:paraId="7FBCE38D" w14:textId="5ACD5259" w:rsidR="005B39EF" w:rsidRPr="0018701B" w:rsidRDefault="005B39EF" w:rsidP="005B39EF">
            <w:pPr>
              <w:spacing w:after="120"/>
              <w:rPr>
                <w:b/>
                <w:i/>
              </w:rPr>
            </w:pPr>
            <w:r>
              <w:rPr>
                <w:rFonts w:ascii="Calibri" w:hAnsi="Calibri"/>
                <w:b/>
                <w:i/>
                <w:color w:val="000000"/>
              </w:rPr>
              <w:t>=</w:t>
            </w:r>
            <w:r w:rsidRPr="0018701B">
              <w:rPr>
                <w:rFonts w:ascii="Calibri" w:hAnsi="Calibri"/>
                <w:b/>
                <w:i/>
                <w:color w:val="000000"/>
              </w:rPr>
              <w:t>52,697.90</w:t>
            </w:r>
          </w:p>
        </w:tc>
        <w:tc>
          <w:tcPr>
            <w:tcW w:w="1075" w:type="dxa"/>
            <w:vAlign w:val="center"/>
          </w:tcPr>
          <w:p w14:paraId="7B938065" w14:textId="73075571" w:rsidR="005B39EF" w:rsidRDefault="005B39EF" w:rsidP="005B39EF">
            <w:pPr>
              <w:spacing w:after="120"/>
            </w:pPr>
            <w:r w:rsidRPr="00B36943">
              <w:rPr>
                <w:rFonts w:ascii="open_sansregular" w:eastAsia="Times New Roman" w:hAnsi="open_sansregular" w:cs="Times New Roman"/>
                <w:color w:val="2F6473"/>
                <w:sz w:val="23"/>
                <w:szCs w:val="23"/>
              </w:rPr>
              <w:t>57,016.4</w:t>
            </w:r>
          </w:p>
        </w:tc>
        <w:tc>
          <w:tcPr>
            <w:tcW w:w="967" w:type="dxa"/>
            <w:vAlign w:val="center"/>
          </w:tcPr>
          <w:p w14:paraId="64B19A6D" w14:textId="33278CE4" w:rsidR="005B39EF" w:rsidRDefault="005B39EF" w:rsidP="005B39EF">
            <w:pPr>
              <w:spacing w:after="120"/>
            </w:pPr>
            <w:r w:rsidRPr="00B36943">
              <w:rPr>
                <w:rFonts w:ascii="open_sansregular" w:eastAsia="Times New Roman" w:hAnsi="open_sansregular" w:cs="Times New Roman"/>
                <w:color w:val="2F6473"/>
                <w:sz w:val="23"/>
                <w:szCs w:val="23"/>
              </w:rPr>
              <w:t>3,363.8</w:t>
            </w:r>
          </w:p>
        </w:tc>
        <w:tc>
          <w:tcPr>
            <w:tcW w:w="1113" w:type="dxa"/>
            <w:vAlign w:val="bottom"/>
          </w:tcPr>
          <w:p w14:paraId="0C728493" w14:textId="1FF712F2" w:rsidR="005B39EF" w:rsidRPr="002863B5" w:rsidRDefault="005B39EF" w:rsidP="005B39EF">
            <w:pPr>
              <w:spacing w:after="120"/>
              <w:rPr>
                <w:b/>
                <w:i/>
              </w:rPr>
            </w:pPr>
            <w:r w:rsidRPr="002863B5">
              <w:rPr>
                <w:rFonts w:ascii="Calibri" w:hAnsi="Calibri"/>
                <w:b/>
                <w:i/>
                <w:color w:val="000000"/>
              </w:rPr>
              <w:t>53,652.60</w:t>
            </w:r>
          </w:p>
        </w:tc>
        <w:tc>
          <w:tcPr>
            <w:tcW w:w="1335" w:type="dxa"/>
            <w:vAlign w:val="bottom"/>
          </w:tcPr>
          <w:p w14:paraId="4A8CCB66" w14:textId="51DA546F" w:rsidR="005B39EF" w:rsidRPr="005B39EF" w:rsidRDefault="005B39EF" w:rsidP="005B39EF">
            <w:pPr>
              <w:spacing w:after="120"/>
              <w:jc w:val="center"/>
              <w:rPr>
                <w:rFonts w:ascii="Calibri" w:hAnsi="Calibri"/>
                <w:b/>
                <w:i/>
                <w:color w:val="FF0000"/>
              </w:rPr>
            </w:pPr>
            <w:r w:rsidRPr="005B39EF">
              <w:rPr>
                <w:rFonts w:ascii="Calibri" w:hAnsi="Calibri"/>
                <w:color w:val="FF0000"/>
              </w:rPr>
              <w:t>954.70</w:t>
            </w:r>
          </w:p>
        </w:tc>
      </w:tr>
      <w:tr w:rsidR="005B39EF" w14:paraId="6DDF8A72" w14:textId="1663EB90" w:rsidTr="00AF4F40">
        <w:tc>
          <w:tcPr>
            <w:tcW w:w="985" w:type="dxa"/>
          </w:tcPr>
          <w:p w14:paraId="69CBD62B" w14:textId="1225AC34" w:rsidR="005B39EF" w:rsidRDefault="005B39EF" w:rsidP="005B39EF">
            <w:pPr>
              <w:spacing w:after="120"/>
            </w:pPr>
            <w:r>
              <w:t>Mid-west</w:t>
            </w:r>
          </w:p>
        </w:tc>
        <w:tc>
          <w:tcPr>
            <w:tcW w:w="1521" w:type="dxa"/>
            <w:vAlign w:val="center"/>
          </w:tcPr>
          <w:p w14:paraId="55352143" w14:textId="77777777" w:rsidR="005B39EF" w:rsidRDefault="005B39EF" w:rsidP="005B39EF">
            <w:pPr>
              <w:spacing w:after="120"/>
            </w:pPr>
            <w:r w:rsidRPr="00B36943">
              <w:rPr>
                <w:rFonts w:ascii="open_sansregular" w:eastAsia="Times New Roman" w:hAnsi="open_sansregular" w:cs="Times New Roman"/>
                <w:color w:val="2F6473"/>
                <w:sz w:val="23"/>
                <w:szCs w:val="23"/>
              </w:rPr>
              <w:t>34,320.0</w:t>
            </w:r>
            <w:r>
              <w:rPr>
                <w:rFonts w:ascii="open_sansregular" w:eastAsia="Times New Roman" w:hAnsi="open_sansregular" w:cs="Times New Roman"/>
                <w:color w:val="2F6473"/>
                <w:sz w:val="23"/>
                <w:szCs w:val="23"/>
              </w:rPr>
              <w:t xml:space="preserve"> </w:t>
            </w:r>
            <w:r>
              <w:t>–</w:t>
            </w:r>
          </w:p>
        </w:tc>
        <w:tc>
          <w:tcPr>
            <w:tcW w:w="1103" w:type="dxa"/>
            <w:vAlign w:val="center"/>
          </w:tcPr>
          <w:p w14:paraId="4F4F0239" w14:textId="77777777" w:rsidR="005B39EF" w:rsidRDefault="005B39EF" w:rsidP="005B39EF">
            <w:pPr>
              <w:spacing w:after="120"/>
            </w:pPr>
            <w:r w:rsidRPr="00B36943">
              <w:rPr>
                <w:rFonts w:ascii="open_sansregular" w:eastAsia="Times New Roman" w:hAnsi="open_sansregular" w:cs="Times New Roman"/>
                <w:color w:val="2F6473"/>
                <w:sz w:val="23"/>
                <w:szCs w:val="23"/>
              </w:rPr>
              <w:t>2,473.7</w:t>
            </w:r>
          </w:p>
        </w:tc>
        <w:tc>
          <w:tcPr>
            <w:tcW w:w="1251" w:type="dxa"/>
            <w:vAlign w:val="bottom"/>
          </w:tcPr>
          <w:p w14:paraId="4BE42BC7" w14:textId="11DCF5FB" w:rsidR="005B39EF" w:rsidRPr="0018701B" w:rsidRDefault="005B39EF" w:rsidP="005B39EF">
            <w:pPr>
              <w:spacing w:after="120"/>
              <w:rPr>
                <w:b/>
                <w:i/>
              </w:rPr>
            </w:pPr>
            <w:r>
              <w:rPr>
                <w:rFonts w:ascii="Calibri" w:hAnsi="Calibri"/>
                <w:b/>
                <w:i/>
                <w:color w:val="000000"/>
              </w:rPr>
              <w:t>=</w:t>
            </w:r>
            <w:r w:rsidRPr="0018701B">
              <w:rPr>
                <w:rFonts w:ascii="Calibri" w:hAnsi="Calibri"/>
                <w:b/>
                <w:i/>
                <w:color w:val="000000"/>
              </w:rPr>
              <w:t>31,846.30</w:t>
            </w:r>
          </w:p>
        </w:tc>
        <w:tc>
          <w:tcPr>
            <w:tcW w:w="1075" w:type="dxa"/>
            <w:vAlign w:val="center"/>
          </w:tcPr>
          <w:p w14:paraId="2F22B4F8" w14:textId="7B65BD98" w:rsidR="005B39EF" w:rsidRDefault="005B39EF" w:rsidP="005B39EF">
            <w:pPr>
              <w:spacing w:after="120"/>
            </w:pPr>
            <w:r w:rsidRPr="00B36943">
              <w:rPr>
                <w:rFonts w:ascii="open_sansregular" w:eastAsia="Times New Roman" w:hAnsi="open_sansregular" w:cs="Times New Roman"/>
                <w:color w:val="2F6473"/>
                <w:sz w:val="23"/>
                <w:szCs w:val="23"/>
              </w:rPr>
              <w:t>34,467.0</w:t>
            </w:r>
          </w:p>
        </w:tc>
        <w:tc>
          <w:tcPr>
            <w:tcW w:w="967" w:type="dxa"/>
            <w:vAlign w:val="center"/>
          </w:tcPr>
          <w:p w14:paraId="61856156" w14:textId="0F54CACB" w:rsidR="005B39EF" w:rsidRDefault="005B39EF" w:rsidP="005B39EF">
            <w:pPr>
              <w:spacing w:after="120"/>
            </w:pPr>
            <w:r w:rsidRPr="00B36943">
              <w:rPr>
                <w:rFonts w:ascii="open_sansregular" w:eastAsia="Times New Roman" w:hAnsi="open_sansregular" w:cs="Times New Roman"/>
                <w:color w:val="2F6473"/>
                <w:sz w:val="23"/>
                <w:szCs w:val="23"/>
              </w:rPr>
              <w:t>2,109.0</w:t>
            </w:r>
          </w:p>
        </w:tc>
        <w:tc>
          <w:tcPr>
            <w:tcW w:w="1113" w:type="dxa"/>
            <w:vAlign w:val="bottom"/>
          </w:tcPr>
          <w:p w14:paraId="0B704A50" w14:textId="649E9A0A" w:rsidR="005B39EF" w:rsidRPr="002863B5" w:rsidRDefault="005B39EF" w:rsidP="005B39EF">
            <w:pPr>
              <w:spacing w:after="120"/>
              <w:rPr>
                <w:b/>
                <w:i/>
              </w:rPr>
            </w:pPr>
            <w:r w:rsidRPr="002863B5">
              <w:rPr>
                <w:rFonts w:ascii="Calibri" w:hAnsi="Calibri"/>
                <w:b/>
                <w:i/>
                <w:color w:val="000000"/>
              </w:rPr>
              <w:t>32,358.00</w:t>
            </w:r>
          </w:p>
        </w:tc>
        <w:tc>
          <w:tcPr>
            <w:tcW w:w="1335" w:type="dxa"/>
            <w:vAlign w:val="bottom"/>
          </w:tcPr>
          <w:p w14:paraId="1250AF2F" w14:textId="3FE607CE" w:rsidR="005B39EF" w:rsidRPr="005B39EF" w:rsidRDefault="005B39EF" w:rsidP="005B39EF">
            <w:pPr>
              <w:spacing w:after="120"/>
              <w:jc w:val="center"/>
              <w:rPr>
                <w:rFonts w:ascii="Calibri" w:hAnsi="Calibri"/>
                <w:b/>
                <w:i/>
                <w:color w:val="FF0000"/>
              </w:rPr>
            </w:pPr>
            <w:r w:rsidRPr="005B39EF">
              <w:rPr>
                <w:rFonts w:ascii="Calibri" w:hAnsi="Calibri"/>
                <w:color w:val="FF0000"/>
              </w:rPr>
              <w:t>511.70</w:t>
            </w:r>
          </w:p>
        </w:tc>
      </w:tr>
      <w:tr w:rsidR="005B39EF" w14:paraId="5EC26F4A" w14:textId="3C5D5692" w:rsidTr="00AF4F40">
        <w:tc>
          <w:tcPr>
            <w:tcW w:w="985" w:type="dxa"/>
          </w:tcPr>
          <w:p w14:paraId="33CF17C6" w14:textId="5B6015F6" w:rsidR="005B39EF" w:rsidRDefault="005B39EF" w:rsidP="005B39EF">
            <w:pPr>
              <w:spacing w:after="120"/>
            </w:pPr>
            <w:r>
              <w:t>West</w:t>
            </w:r>
          </w:p>
        </w:tc>
        <w:tc>
          <w:tcPr>
            <w:tcW w:w="1521" w:type="dxa"/>
            <w:vAlign w:val="center"/>
          </w:tcPr>
          <w:p w14:paraId="25D6D0F5" w14:textId="77777777" w:rsidR="005B39EF" w:rsidRDefault="005B39EF" w:rsidP="005B39EF">
            <w:pPr>
              <w:spacing w:after="120"/>
            </w:pPr>
            <w:r w:rsidRPr="00B36943">
              <w:rPr>
                <w:rFonts w:ascii="open_sansregular" w:eastAsia="Times New Roman" w:hAnsi="open_sansregular" w:cs="Times New Roman"/>
                <w:color w:val="2F6473"/>
                <w:sz w:val="23"/>
                <w:szCs w:val="23"/>
              </w:rPr>
              <w:t>36,122.2</w:t>
            </w:r>
            <w:r>
              <w:rPr>
                <w:rFonts w:ascii="open_sansregular" w:eastAsia="Times New Roman" w:hAnsi="open_sansregular" w:cs="Times New Roman"/>
                <w:color w:val="2F6473"/>
                <w:sz w:val="23"/>
                <w:szCs w:val="23"/>
              </w:rPr>
              <w:t xml:space="preserve"> </w:t>
            </w:r>
            <w:r>
              <w:t>–</w:t>
            </w:r>
          </w:p>
        </w:tc>
        <w:tc>
          <w:tcPr>
            <w:tcW w:w="1103" w:type="dxa"/>
            <w:vAlign w:val="center"/>
          </w:tcPr>
          <w:p w14:paraId="3B8DE9F9" w14:textId="77777777" w:rsidR="005B39EF" w:rsidRDefault="005B39EF" w:rsidP="005B39EF">
            <w:pPr>
              <w:spacing w:after="120"/>
            </w:pPr>
            <w:r w:rsidRPr="00B36943">
              <w:rPr>
                <w:rFonts w:ascii="open_sansregular" w:eastAsia="Times New Roman" w:hAnsi="open_sansregular" w:cs="Times New Roman"/>
                <w:color w:val="2F6473"/>
                <w:sz w:val="23"/>
                <w:szCs w:val="23"/>
              </w:rPr>
              <w:t>2,940.8</w:t>
            </w:r>
          </w:p>
        </w:tc>
        <w:tc>
          <w:tcPr>
            <w:tcW w:w="1251" w:type="dxa"/>
            <w:vAlign w:val="bottom"/>
          </w:tcPr>
          <w:p w14:paraId="2ACFD12F" w14:textId="64D559E6" w:rsidR="005B39EF" w:rsidRPr="0018701B" w:rsidRDefault="005B39EF" w:rsidP="005B39EF">
            <w:pPr>
              <w:spacing w:after="120"/>
              <w:rPr>
                <w:b/>
                <w:i/>
              </w:rPr>
            </w:pPr>
            <w:r>
              <w:rPr>
                <w:rFonts w:ascii="Calibri" w:hAnsi="Calibri"/>
                <w:b/>
                <w:i/>
                <w:color w:val="000000"/>
              </w:rPr>
              <w:t>=</w:t>
            </w:r>
            <w:r w:rsidRPr="0018701B">
              <w:rPr>
                <w:rFonts w:ascii="Calibri" w:hAnsi="Calibri"/>
                <w:b/>
                <w:i/>
                <w:color w:val="000000"/>
              </w:rPr>
              <w:t>33,181.40</w:t>
            </w:r>
          </w:p>
        </w:tc>
        <w:tc>
          <w:tcPr>
            <w:tcW w:w="1075" w:type="dxa"/>
            <w:vAlign w:val="center"/>
          </w:tcPr>
          <w:p w14:paraId="3A5550FF" w14:textId="09275FA4" w:rsidR="005B39EF" w:rsidRDefault="005B39EF" w:rsidP="005B39EF">
            <w:pPr>
              <w:spacing w:after="120"/>
            </w:pPr>
            <w:r w:rsidRPr="00B36943">
              <w:rPr>
                <w:rFonts w:ascii="open_sansregular" w:eastAsia="Times New Roman" w:hAnsi="open_sansregular" w:cs="Times New Roman"/>
                <w:color w:val="2F6473"/>
                <w:sz w:val="23"/>
                <w:szCs w:val="23"/>
              </w:rPr>
              <w:t>36,307.3</w:t>
            </w:r>
          </w:p>
        </w:tc>
        <w:tc>
          <w:tcPr>
            <w:tcW w:w="967" w:type="dxa"/>
            <w:vAlign w:val="center"/>
          </w:tcPr>
          <w:p w14:paraId="76110F47" w14:textId="42F4778E" w:rsidR="005B39EF" w:rsidRDefault="005B39EF" w:rsidP="005B39EF">
            <w:pPr>
              <w:spacing w:after="120"/>
            </w:pPr>
            <w:r w:rsidRPr="00B36943">
              <w:rPr>
                <w:rFonts w:ascii="open_sansregular" w:eastAsia="Times New Roman" w:hAnsi="open_sansregular" w:cs="Times New Roman"/>
                <w:color w:val="2F6473"/>
                <w:sz w:val="23"/>
                <w:szCs w:val="23"/>
              </w:rPr>
              <w:t>2,535.7</w:t>
            </w:r>
          </w:p>
        </w:tc>
        <w:tc>
          <w:tcPr>
            <w:tcW w:w="1113" w:type="dxa"/>
            <w:vAlign w:val="bottom"/>
          </w:tcPr>
          <w:p w14:paraId="0198D224" w14:textId="33886074" w:rsidR="005B39EF" w:rsidRPr="002863B5" w:rsidRDefault="005B39EF" w:rsidP="005B39EF">
            <w:pPr>
              <w:spacing w:after="120"/>
              <w:rPr>
                <w:b/>
                <w:i/>
              </w:rPr>
            </w:pPr>
            <w:r w:rsidRPr="002863B5">
              <w:rPr>
                <w:rFonts w:ascii="Calibri" w:hAnsi="Calibri"/>
                <w:b/>
                <w:i/>
                <w:color w:val="000000"/>
              </w:rPr>
              <w:t>33,771.60</w:t>
            </w:r>
          </w:p>
        </w:tc>
        <w:tc>
          <w:tcPr>
            <w:tcW w:w="1335" w:type="dxa"/>
            <w:vAlign w:val="bottom"/>
          </w:tcPr>
          <w:p w14:paraId="63CEF73A" w14:textId="76C64FBC" w:rsidR="005B39EF" w:rsidRPr="005B39EF" w:rsidRDefault="005B39EF" w:rsidP="005B39EF">
            <w:pPr>
              <w:spacing w:after="120"/>
              <w:jc w:val="center"/>
              <w:rPr>
                <w:rFonts w:ascii="Calibri" w:hAnsi="Calibri"/>
                <w:b/>
                <w:i/>
                <w:color w:val="FF0000"/>
              </w:rPr>
            </w:pPr>
            <w:r w:rsidRPr="005B39EF">
              <w:rPr>
                <w:rFonts w:ascii="Calibri" w:hAnsi="Calibri"/>
                <w:color w:val="FF0000"/>
              </w:rPr>
              <w:t>590.20</w:t>
            </w:r>
          </w:p>
        </w:tc>
      </w:tr>
      <w:tr w:rsidR="005B39EF" w14:paraId="370964D9" w14:textId="15EF6442" w:rsidTr="005B39EF">
        <w:tc>
          <w:tcPr>
            <w:tcW w:w="8015" w:type="dxa"/>
            <w:gridSpan w:val="7"/>
          </w:tcPr>
          <w:p w14:paraId="3A645B25" w14:textId="77777777" w:rsidR="005B39EF" w:rsidRPr="002863B5" w:rsidRDefault="005B39EF" w:rsidP="00DC63DD">
            <w:pPr>
              <w:spacing w:after="120"/>
              <w:rPr>
                <w:rFonts w:ascii="Calibri" w:hAnsi="Calibri"/>
                <w:b/>
                <w:i/>
                <w:color w:val="000000"/>
              </w:rPr>
            </w:pPr>
          </w:p>
        </w:tc>
        <w:tc>
          <w:tcPr>
            <w:tcW w:w="1335" w:type="dxa"/>
          </w:tcPr>
          <w:p w14:paraId="1BE5F8F1" w14:textId="0AB2580B" w:rsidR="005B39EF" w:rsidRPr="002863B5" w:rsidRDefault="000459D9" w:rsidP="00CB4606">
            <w:pPr>
              <w:spacing w:after="120"/>
              <w:jc w:val="center"/>
              <w:rPr>
                <w:rFonts w:ascii="Calibri" w:hAnsi="Calibri"/>
                <w:b/>
                <w:i/>
                <w:color w:val="000000"/>
              </w:rPr>
            </w:pPr>
            <w:r>
              <w:rPr>
                <w:rFonts w:ascii="Calibri" w:hAnsi="Calibri"/>
                <w:b/>
                <w:i/>
                <w:color w:val="000000"/>
              </w:rPr>
              <w:t xml:space="preserve">Total </w:t>
            </w:r>
            <w:r w:rsidR="00837AF9">
              <w:rPr>
                <w:rFonts w:ascii="Calibri" w:hAnsi="Calibri"/>
                <w:b/>
                <w:i/>
                <w:color w:val="000000"/>
              </w:rPr>
              <w:t>2,331.40</w:t>
            </w:r>
          </w:p>
        </w:tc>
      </w:tr>
    </w:tbl>
    <w:p w14:paraId="3AF4A969" w14:textId="77777777" w:rsidR="008C30C5" w:rsidRDefault="008C30C5" w:rsidP="00DC63DD">
      <w:pPr>
        <w:spacing w:after="120" w:line="240" w:lineRule="auto"/>
      </w:pPr>
    </w:p>
    <w:p w14:paraId="0C3FCE54" w14:textId="775EC299" w:rsidR="006A5B23" w:rsidRPr="006A5B23" w:rsidRDefault="00B36943" w:rsidP="006A5B23">
      <w:pPr>
        <w:shd w:val="clear" w:color="auto" w:fill="DEF2F8"/>
        <w:spacing w:after="120" w:line="240" w:lineRule="auto"/>
        <w:jc w:val="center"/>
        <w:rPr>
          <w:rFonts w:ascii="open_sansregular" w:eastAsia="Times New Roman" w:hAnsi="open_sansregular" w:cs="Times New Roman"/>
          <w:b/>
          <w:color w:val="2F6473"/>
          <w:sz w:val="23"/>
          <w:szCs w:val="23"/>
        </w:rPr>
      </w:pPr>
      <w:r w:rsidRPr="00B36943">
        <w:rPr>
          <w:rFonts w:ascii="open_sansregular" w:eastAsia="Times New Roman" w:hAnsi="open_sansregular" w:cs="Times New Roman"/>
          <w:color w:val="2F6473"/>
          <w:sz w:val="23"/>
          <w:szCs w:val="23"/>
        </w:rPr>
        <w:t>b) For each region, calculate the growth in the labor force from April 2013 to April 2014.</w:t>
      </w:r>
    </w:p>
    <w:p w14:paraId="68AC22DD" w14:textId="00C121F1" w:rsidR="00B85BD2" w:rsidRPr="006A5B23" w:rsidRDefault="00C909F1" w:rsidP="006A5B23">
      <w:pPr>
        <w:pStyle w:val="ListParagraph"/>
        <w:spacing w:after="120" w:line="240" w:lineRule="auto"/>
        <w:ind w:left="0"/>
        <w:jc w:val="center"/>
        <w:rPr>
          <w:rFonts w:ascii="open_sansregular" w:eastAsia="Times New Roman" w:hAnsi="open_sansregular" w:cs="Times New Roman"/>
          <w:b/>
          <w:color w:val="2F6473"/>
          <w:sz w:val="23"/>
          <w:szCs w:val="23"/>
        </w:rPr>
      </w:pPr>
      <w:r w:rsidRPr="006A5B23">
        <w:rPr>
          <w:b/>
        </w:rPr>
        <w:t xml:space="preserve">Labor Force Growth Rate = </w:t>
      </w:r>
      <m:oMath>
        <m:f>
          <m:fPr>
            <m:ctrlPr>
              <w:rPr>
                <w:rFonts w:ascii="Cambria Math" w:hAnsi="Cambria Math"/>
                <w:b/>
                <w:sz w:val="26"/>
              </w:rPr>
            </m:ctrlPr>
          </m:fPr>
          <m:num>
            <m:r>
              <m:rPr>
                <m:sty m:val="b"/>
              </m:rPr>
              <w:rPr>
                <w:rFonts w:ascii="Cambria Math" w:hAnsi="Cambria Math"/>
                <w:sz w:val="26"/>
              </w:rPr>
              <m:t>LFApril 2014 – LF April 2013</m:t>
            </m:r>
          </m:num>
          <m:den>
            <m:r>
              <m:rPr>
                <m:sty m:val="b"/>
              </m:rPr>
              <w:rPr>
                <w:rFonts w:ascii="Cambria Math" w:hAnsi="Cambria Math"/>
                <w:sz w:val="26"/>
              </w:rPr>
              <m:t>LF April 2013</m:t>
            </m:r>
          </m:den>
        </m:f>
        <m:r>
          <m:rPr>
            <m:sty m:val="b"/>
          </m:rPr>
          <w:rPr>
            <w:rFonts w:ascii="Cambria Math" w:hAnsi="Cambria Math"/>
            <w:sz w:val="26"/>
          </w:rPr>
          <m:t>X</m:t>
        </m:r>
        <m:r>
          <m:rPr>
            <m:sty m:val="bi"/>
          </m:rPr>
          <w:rPr>
            <w:rFonts w:ascii="Cambria Math" w:hAnsi="Cambria Math"/>
            <w:sz w:val="26"/>
          </w:rPr>
          <m:t xml:space="preserve"> 100</m:t>
        </m:r>
      </m:oMath>
    </w:p>
    <w:p w14:paraId="0E09B6DA" w14:textId="3CD5946E" w:rsidR="005935D4" w:rsidRDefault="005D728A" w:rsidP="00B85BD2">
      <w:pPr>
        <w:spacing w:after="120" w:line="240" w:lineRule="auto"/>
        <w:rPr>
          <w:rFonts w:ascii="open_sansregular" w:eastAsia="Times New Roman" w:hAnsi="open_sansregular" w:cs="Times New Roman"/>
          <w:color w:val="2F6473"/>
          <w:sz w:val="23"/>
          <w:szCs w:val="23"/>
        </w:rPr>
      </w:pPr>
      <w:r>
        <w:rPr>
          <w:noProof/>
        </w:rPr>
        <w:drawing>
          <wp:inline distT="0" distB="0" distL="0" distR="0" wp14:anchorId="7097484E" wp14:editId="29946438">
            <wp:extent cx="5757705" cy="186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7030" t="46295" r="10837" b="35163"/>
                    <a:stretch/>
                  </pic:blipFill>
                  <pic:spPr bwMode="auto">
                    <a:xfrm>
                      <a:off x="0" y="0"/>
                      <a:ext cx="5841174" cy="1895897"/>
                    </a:xfrm>
                    <a:prstGeom prst="rect">
                      <a:avLst/>
                    </a:prstGeom>
                    <a:ln>
                      <a:noFill/>
                    </a:ln>
                    <a:extLst>
                      <a:ext uri="{53640926-AAD7-44D8-BBD7-CCE9431645EC}">
                        <a14:shadowObscured xmlns:a14="http://schemas.microsoft.com/office/drawing/2010/main"/>
                      </a:ext>
                    </a:extLst>
                  </pic:spPr>
                </pic:pic>
              </a:graphicData>
            </a:graphic>
          </wp:inline>
        </w:drawing>
      </w:r>
    </w:p>
    <w:p w14:paraId="0284CB3A" w14:textId="77777777" w:rsidR="00241CD1" w:rsidRPr="00B36943" w:rsidRDefault="00241CD1" w:rsidP="00DC63DD">
      <w:pPr>
        <w:spacing w:after="120" w:line="240" w:lineRule="auto"/>
        <w:rPr>
          <w:rFonts w:ascii="open_sansregular" w:eastAsia="Times New Roman" w:hAnsi="open_sansregular" w:cs="Times New Roman"/>
          <w:color w:val="2F6473"/>
          <w:sz w:val="23"/>
          <w:szCs w:val="23"/>
        </w:rPr>
      </w:pPr>
    </w:p>
    <w:p w14:paraId="1BC4FB85" w14:textId="325BF486" w:rsidR="00F004C1" w:rsidRDefault="00B36943" w:rsidP="0030343E">
      <w:pPr>
        <w:shd w:val="clear" w:color="auto" w:fill="DEF2F8"/>
        <w:spacing w:after="12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lastRenderedPageBreak/>
        <w:t>c) Compute unemployment rates in the different regions of the country in April 2013 and April 2014</w:t>
      </w:r>
      <w:r w:rsidR="00F337B3">
        <w:rPr>
          <w:rFonts w:ascii="open_sansregular" w:eastAsia="Times New Roman" w:hAnsi="open_sansregular" w:cs="Times New Roman"/>
          <w:color w:val="2F6473"/>
          <w:sz w:val="23"/>
          <w:szCs w:val="23"/>
        </w:rPr>
        <w:t>.</w:t>
      </w:r>
      <w:r w:rsidR="0030343E">
        <w:rPr>
          <w:rFonts w:ascii="open_sansregular" w:eastAsia="Times New Roman" w:hAnsi="open_sansregular" w:cs="Times New Roman"/>
          <w:color w:val="2F6473"/>
          <w:sz w:val="23"/>
          <w:szCs w:val="23"/>
        </w:rPr>
        <w:t xml:space="preserve">  </w:t>
      </w:r>
      <w:r w:rsidR="00F337B3">
        <w:rPr>
          <w:noProof/>
        </w:rPr>
        <w:drawing>
          <wp:inline distT="0" distB="0" distL="0" distR="0" wp14:anchorId="137D92AA" wp14:editId="7375C3B1">
            <wp:extent cx="5546090" cy="23444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6974" t="46495" r="18999" b="35077"/>
                    <a:stretch/>
                  </pic:blipFill>
                  <pic:spPr bwMode="auto">
                    <a:xfrm>
                      <a:off x="0" y="0"/>
                      <a:ext cx="5621079" cy="2376163"/>
                    </a:xfrm>
                    <a:prstGeom prst="rect">
                      <a:avLst/>
                    </a:prstGeom>
                    <a:ln>
                      <a:noFill/>
                    </a:ln>
                    <a:extLst>
                      <a:ext uri="{53640926-AAD7-44D8-BBD7-CCE9431645EC}">
                        <a14:shadowObscured xmlns:a14="http://schemas.microsoft.com/office/drawing/2010/main"/>
                      </a:ext>
                    </a:extLst>
                  </pic:spPr>
                </pic:pic>
              </a:graphicData>
            </a:graphic>
          </wp:inline>
        </w:drawing>
      </w:r>
      <w:r w:rsidR="00BD4969">
        <w:rPr>
          <w:noProof/>
        </w:rPr>
        <w:drawing>
          <wp:inline distT="0" distB="0" distL="0" distR="0" wp14:anchorId="75F652E4" wp14:editId="1AF1A273">
            <wp:extent cx="5546690" cy="2391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6963" t="46387" r="18792" b="35030"/>
                    <a:stretch/>
                  </pic:blipFill>
                  <pic:spPr bwMode="auto">
                    <a:xfrm>
                      <a:off x="0" y="0"/>
                      <a:ext cx="5578531" cy="2405138"/>
                    </a:xfrm>
                    <a:prstGeom prst="rect">
                      <a:avLst/>
                    </a:prstGeom>
                    <a:ln>
                      <a:noFill/>
                    </a:ln>
                    <a:extLst>
                      <a:ext uri="{53640926-AAD7-44D8-BBD7-CCE9431645EC}">
                        <a14:shadowObscured xmlns:a14="http://schemas.microsoft.com/office/drawing/2010/main"/>
                      </a:ext>
                    </a:extLst>
                  </pic:spPr>
                </pic:pic>
              </a:graphicData>
            </a:graphic>
          </wp:inline>
        </w:drawing>
      </w:r>
    </w:p>
    <w:p w14:paraId="3971C636" w14:textId="2E8EE486" w:rsidR="009D3F83" w:rsidRDefault="009D3F83" w:rsidP="0094318D">
      <w:pPr>
        <w:spacing w:after="120" w:line="240" w:lineRule="auto"/>
        <w:rPr>
          <w:rFonts w:ascii="open_sansregular" w:eastAsia="Times New Roman" w:hAnsi="open_sansregular" w:cs="Times New Roman"/>
          <w:color w:val="2F6473"/>
          <w:sz w:val="23"/>
          <w:szCs w:val="23"/>
        </w:rPr>
      </w:pPr>
    </w:p>
    <w:p w14:paraId="46862C55" w14:textId="5CCDD7D0" w:rsidR="00B36943" w:rsidRDefault="00B36943" w:rsidP="00B36943">
      <w:pPr>
        <w:shd w:val="clear" w:color="auto" w:fill="DEF2F8"/>
        <w:spacing w:after="12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d) What can you infer about the fall in unemployment rates over this period? Was it caused by a net gain in the number of jobs or by a large fall in the number of people seeking jobs?</w:t>
      </w:r>
    </w:p>
    <w:p w14:paraId="5FDD2A5E" w14:textId="4DBB1CEF" w:rsidR="009D3F83" w:rsidRPr="001F0AF1" w:rsidRDefault="00871598" w:rsidP="001F0AF1">
      <w:r w:rsidRPr="001F0AF1">
        <w:t>d)</w:t>
      </w:r>
      <w:r w:rsidR="00857DCC">
        <w:t>:</w:t>
      </w:r>
      <w:r w:rsidRPr="001F0AF1">
        <w:t xml:space="preserve">  With reference to a) we can see there is a very minor increase in employment numbers in a time of one year </w:t>
      </w:r>
      <w:r w:rsidRPr="001F0AF1">
        <w:rPr>
          <w:i/>
        </w:rPr>
        <w:t>i.e</w:t>
      </w:r>
      <w:r w:rsidR="00F744DC" w:rsidRPr="001F0AF1">
        <w:rPr>
          <w:i/>
        </w:rPr>
        <w:t>.</w:t>
      </w:r>
      <w:r w:rsidRPr="001F0AF1">
        <w:rPr>
          <w:i/>
        </w:rPr>
        <w:t xml:space="preserve"> from 26,232.80 in April 2013 to 26,507.60 in April 2014 in North-east region</w:t>
      </w:r>
      <w:r w:rsidRPr="001F0AF1">
        <w:t xml:space="preserve"> and similarly in other specified regions - which infers that there could be a fall in number </w:t>
      </w:r>
      <w:r w:rsidR="00C44575" w:rsidRPr="001F0AF1">
        <w:t xml:space="preserve">of </w:t>
      </w:r>
      <w:r w:rsidRPr="001F0AF1">
        <w:t>people seeking jobs – possibly could have moved to other regions, cities or foreign countries in quest of jobs opportunities</w:t>
      </w:r>
      <w:r w:rsidR="00973A70" w:rsidRPr="001F0AF1">
        <w:t xml:space="preserve"> or negligible amount of people could have gain new jobs.</w:t>
      </w:r>
    </w:p>
    <w:p w14:paraId="1340B63F" w14:textId="19C924D6" w:rsidR="004F397D" w:rsidRDefault="006E5E0C">
      <w:r>
        <w:t>-----------------------------x-----------------------------------------x-------------------------------------------x---------------------</w:t>
      </w:r>
    </w:p>
    <w:p w14:paraId="74EC610A" w14:textId="2349AD18" w:rsidR="00B36943" w:rsidRPr="00B36943" w:rsidRDefault="001C7496" w:rsidP="00B36943">
      <w:pPr>
        <w:shd w:val="clear" w:color="auto" w:fill="DEF2F8"/>
        <w:spacing w:after="120" w:line="240" w:lineRule="auto"/>
        <w:rPr>
          <w:rFonts w:ascii="open_sansregular" w:eastAsia="Times New Roman" w:hAnsi="open_sansregular" w:cs="Times New Roman"/>
          <w:color w:val="2F6473"/>
          <w:sz w:val="23"/>
          <w:szCs w:val="23"/>
        </w:rPr>
      </w:pPr>
      <w:r>
        <w:rPr>
          <w:rFonts w:ascii="open_sansregular" w:eastAsia="Times New Roman" w:hAnsi="open_sansregular" w:cs="Times New Roman"/>
          <w:color w:val="2F6473"/>
          <w:sz w:val="23"/>
          <w:szCs w:val="23"/>
        </w:rPr>
        <w:t xml:space="preserve">Q2: </w:t>
      </w:r>
      <w:r w:rsidR="00B36943" w:rsidRPr="00B36943">
        <w:rPr>
          <w:rFonts w:ascii="Arial" w:eastAsia="Times New Roman" w:hAnsi="Arial" w:cs="Arial"/>
          <w:color w:val="2F6473"/>
          <w:sz w:val="23"/>
          <w:szCs w:val="23"/>
        </w:rPr>
        <w:t>The accompanying table provides the inflation rate in the year 2000 and the average inflation rate over the period 2001-2013 for seven different countries: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F2F8"/>
        <w:tblCellMar>
          <w:top w:w="15" w:type="dxa"/>
          <w:left w:w="15" w:type="dxa"/>
          <w:bottom w:w="15" w:type="dxa"/>
          <w:right w:w="15" w:type="dxa"/>
        </w:tblCellMar>
        <w:tblLook w:val="04A0" w:firstRow="1" w:lastRow="0" w:firstColumn="1" w:lastColumn="0" w:noHBand="0" w:noVBand="1"/>
      </w:tblPr>
      <w:tblGrid>
        <w:gridCol w:w="1333"/>
        <w:gridCol w:w="2121"/>
        <w:gridCol w:w="3551"/>
      </w:tblGrid>
      <w:tr w:rsidR="00B36943" w:rsidRPr="00B36943" w14:paraId="2AA595D2" w14:textId="77777777" w:rsidTr="005062F3">
        <w:trPr>
          <w:jc w:val="center"/>
        </w:trPr>
        <w:tc>
          <w:tcPr>
            <w:tcW w:w="0" w:type="auto"/>
            <w:shd w:val="clear" w:color="auto" w:fill="DEF2F8"/>
            <w:vAlign w:val="center"/>
            <w:hideMark/>
          </w:tcPr>
          <w:p w14:paraId="2B53AB27" w14:textId="77777777" w:rsidR="00B36943" w:rsidRPr="00B36943" w:rsidRDefault="00B36943" w:rsidP="00B36943">
            <w:pPr>
              <w:spacing w:after="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Country</w:t>
            </w:r>
          </w:p>
        </w:tc>
        <w:tc>
          <w:tcPr>
            <w:tcW w:w="0" w:type="auto"/>
            <w:shd w:val="clear" w:color="auto" w:fill="DEF2F8"/>
            <w:vAlign w:val="center"/>
            <w:hideMark/>
          </w:tcPr>
          <w:p w14:paraId="43D9CE03"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Inflation rate in 2000</w:t>
            </w:r>
          </w:p>
        </w:tc>
        <w:tc>
          <w:tcPr>
            <w:tcW w:w="0" w:type="auto"/>
            <w:shd w:val="clear" w:color="auto" w:fill="DEF2F8"/>
            <w:vAlign w:val="center"/>
            <w:hideMark/>
          </w:tcPr>
          <w:p w14:paraId="15C11093"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Average inflation rate in 2001-2013</w:t>
            </w:r>
          </w:p>
        </w:tc>
      </w:tr>
      <w:tr w:rsidR="00B36943" w:rsidRPr="00B36943" w14:paraId="38B60B6A" w14:textId="77777777" w:rsidTr="005062F3">
        <w:trPr>
          <w:jc w:val="center"/>
        </w:trPr>
        <w:tc>
          <w:tcPr>
            <w:tcW w:w="0" w:type="auto"/>
            <w:shd w:val="clear" w:color="auto" w:fill="DEF2F8"/>
            <w:vAlign w:val="center"/>
            <w:hideMark/>
          </w:tcPr>
          <w:p w14:paraId="2D715888" w14:textId="77777777" w:rsidR="00B36943" w:rsidRPr="00B36943" w:rsidRDefault="00B36943" w:rsidP="00B36943">
            <w:pPr>
              <w:spacing w:after="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Brazil</w:t>
            </w:r>
          </w:p>
        </w:tc>
        <w:tc>
          <w:tcPr>
            <w:tcW w:w="0" w:type="auto"/>
            <w:shd w:val="clear" w:color="auto" w:fill="DEF2F8"/>
            <w:vAlign w:val="center"/>
            <w:hideMark/>
          </w:tcPr>
          <w:p w14:paraId="705E1891"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7.06%</w:t>
            </w:r>
          </w:p>
        </w:tc>
        <w:tc>
          <w:tcPr>
            <w:tcW w:w="0" w:type="auto"/>
            <w:shd w:val="clear" w:color="auto" w:fill="DEF2F8"/>
            <w:vAlign w:val="center"/>
            <w:hideMark/>
          </w:tcPr>
          <w:p w14:paraId="64E17799"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6.72%</w:t>
            </w:r>
          </w:p>
        </w:tc>
      </w:tr>
      <w:tr w:rsidR="00B36943" w:rsidRPr="00B36943" w14:paraId="66CAB126" w14:textId="77777777" w:rsidTr="005062F3">
        <w:trPr>
          <w:jc w:val="center"/>
        </w:trPr>
        <w:tc>
          <w:tcPr>
            <w:tcW w:w="0" w:type="auto"/>
            <w:shd w:val="clear" w:color="auto" w:fill="DEF2F8"/>
            <w:vAlign w:val="center"/>
            <w:hideMark/>
          </w:tcPr>
          <w:p w14:paraId="3AE0AB63" w14:textId="77777777" w:rsidR="00B36943" w:rsidRPr="00B36943" w:rsidRDefault="00B36943" w:rsidP="00B36943">
            <w:pPr>
              <w:spacing w:after="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China</w:t>
            </w:r>
          </w:p>
        </w:tc>
        <w:tc>
          <w:tcPr>
            <w:tcW w:w="0" w:type="auto"/>
            <w:shd w:val="clear" w:color="auto" w:fill="DEF2F8"/>
            <w:vAlign w:val="center"/>
            <w:hideMark/>
          </w:tcPr>
          <w:p w14:paraId="581BD28D"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0.4</w:t>
            </w:r>
          </w:p>
        </w:tc>
        <w:tc>
          <w:tcPr>
            <w:tcW w:w="0" w:type="auto"/>
            <w:shd w:val="clear" w:color="auto" w:fill="DEF2F8"/>
            <w:vAlign w:val="center"/>
            <w:hideMark/>
          </w:tcPr>
          <w:p w14:paraId="3E69400B"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2.34</w:t>
            </w:r>
          </w:p>
        </w:tc>
      </w:tr>
      <w:tr w:rsidR="00B36943" w:rsidRPr="00B36943" w14:paraId="01A52217" w14:textId="77777777" w:rsidTr="005062F3">
        <w:trPr>
          <w:jc w:val="center"/>
        </w:trPr>
        <w:tc>
          <w:tcPr>
            <w:tcW w:w="0" w:type="auto"/>
            <w:shd w:val="clear" w:color="auto" w:fill="DEF2F8"/>
            <w:vAlign w:val="center"/>
            <w:hideMark/>
          </w:tcPr>
          <w:p w14:paraId="08FADFC4" w14:textId="77777777" w:rsidR="00B36943" w:rsidRPr="00B36943" w:rsidRDefault="00B36943" w:rsidP="00B36943">
            <w:pPr>
              <w:spacing w:after="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lastRenderedPageBreak/>
              <w:t>France</w:t>
            </w:r>
          </w:p>
        </w:tc>
        <w:tc>
          <w:tcPr>
            <w:tcW w:w="0" w:type="auto"/>
            <w:shd w:val="clear" w:color="auto" w:fill="DEF2F8"/>
            <w:vAlign w:val="center"/>
            <w:hideMark/>
          </w:tcPr>
          <w:p w14:paraId="1B671754"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1.83</w:t>
            </w:r>
          </w:p>
        </w:tc>
        <w:tc>
          <w:tcPr>
            <w:tcW w:w="0" w:type="auto"/>
            <w:shd w:val="clear" w:color="auto" w:fill="DEF2F8"/>
            <w:vAlign w:val="center"/>
            <w:hideMark/>
          </w:tcPr>
          <w:p w14:paraId="5CF6C309"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1.86</w:t>
            </w:r>
          </w:p>
        </w:tc>
      </w:tr>
      <w:tr w:rsidR="00B36943" w:rsidRPr="00B36943" w14:paraId="1B67D5DA" w14:textId="77777777" w:rsidTr="005062F3">
        <w:trPr>
          <w:jc w:val="center"/>
        </w:trPr>
        <w:tc>
          <w:tcPr>
            <w:tcW w:w="0" w:type="auto"/>
            <w:shd w:val="clear" w:color="auto" w:fill="DEF2F8"/>
            <w:vAlign w:val="center"/>
            <w:hideMark/>
          </w:tcPr>
          <w:p w14:paraId="37197C76" w14:textId="77777777" w:rsidR="00B36943" w:rsidRPr="00B36943" w:rsidRDefault="00B36943" w:rsidP="00B36943">
            <w:pPr>
              <w:spacing w:after="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Indonesia</w:t>
            </w:r>
          </w:p>
        </w:tc>
        <w:tc>
          <w:tcPr>
            <w:tcW w:w="0" w:type="auto"/>
            <w:shd w:val="clear" w:color="auto" w:fill="DEF2F8"/>
            <w:vAlign w:val="center"/>
            <w:hideMark/>
          </w:tcPr>
          <w:p w14:paraId="67C885DF"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3.77</w:t>
            </w:r>
          </w:p>
        </w:tc>
        <w:tc>
          <w:tcPr>
            <w:tcW w:w="0" w:type="auto"/>
            <w:shd w:val="clear" w:color="auto" w:fill="DEF2F8"/>
            <w:vAlign w:val="center"/>
            <w:hideMark/>
          </w:tcPr>
          <w:p w14:paraId="12C49A80"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7.56</w:t>
            </w:r>
          </w:p>
        </w:tc>
      </w:tr>
      <w:tr w:rsidR="00B36943" w:rsidRPr="00B36943" w14:paraId="585CBBC4" w14:textId="77777777" w:rsidTr="005062F3">
        <w:trPr>
          <w:jc w:val="center"/>
        </w:trPr>
        <w:tc>
          <w:tcPr>
            <w:tcW w:w="0" w:type="auto"/>
            <w:shd w:val="clear" w:color="auto" w:fill="DEF2F8"/>
            <w:vAlign w:val="center"/>
            <w:hideMark/>
          </w:tcPr>
          <w:p w14:paraId="7983CC41" w14:textId="77777777" w:rsidR="00B36943" w:rsidRPr="00B36943" w:rsidRDefault="00B36943" w:rsidP="00B36943">
            <w:pPr>
              <w:spacing w:after="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Japan</w:t>
            </w:r>
          </w:p>
        </w:tc>
        <w:tc>
          <w:tcPr>
            <w:tcW w:w="0" w:type="auto"/>
            <w:shd w:val="clear" w:color="auto" w:fill="DEF2F8"/>
            <w:vAlign w:val="center"/>
            <w:hideMark/>
          </w:tcPr>
          <w:p w14:paraId="503FE56E"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-0.78</w:t>
            </w:r>
          </w:p>
        </w:tc>
        <w:tc>
          <w:tcPr>
            <w:tcW w:w="0" w:type="auto"/>
            <w:shd w:val="clear" w:color="auto" w:fill="DEF2F8"/>
            <w:vAlign w:val="center"/>
            <w:hideMark/>
          </w:tcPr>
          <w:p w14:paraId="3E5184B4"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-0.23</w:t>
            </w:r>
          </w:p>
        </w:tc>
      </w:tr>
      <w:tr w:rsidR="00B36943" w:rsidRPr="00B36943" w14:paraId="2EFAFB69" w14:textId="77777777" w:rsidTr="005062F3">
        <w:trPr>
          <w:jc w:val="center"/>
        </w:trPr>
        <w:tc>
          <w:tcPr>
            <w:tcW w:w="0" w:type="auto"/>
            <w:shd w:val="clear" w:color="auto" w:fill="DEF2F8"/>
            <w:vAlign w:val="center"/>
            <w:hideMark/>
          </w:tcPr>
          <w:p w14:paraId="789C27E4" w14:textId="77777777" w:rsidR="00B36943" w:rsidRPr="00B36943" w:rsidRDefault="00B36943" w:rsidP="00B36943">
            <w:pPr>
              <w:spacing w:after="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Turkey</w:t>
            </w:r>
          </w:p>
        </w:tc>
        <w:tc>
          <w:tcPr>
            <w:tcW w:w="0" w:type="auto"/>
            <w:shd w:val="clear" w:color="auto" w:fill="DEF2F8"/>
            <w:vAlign w:val="center"/>
            <w:hideMark/>
          </w:tcPr>
          <w:p w14:paraId="19B33FEE"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55.03</w:t>
            </w:r>
          </w:p>
        </w:tc>
        <w:tc>
          <w:tcPr>
            <w:tcW w:w="0" w:type="auto"/>
            <w:shd w:val="clear" w:color="auto" w:fill="DEF2F8"/>
            <w:vAlign w:val="center"/>
            <w:hideMark/>
          </w:tcPr>
          <w:p w14:paraId="0CA848BC"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18.79</w:t>
            </w:r>
          </w:p>
        </w:tc>
      </w:tr>
      <w:tr w:rsidR="00B36943" w:rsidRPr="00B36943" w14:paraId="217B8177" w14:textId="77777777" w:rsidTr="005062F3">
        <w:trPr>
          <w:jc w:val="center"/>
        </w:trPr>
        <w:tc>
          <w:tcPr>
            <w:tcW w:w="0" w:type="auto"/>
            <w:shd w:val="clear" w:color="auto" w:fill="DEF2F8"/>
            <w:vAlign w:val="center"/>
            <w:hideMark/>
          </w:tcPr>
          <w:p w14:paraId="6D8BBDF0" w14:textId="77777777" w:rsidR="00B36943" w:rsidRPr="00B36943" w:rsidRDefault="00B36943" w:rsidP="00B36943">
            <w:pPr>
              <w:spacing w:after="0" w:line="240" w:lineRule="auto"/>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United States</w:t>
            </w:r>
          </w:p>
        </w:tc>
        <w:tc>
          <w:tcPr>
            <w:tcW w:w="0" w:type="auto"/>
            <w:shd w:val="clear" w:color="auto" w:fill="DEF2F8"/>
            <w:vAlign w:val="center"/>
            <w:hideMark/>
          </w:tcPr>
          <w:p w14:paraId="25029561"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3.37</w:t>
            </w:r>
          </w:p>
        </w:tc>
        <w:tc>
          <w:tcPr>
            <w:tcW w:w="0" w:type="auto"/>
            <w:shd w:val="clear" w:color="auto" w:fill="DEF2F8"/>
            <w:vAlign w:val="center"/>
            <w:hideMark/>
          </w:tcPr>
          <w:p w14:paraId="6F296102" w14:textId="77777777" w:rsidR="00B36943" w:rsidRPr="00B36943" w:rsidRDefault="00B36943" w:rsidP="00B36943">
            <w:pPr>
              <w:spacing w:after="0" w:line="240" w:lineRule="auto"/>
              <w:jc w:val="center"/>
              <w:rPr>
                <w:rFonts w:ascii="open_sansregular" w:eastAsia="Times New Roman" w:hAnsi="open_sansregular" w:cs="Times New Roman"/>
                <w:color w:val="2F6473"/>
                <w:sz w:val="23"/>
                <w:szCs w:val="23"/>
              </w:rPr>
            </w:pPr>
            <w:r w:rsidRPr="00B36943">
              <w:rPr>
                <w:rFonts w:ascii="open_sansregular" w:eastAsia="Times New Roman" w:hAnsi="open_sansregular" w:cs="Times New Roman"/>
                <w:color w:val="2F6473"/>
                <w:sz w:val="23"/>
                <w:szCs w:val="23"/>
              </w:rPr>
              <w:t>2.43</w:t>
            </w:r>
          </w:p>
        </w:tc>
      </w:tr>
    </w:tbl>
    <w:p w14:paraId="649D7D71" w14:textId="77777777" w:rsidR="004619EE" w:rsidRDefault="004619EE" w:rsidP="0028615E">
      <w:pPr>
        <w:spacing w:after="120" w:line="240" w:lineRule="auto"/>
        <w:rPr>
          <w:rFonts w:ascii="Arial" w:eastAsia="Times New Roman" w:hAnsi="Arial" w:cs="Arial"/>
          <w:color w:val="2F6473"/>
          <w:sz w:val="23"/>
          <w:szCs w:val="23"/>
        </w:rPr>
      </w:pPr>
    </w:p>
    <w:p w14:paraId="1A226FE6" w14:textId="3F985DA2" w:rsidR="00B36943" w:rsidRDefault="00B36943" w:rsidP="00B36943">
      <w:pPr>
        <w:shd w:val="clear" w:color="auto" w:fill="DEF2F8"/>
        <w:spacing w:after="120" w:line="240" w:lineRule="auto"/>
        <w:rPr>
          <w:rFonts w:ascii="Arial" w:eastAsia="Times New Roman" w:hAnsi="Arial" w:cs="Arial"/>
          <w:color w:val="2F6473"/>
          <w:sz w:val="23"/>
          <w:szCs w:val="23"/>
        </w:rPr>
      </w:pPr>
      <w:r w:rsidRPr="00B36943">
        <w:rPr>
          <w:rFonts w:ascii="Arial" w:eastAsia="Times New Roman" w:hAnsi="Arial" w:cs="Arial"/>
          <w:color w:val="2F6473"/>
          <w:sz w:val="23"/>
          <w:szCs w:val="23"/>
        </w:rPr>
        <w:t>a) Given the expected relationship between average inflation and menu costs, rank the countries in descending order of menu costs using the average inflation over the period 2001-2013.</w:t>
      </w:r>
    </w:p>
    <w:p w14:paraId="534CD3E3" w14:textId="04CD51BA" w:rsidR="006931AD" w:rsidRDefault="00F77FBE" w:rsidP="006931AD">
      <w:pPr>
        <w:spacing w:after="120" w:line="240" w:lineRule="auto"/>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 xml:space="preserve">a) </w:t>
      </w:r>
      <w:r w:rsidR="006931AD" w:rsidRPr="006931AD">
        <w:rPr>
          <w:rFonts w:ascii="open_sansregular" w:eastAsia="Times New Roman" w:hAnsi="open_sansregular" w:cs="Times New Roman"/>
          <w:color w:val="000000" w:themeColor="text1"/>
          <w:sz w:val="23"/>
          <w:szCs w:val="23"/>
        </w:rPr>
        <w:t>The countries with the highest average inflation rates should have the highest menu costs. Order: Turkey, Indonesia, Brazil, United States, China, France, Japan.</w:t>
      </w:r>
    </w:p>
    <w:tbl>
      <w:tblPr>
        <w:tblStyle w:val="TableGrid"/>
        <w:tblW w:w="0" w:type="auto"/>
        <w:tblLook w:val="04A0" w:firstRow="1" w:lastRow="0" w:firstColumn="1" w:lastColumn="0" w:noHBand="0" w:noVBand="1"/>
      </w:tblPr>
      <w:tblGrid>
        <w:gridCol w:w="628"/>
        <w:gridCol w:w="5037"/>
        <w:gridCol w:w="3685"/>
      </w:tblGrid>
      <w:tr w:rsidR="00B85DBA" w14:paraId="6289240D" w14:textId="77777777" w:rsidTr="00B85DBA">
        <w:tc>
          <w:tcPr>
            <w:tcW w:w="628" w:type="dxa"/>
          </w:tcPr>
          <w:p w14:paraId="2F2DCAD5" w14:textId="60540B85" w:rsidR="00B85DBA" w:rsidRDefault="00B85DBA"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S.no</w:t>
            </w:r>
          </w:p>
        </w:tc>
        <w:tc>
          <w:tcPr>
            <w:tcW w:w="5037" w:type="dxa"/>
          </w:tcPr>
          <w:p w14:paraId="5065CF0E" w14:textId="44382DC2" w:rsidR="00B85DBA" w:rsidRDefault="00B85DBA"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Ranking (Descending Order – from High to Low)</w:t>
            </w:r>
          </w:p>
        </w:tc>
        <w:tc>
          <w:tcPr>
            <w:tcW w:w="3685" w:type="dxa"/>
          </w:tcPr>
          <w:p w14:paraId="6CC5277F" w14:textId="084AA7D8" w:rsidR="00B85DBA" w:rsidRDefault="00B85DBA"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 xml:space="preserve">  Average Inflation Rate</w:t>
            </w:r>
            <w:r w:rsidR="00656655">
              <w:rPr>
                <w:rFonts w:ascii="open_sansregular" w:eastAsia="Times New Roman" w:hAnsi="open_sansregular" w:cs="Times New Roman"/>
                <w:color w:val="000000" w:themeColor="text1"/>
                <w:sz w:val="23"/>
                <w:szCs w:val="23"/>
              </w:rPr>
              <w:t xml:space="preserve"> 2001-13</w:t>
            </w:r>
          </w:p>
        </w:tc>
      </w:tr>
      <w:tr w:rsidR="00B85DBA" w14:paraId="4951A931" w14:textId="77777777" w:rsidTr="00B85DBA">
        <w:tc>
          <w:tcPr>
            <w:tcW w:w="628" w:type="dxa"/>
          </w:tcPr>
          <w:p w14:paraId="2DCF0AFA" w14:textId="2F8E037A" w:rsidR="00B85DBA" w:rsidRDefault="00B85DBA"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1</w:t>
            </w:r>
            <w:r w:rsidR="00DC6185" w:rsidRPr="00DC6185">
              <w:rPr>
                <w:rFonts w:ascii="open_sansregular" w:eastAsia="Times New Roman" w:hAnsi="open_sansregular" w:cs="Times New Roman"/>
                <w:color w:val="000000" w:themeColor="text1"/>
                <w:sz w:val="23"/>
                <w:szCs w:val="23"/>
                <w:vertAlign w:val="superscript"/>
              </w:rPr>
              <w:t>st</w:t>
            </w:r>
          </w:p>
        </w:tc>
        <w:tc>
          <w:tcPr>
            <w:tcW w:w="5037" w:type="dxa"/>
          </w:tcPr>
          <w:p w14:paraId="1B12A5D7" w14:textId="7BA9B048" w:rsidR="00B85DBA" w:rsidRDefault="006B4029"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Turkey</w:t>
            </w:r>
          </w:p>
        </w:tc>
        <w:tc>
          <w:tcPr>
            <w:tcW w:w="3685" w:type="dxa"/>
          </w:tcPr>
          <w:p w14:paraId="3570F41C" w14:textId="63461794" w:rsidR="00B85DBA" w:rsidRDefault="006B4029"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18.79%</w:t>
            </w:r>
          </w:p>
        </w:tc>
      </w:tr>
      <w:tr w:rsidR="00B85DBA" w14:paraId="20A08136" w14:textId="77777777" w:rsidTr="00B85DBA">
        <w:tc>
          <w:tcPr>
            <w:tcW w:w="628" w:type="dxa"/>
          </w:tcPr>
          <w:p w14:paraId="37FCA015" w14:textId="7FBE3038" w:rsidR="00B85DBA" w:rsidRDefault="00B85DBA"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2</w:t>
            </w:r>
            <w:r w:rsidR="00DC6185" w:rsidRPr="00DC6185">
              <w:rPr>
                <w:rFonts w:ascii="open_sansregular" w:eastAsia="Times New Roman" w:hAnsi="open_sansregular" w:cs="Times New Roman"/>
                <w:color w:val="000000" w:themeColor="text1"/>
                <w:sz w:val="23"/>
                <w:szCs w:val="23"/>
                <w:vertAlign w:val="superscript"/>
              </w:rPr>
              <w:t>nd</w:t>
            </w:r>
          </w:p>
        </w:tc>
        <w:tc>
          <w:tcPr>
            <w:tcW w:w="5037" w:type="dxa"/>
          </w:tcPr>
          <w:p w14:paraId="5CD4A087" w14:textId="44CE4642" w:rsidR="00B85DBA" w:rsidRDefault="006B4029"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 xml:space="preserve">Indonesia </w:t>
            </w:r>
          </w:p>
        </w:tc>
        <w:tc>
          <w:tcPr>
            <w:tcW w:w="3685" w:type="dxa"/>
          </w:tcPr>
          <w:p w14:paraId="641F522D" w14:textId="093F7A5E" w:rsidR="00B85DBA" w:rsidRDefault="006B4029"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7.56%</w:t>
            </w:r>
          </w:p>
        </w:tc>
      </w:tr>
      <w:tr w:rsidR="00B85DBA" w14:paraId="48FE5A7C" w14:textId="77777777" w:rsidTr="00B85DBA">
        <w:tc>
          <w:tcPr>
            <w:tcW w:w="628" w:type="dxa"/>
          </w:tcPr>
          <w:p w14:paraId="258D23ED" w14:textId="23B3D9EB" w:rsidR="00B85DBA" w:rsidRDefault="00B85DBA"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3</w:t>
            </w:r>
            <w:r w:rsidR="00DC6185" w:rsidRPr="00DC6185">
              <w:rPr>
                <w:rFonts w:ascii="open_sansregular" w:eastAsia="Times New Roman" w:hAnsi="open_sansregular" w:cs="Times New Roman"/>
                <w:color w:val="000000" w:themeColor="text1"/>
                <w:sz w:val="23"/>
                <w:szCs w:val="23"/>
                <w:vertAlign w:val="superscript"/>
              </w:rPr>
              <w:t>rd</w:t>
            </w:r>
          </w:p>
        </w:tc>
        <w:tc>
          <w:tcPr>
            <w:tcW w:w="5037" w:type="dxa"/>
          </w:tcPr>
          <w:p w14:paraId="4889A791" w14:textId="2B698576" w:rsidR="00B85DBA" w:rsidRDefault="006B4029"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Brazil</w:t>
            </w:r>
          </w:p>
        </w:tc>
        <w:tc>
          <w:tcPr>
            <w:tcW w:w="3685" w:type="dxa"/>
          </w:tcPr>
          <w:p w14:paraId="63EE534B" w14:textId="40D01196" w:rsidR="00B85DBA" w:rsidRDefault="006B4029"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6.72%</w:t>
            </w:r>
          </w:p>
        </w:tc>
      </w:tr>
      <w:tr w:rsidR="00B85DBA" w14:paraId="79C25EE0" w14:textId="77777777" w:rsidTr="00B85DBA">
        <w:tc>
          <w:tcPr>
            <w:tcW w:w="628" w:type="dxa"/>
          </w:tcPr>
          <w:p w14:paraId="714FB9DD" w14:textId="53EE9DA0" w:rsidR="00B85DBA" w:rsidRDefault="00B85DBA"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4</w:t>
            </w:r>
            <w:r w:rsidR="00DC6185" w:rsidRPr="00DC6185">
              <w:rPr>
                <w:rFonts w:ascii="open_sansregular" w:eastAsia="Times New Roman" w:hAnsi="open_sansregular" w:cs="Times New Roman"/>
                <w:color w:val="000000" w:themeColor="text1"/>
                <w:sz w:val="23"/>
                <w:szCs w:val="23"/>
                <w:vertAlign w:val="superscript"/>
              </w:rPr>
              <w:t>th</w:t>
            </w:r>
          </w:p>
        </w:tc>
        <w:tc>
          <w:tcPr>
            <w:tcW w:w="5037" w:type="dxa"/>
          </w:tcPr>
          <w:p w14:paraId="60E212A6" w14:textId="26E80C22" w:rsidR="00B85DBA" w:rsidRDefault="006B4029"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United States &amp; China</w:t>
            </w:r>
          </w:p>
        </w:tc>
        <w:tc>
          <w:tcPr>
            <w:tcW w:w="3685" w:type="dxa"/>
          </w:tcPr>
          <w:p w14:paraId="5BF24EB5" w14:textId="7629B090" w:rsidR="00B85DBA" w:rsidRDefault="006B4029"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2.34</w:t>
            </w:r>
          </w:p>
        </w:tc>
      </w:tr>
      <w:tr w:rsidR="00B85DBA" w14:paraId="0C3B1C57" w14:textId="77777777" w:rsidTr="00B85DBA">
        <w:tc>
          <w:tcPr>
            <w:tcW w:w="628" w:type="dxa"/>
          </w:tcPr>
          <w:p w14:paraId="60BB0DA4" w14:textId="239990B9" w:rsidR="00B85DBA" w:rsidRDefault="006B4029"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5</w:t>
            </w:r>
            <w:r w:rsidR="00DC6185" w:rsidRPr="00DC6185">
              <w:rPr>
                <w:rFonts w:ascii="open_sansregular" w:eastAsia="Times New Roman" w:hAnsi="open_sansregular" w:cs="Times New Roman"/>
                <w:color w:val="000000" w:themeColor="text1"/>
                <w:sz w:val="23"/>
                <w:szCs w:val="23"/>
                <w:vertAlign w:val="superscript"/>
              </w:rPr>
              <w:t>th</w:t>
            </w:r>
          </w:p>
        </w:tc>
        <w:tc>
          <w:tcPr>
            <w:tcW w:w="5037" w:type="dxa"/>
          </w:tcPr>
          <w:p w14:paraId="59B5E4D9" w14:textId="561C99F2" w:rsidR="00B85DBA" w:rsidRDefault="006B4029"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France</w:t>
            </w:r>
          </w:p>
        </w:tc>
        <w:tc>
          <w:tcPr>
            <w:tcW w:w="3685" w:type="dxa"/>
          </w:tcPr>
          <w:p w14:paraId="3219360B" w14:textId="6030B4C3" w:rsidR="00B85DBA" w:rsidRDefault="006B4029"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1.86</w:t>
            </w:r>
          </w:p>
        </w:tc>
      </w:tr>
      <w:tr w:rsidR="00B85DBA" w14:paraId="200FBCBA" w14:textId="77777777" w:rsidTr="00B85DBA">
        <w:tc>
          <w:tcPr>
            <w:tcW w:w="628" w:type="dxa"/>
          </w:tcPr>
          <w:p w14:paraId="4581BB39" w14:textId="014DA9E7" w:rsidR="00B85DBA" w:rsidRDefault="006B4029"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6</w:t>
            </w:r>
            <w:r w:rsidR="00DC6185" w:rsidRPr="00DC6185">
              <w:rPr>
                <w:rFonts w:ascii="open_sansregular" w:eastAsia="Times New Roman" w:hAnsi="open_sansregular" w:cs="Times New Roman"/>
                <w:color w:val="000000" w:themeColor="text1"/>
                <w:sz w:val="23"/>
                <w:szCs w:val="23"/>
                <w:vertAlign w:val="superscript"/>
              </w:rPr>
              <w:t>th</w:t>
            </w:r>
          </w:p>
        </w:tc>
        <w:tc>
          <w:tcPr>
            <w:tcW w:w="5037" w:type="dxa"/>
          </w:tcPr>
          <w:p w14:paraId="52BAEF00" w14:textId="425847F7" w:rsidR="00B85DBA" w:rsidRDefault="006B4029"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Japan</w:t>
            </w:r>
          </w:p>
        </w:tc>
        <w:tc>
          <w:tcPr>
            <w:tcW w:w="3685" w:type="dxa"/>
          </w:tcPr>
          <w:p w14:paraId="686FB215" w14:textId="0458D39E" w:rsidR="00B85DBA" w:rsidRDefault="006B4029" w:rsidP="006931AD">
            <w:pPr>
              <w:spacing w:after="120"/>
              <w:rPr>
                <w:rFonts w:ascii="open_sansregular" w:eastAsia="Times New Roman" w:hAnsi="open_sansregular" w:cs="Times New Roman"/>
                <w:color w:val="000000" w:themeColor="text1"/>
                <w:sz w:val="23"/>
                <w:szCs w:val="23"/>
              </w:rPr>
            </w:pPr>
            <w:r>
              <w:rPr>
                <w:rFonts w:ascii="open_sansregular" w:eastAsia="Times New Roman" w:hAnsi="open_sansregular" w:cs="Times New Roman"/>
                <w:color w:val="000000" w:themeColor="text1"/>
                <w:sz w:val="23"/>
                <w:szCs w:val="23"/>
              </w:rPr>
              <w:t>-0.23</w:t>
            </w:r>
          </w:p>
        </w:tc>
      </w:tr>
    </w:tbl>
    <w:p w14:paraId="1921DEF7" w14:textId="394D9BF4" w:rsidR="00B85DBA" w:rsidRPr="006931AD" w:rsidRDefault="00B85DBA" w:rsidP="006931AD">
      <w:pPr>
        <w:spacing w:after="120" w:line="240" w:lineRule="auto"/>
        <w:rPr>
          <w:rFonts w:ascii="open_sansregular" w:eastAsia="Times New Roman" w:hAnsi="open_sansregular" w:cs="Times New Roman"/>
          <w:color w:val="000000" w:themeColor="text1"/>
          <w:sz w:val="23"/>
          <w:szCs w:val="23"/>
        </w:rPr>
      </w:pPr>
    </w:p>
    <w:p w14:paraId="5B4DD6E3" w14:textId="77777777" w:rsidR="00534993" w:rsidRDefault="00534993" w:rsidP="00534993">
      <w:pPr>
        <w:spacing w:after="120" w:line="240" w:lineRule="auto"/>
        <w:rPr>
          <w:rFonts w:ascii="Arial" w:eastAsia="Times New Roman" w:hAnsi="Arial" w:cs="Arial"/>
          <w:color w:val="2F6473"/>
          <w:sz w:val="23"/>
          <w:szCs w:val="23"/>
        </w:rPr>
      </w:pPr>
    </w:p>
    <w:p w14:paraId="35C77667" w14:textId="60837E00" w:rsidR="00701ADD" w:rsidRDefault="00B36943" w:rsidP="00AE104A">
      <w:pPr>
        <w:shd w:val="clear" w:color="auto" w:fill="DEF2F8"/>
        <w:spacing w:after="120" w:line="240" w:lineRule="auto"/>
        <w:rPr>
          <w:rFonts w:ascii="Arial" w:eastAsia="Times New Roman" w:hAnsi="Arial" w:cs="Arial"/>
          <w:color w:val="2F6473"/>
          <w:sz w:val="23"/>
          <w:szCs w:val="23"/>
        </w:rPr>
      </w:pPr>
      <w:r w:rsidRPr="00B36943">
        <w:rPr>
          <w:rFonts w:ascii="Arial" w:eastAsia="Times New Roman" w:hAnsi="Arial" w:cs="Arial"/>
          <w:color w:val="2F6473"/>
          <w:sz w:val="23"/>
          <w:szCs w:val="23"/>
        </w:rPr>
        <w:t>b) Rank the countries in order of inflation rates that most favored borrowers with ten-year loans that were taken out in 2000. Assume that the loans were agreed upon with the expectation that the inflation rate for 2001 to 2013 would be the same as the inflation rate in 2000.</w:t>
      </w:r>
    </w:p>
    <w:p w14:paraId="28E7CEF3" w14:textId="36EC0E81" w:rsidR="00701ADD" w:rsidRPr="001F0AF1" w:rsidRDefault="00DB3F40" w:rsidP="001F0AF1">
      <w:r>
        <w:t xml:space="preserve">b) </w:t>
      </w:r>
      <w:r w:rsidR="00F448E4" w:rsidRPr="001F0AF1">
        <w:t>The countries with an average inflation rate higher than the inflation rate in 2000 should favor borrowers with ten-year loans payable in 201</w:t>
      </w:r>
      <w:r w:rsidR="00137B8A" w:rsidRPr="001F0AF1">
        <w:t>3</w:t>
      </w:r>
      <w:r w:rsidR="00C9752E" w:rsidRPr="001F0AF1">
        <w:t xml:space="preserve"> </w:t>
      </w:r>
      <w:r w:rsidR="00813631" w:rsidRPr="001F0AF1">
        <w:t>(</w:t>
      </w:r>
      <w:r w:rsidR="00C9752E" w:rsidRPr="001F0AF1">
        <w:t>for example China and Indonesia in the above countries list)</w:t>
      </w:r>
      <w:r w:rsidR="00F448E4" w:rsidRPr="001F0AF1">
        <w:t>. The higher the difference between the average inflation rate during 2001–201</w:t>
      </w:r>
      <w:r w:rsidR="00137B8A" w:rsidRPr="001F0AF1">
        <w:t>3</w:t>
      </w:r>
      <w:r w:rsidR="00F448E4" w:rsidRPr="001F0AF1">
        <w:t xml:space="preserve"> and the inflation rate in 2000, the lower the real value of the loan. Order: Indonesia, China, Japan, France, Brazil, United States, Turkey.</w:t>
      </w:r>
    </w:p>
    <w:tbl>
      <w:tblPr>
        <w:tblStyle w:val="TableGrid"/>
        <w:tblW w:w="0" w:type="auto"/>
        <w:tblLook w:val="04A0" w:firstRow="1" w:lastRow="0" w:firstColumn="1" w:lastColumn="0" w:noHBand="0" w:noVBand="1"/>
      </w:tblPr>
      <w:tblGrid>
        <w:gridCol w:w="628"/>
        <w:gridCol w:w="3669"/>
        <w:gridCol w:w="2368"/>
      </w:tblGrid>
      <w:tr w:rsidR="00DD0DC0" w:rsidRPr="001F0AF1" w14:paraId="5D4983FE" w14:textId="5FE51B2F" w:rsidTr="00DD0DC0">
        <w:tc>
          <w:tcPr>
            <w:tcW w:w="628" w:type="dxa"/>
          </w:tcPr>
          <w:p w14:paraId="5B40FF73" w14:textId="77777777" w:rsidR="00DD0DC0" w:rsidRPr="001F0AF1" w:rsidRDefault="00DD0DC0" w:rsidP="001F0AF1">
            <w:pPr>
              <w:spacing w:after="160" w:line="259" w:lineRule="auto"/>
            </w:pPr>
            <w:r w:rsidRPr="001F0AF1">
              <w:t>S.no</w:t>
            </w:r>
          </w:p>
        </w:tc>
        <w:tc>
          <w:tcPr>
            <w:tcW w:w="3669" w:type="dxa"/>
          </w:tcPr>
          <w:p w14:paraId="6794C01B" w14:textId="6B71BC74" w:rsidR="00DD0DC0" w:rsidRPr="001F0AF1" w:rsidRDefault="00DD0DC0" w:rsidP="001F0AF1">
            <w:pPr>
              <w:spacing w:after="160" w:line="259" w:lineRule="auto"/>
            </w:pPr>
            <w:r w:rsidRPr="001F0AF1">
              <w:t>Ranking (</w:t>
            </w:r>
            <w:r w:rsidR="00F00EF6" w:rsidRPr="001F0AF1">
              <w:t>Inflation</w:t>
            </w:r>
            <w:r w:rsidRPr="001F0AF1">
              <w:t xml:space="preserve"> </w:t>
            </w:r>
            <w:r w:rsidR="00F00EF6" w:rsidRPr="001F0AF1">
              <w:t>Rate</w:t>
            </w:r>
            <w:r w:rsidR="00A60272" w:rsidRPr="001F0AF1">
              <w:t xml:space="preserve">s </w:t>
            </w:r>
            <w:r w:rsidRPr="001F0AF1">
              <w:t xml:space="preserve">– </w:t>
            </w:r>
            <w:r w:rsidR="00A60272" w:rsidRPr="001F0AF1">
              <w:t>From Most favored borrowers to Least Favored borrowers – for long term loan</w:t>
            </w:r>
            <w:r w:rsidRPr="001F0AF1">
              <w:t>)</w:t>
            </w:r>
          </w:p>
        </w:tc>
        <w:tc>
          <w:tcPr>
            <w:tcW w:w="2368" w:type="dxa"/>
          </w:tcPr>
          <w:p w14:paraId="7350B569" w14:textId="45345D7A" w:rsidR="00DD0DC0" w:rsidRPr="001F0AF1" w:rsidRDefault="0049167E" w:rsidP="001F0AF1">
            <w:pPr>
              <w:spacing w:after="160" w:line="259" w:lineRule="auto"/>
            </w:pPr>
            <w:r w:rsidRPr="001F0AF1">
              <w:t>Difference between Avg: Infl</w:t>
            </w:r>
            <w:r w:rsidR="00E14F0A" w:rsidRPr="001F0AF1">
              <w:t>ation</w:t>
            </w:r>
            <w:r w:rsidRPr="001F0AF1">
              <w:t xml:space="preserve"> Rate 2001-2013 and 2000.</w:t>
            </w:r>
          </w:p>
        </w:tc>
      </w:tr>
      <w:tr w:rsidR="00DD0DC0" w:rsidRPr="001F0AF1" w14:paraId="058A7F20" w14:textId="7A4C6717" w:rsidTr="00CF5CDE">
        <w:tc>
          <w:tcPr>
            <w:tcW w:w="628" w:type="dxa"/>
          </w:tcPr>
          <w:p w14:paraId="68599AF6" w14:textId="77777777" w:rsidR="00DD0DC0" w:rsidRPr="001F0AF1" w:rsidRDefault="00DD0DC0" w:rsidP="001F0AF1">
            <w:pPr>
              <w:spacing w:after="160" w:line="259" w:lineRule="auto"/>
            </w:pPr>
            <w:r w:rsidRPr="001F0AF1">
              <w:t>1st</w:t>
            </w:r>
          </w:p>
        </w:tc>
        <w:tc>
          <w:tcPr>
            <w:tcW w:w="3669" w:type="dxa"/>
          </w:tcPr>
          <w:p w14:paraId="509ABA97" w14:textId="6B11CD66" w:rsidR="00DD0DC0" w:rsidRPr="001F0AF1" w:rsidRDefault="00F00EF6" w:rsidP="001F0AF1">
            <w:pPr>
              <w:spacing w:after="160" w:line="259" w:lineRule="auto"/>
            </w:pPr>
            <w:r w:rsidRPr="001F0AF1">
              <w:t>Indonesia</w:t>
            </w:r>
          </w:p>
        </w:tc>
        <w:tc>
          <w:tcPr>
            <w:tcW w:w="2368" w:type="dxa"/>
            <w:vAlign w:val="bottom"/>
          </w:tcPr>
          <w:p w14:paraId="601BD790" w14:textId="723C39B8" w:rsidR="00DD0DC0" w:rsidRPr="001F0AF1" w:rsidRDefault="00F00EF6" w:rsidP="001F0AF1">
            <w:pPr>
              <w:spacing w:after="160" w:line="259" w:lineRule="auto"/>
            </w:pPr>
            <w:r w:rsidRPr="001F0AF1">
              <w:t>3.79</w:t>
            </w:r>
          </w:p>
        </w:tc>
      </w:tr>
      <w:tr w:rsidR="00DD0DC0" w:rsidRPr="001F0AF1" w14:paraId="63BFC241" w14:textId="2729930B" w:rsidTr="00CF5CDE">
        <w:tc>
          <w:tcPr>
            <w:tcW w:w="628" w:type="dxa"/>
          </w:tcPr>
          <w:p w14:paraId="2D3BA0AE" w14:textId="77777777" w:rsidR="00DD0DC0" w:rsidRPr="001F0AF1" w:rsidRDefault="00DD0DC0" w:rsidP="001F0AF1">
            <w:pPr>
              <w:spacing w:after="160" w:line="259" w:lineRule="auto"/>
            </w:pPr>
            <w:r w:rsidRPr="001F0AF1">
              <w:t>2nd</w:t>
            </w:r>
          </w:p>
        </w:tc>
        <w:tc>
          <w:tcPr>
            <w:tcW w:w="3669" w:type="dxa"/>
          </w:tcPr>
          <w:p w14:paraId="638FF393" w14:textId="613AE4B7" w:rsidR="00DD0DC0" w:rsidRPr="001F0AF1" w:rsidRDefault="00F00EF6" w:rsidP="001F0AF1">
            <w:pPr>
              <w:spacing w:after="160" w:line="259" w:lineRule="auto"/>
            </w:pPr>
            <w:r w:rsidRPr="001F0AF1">
              <w:t>China</w:t>
            </w:r>
            <w:r w:rsidR="00DD0DC0" w:rsidRPr="001F0AF1">
              <w:t xml:space="preserve"> </w:t>
            </w:r>
          </w:p>
        </w:tc>
        <w:tc>
          <w:tcPr>
            <w:tcW w:w="2368" w:type="dxa"/>
            <w:vAlign w:val="bottom"/>
          </w:tcPr>
          <w:p w14:paraId="00FADDC6" w14:textId="2656AB38" w:rsidR="00DD0DC0" w:rsidRPr="001F0AF1" w:rsidRDefault="00F00EF6" w:rsidP="001F0AF1">
            <w:pPr>
              <w:spacing w:after="160" w:line="259" w:lineRule="auto"/>
            </w:pPr>
            <w:r w:rsidRPr="001F0AF1">
              <w:t>1.94</w:t>
            </w:r>
          </w:p>
        </w:tc>
      </w:tr>
      <w:tr w:rsidR="00DD0DC0" w:rsidRPr="001F0AF1" w14:paraId="1BB0AA27" w14:textId="331AA110" w:rsidTr="00CF5CDE">
        <w:tc>
          <w:tcPr>
            <w:tcW w:w="628" w:type="dxa"/>
          </w:tcPr>
          <w:p w14:paraId="4E8C1FEA" w14:textId="77777777" w:rsidR="00DD0DC0" w:rsidRPr="001F0AF1" w:rsidRDefault="00DD0DC0" w:rsidP="001F0AF1">
            <w:pPr>
              <w:spacing w:after="160" w:line="259" w:lineRule="auto"/>
            </w:pPr>
            <w:r w:rsidRPr="001F0AF1">
              <w:t>3rd</w:t>
            </w:r>
          </w:p>
        </w:tc>
        <w:tc>
          <w:tcPr>
            <w:tcW w:w="3669" w:type="dxa"/>
          </w:tcPr>
          <w:p w14:paraId="70B127DA" w14:textId="3F266913" w:rsidR="00DD0DC0" w:rsidRPr="001F0AF1" w:rsidRDefault="00DD0DC0" w:rsidP="001F0AF1">
            <w:pPr>
              <w:spacing w:after="160" w:line="259" w:lineRule="auto"/>
            </w:pPr>
            <w:r w:rsidRPr="001F0AF1">
              <w:t>Japan</w:t>
            </w:r>
          </w:p>
        </w:tc>
        <w:tc>
          <w:tcPr>
            <w:tcW w:w="2368" w:type="dxa"/>
            <w:vAlign w:val="bottom"/>
          </w:tcPr>
          <w:p w14:paraId="1FA1BC21" w14:textId="524E8C66" w:rsidR="00DD0DC0" w:rsidRPr="001F0AF1" w:rsidRDefault="00F00EF6" w:rsidP="001F0AF1">
            <w:pPr>
              <w:spacing w:after="160" w:line="259" w:lineRule="auto"/>
            </w:pPr>
            <w:r w:rsidRPr="001F0AF1">
              <w:t>0.55</w:t>
            </w:r>
          </w:p>
        </w:tc>
      </w:tr>
      <w:tr w:rsidR="00DD0DC0" w:rsidRPr="001F0AF1" w14:paraId="76E374D1" w14:textId="1ABB10C0" w:rsidTr="00CF5CDE">
        <w:tc>
          <w:tcPr>
            <w:tcW w:w="628" w:type="dxa"/>
          </w:tcPr>
          <w:p w14:paraId="637C585B" w14:textId="77777777" w:rsidR="00DD0DC0" w:rsidRPr="001F0AF1" w:rsidRDefault="00DD0DC0" w:rsidP="001F0AF1">
            <w:pPr>
              <w:spacing w:after="160" w:line="259" w:lineRule="auto"/>
            </w:pPr>
            <w:r w:rsidRPr="001F0AF1">
              <w:t>4th</w:t>
            </w:r>
          </w:p>
        </w:tc>
        <w:tc>
          <w:tcPr>
            <w:tcW w:w="3669" w:type="dxa"/>
          </w:tcPr>
          <w:p w14:paraId="3456921F" w14:textId="66CE3777" w:rsidR="00DD0DC0" w:rsidRPr="001F0AF1" w:rsidRDefault="00F00EF6" w:rsidP="001F0AF1">
            <w:pPr>
              <w:spacing w:after="160" w:line="259" w:lineRule="auto"/>
            </w:pPr>
            <w:r w:rsidRPr="001F0AF1">
              <w:t>France</w:t>
            </w:r>
          </w:p>
        </w:tc>
        <w:tc>
          <w:tcPr>
            <w:tcW w:w="2368" w:type="dxa"/>
            <w:vAlign w:val="bottom"/>
          </w:tcPr>
          <w:p w14:paraId="157E4DE9" w14:textId="06814C40" w:rsidR="00DD0DC0" w:rsidRPr="001F0AF1" w:rsidRDefault="00F00EF6" w:rsidP="001F0AF1">
            <w:pPr>
              <w:spacing w:after="160" w:line="259" w:lineRule="auto"/>
            </w:pPr>
            <w:r w:rsidRPr="001F0AF1">
              <w:t>0.03</w:t>
            </w:r>
          </w:p>
        </w:tc>
      </w:tr>
      <w:tr w:rsidR="00DD0DC0" w:rsidRPr="001F0AF1" w14:paraId="7DECC909" w14:textId="297FAFA9" w:rsidTr="00CF5CDE">
        <w:tc>
          <w:tcPr>
            <w:tcW w:w="628" w:type="dxa"/>
          </w:tcPr>
          <w:p w14:paraId="0F056340" w14:textId="77777777" w:rsidR="00DD0DC0" w:rsidRPr="001F0AF1" w:rsidRDefault="00DD0DC0" w:rsidP="001F0AF1">
            <w:pPr>
              <w:spacing w:after="160" w:line="259" w:lineRule="auto"/>
            </w:pPr>
            <w:r w:rsidRPr="001F0AF1">
              <w:lastRenderedPageBreak/>
              <w:t>5th</w:t>
            </w:r>
          </w:p>
        </w:tc>
        <w:tc>
          <w:tcPr>
            <w:tcW w:w="3669" w:type="dxa"/>
          </w:tcPr>
          <w:p w14:paraId="5CBD4253" w14:textId="46BE4ACC" w:rsidR="00DD0DC0" w:rsidRPr="001F0AF1" w:rsidRDefault="00F00EF6" w:rsidP="001F0AF1">
            <w:pPr>
              <w:spacing w:after="160" w:line="259" w:lineRule="auto"/>
            </w:pPr>
            <w:r w:rsidRPr="001F0AF1">
              <w:t>Brazil</w:t>
            </w:r>
          </w:p>
        </w:tc>
        <w:tc>
          <w:tcPr>
            <w:tcW w:w="2368" w:type="dxa"/>
            <w:vAlign w:val="bottom"/>
          </w:tcPr>
          <w:p w14:paraId="2282B795" w14:textId="51BE5E78" w:rsidR="00DD0DC0" w:rsidRPr="001F0AF1" w:rsidRDefault="00F00EF6" w:rsidP="001F0AF1">
            <w:pPr>
              <w:spacing w:after="160" w:line="259" w:lineRule="auto"/>
            </w:pPr>
            <w:r w:rsidRPr="001F0AF1">
              <w:t>-0.34</w:t>
            </w:r>
          </w:p>
        </w:tc>
      </w:tr>
      <w:tr w:rsidR="00DD0DC0" w:rsidRPr="001F0AF1" w14:paraId="36007484" w14:textId="0BC98E69" w:rsidTr="00CF5CDE">
        <w:tc>
          <w:tcPr>
            <w:tcW w:w="628" w:type="dxa"/>
          </w:tcPr>
          <w:p w14:paraId="7FE955DA" w14:textId="77777777" w:rsidR="00DD0DC0" w:rsidRPr="001F0AF1" w:rsidRDefault="00DD0DC0" w:rsidP="001F0AF1">
            <w:pPr>
              <w:spacing w:after="160" w:line="259" w:lineRule="auto"/>
            </w:pPr>
            <w:r w:rsidRPr="001F0AF1">
              <w:t>6th</w:t>
            </w:r>
          </w:p>
        </w:tc>
        <w:tc>
          <w:tcPr>
            <w:tcW w:w="3669" w:type="dxa"/>
          </w:tcPr>
          <w:p w14:paraId="358F8881" w14:textId="18C06EF7" w:rsidR="00DD0DC0" w:rsidRPr="001F0AF1" w:rsidRDefault="00F00EF6" w:rsidP="001F0AF1">
            <w:pPr>
              <w:spacing w:after="160" w:line="259" w:lineRule="auto"/>
            </w:pPr>
            <w:r w:rsidRPr="001F0AF1">
              <w:t>US</w:t>
            </w:r>
          </w:p>
        </w:tc>
        <w:tc>
          <w:tcPr>
            <w:tcW w:w="2368" w:type="dxa"/>
            <w:vAlign w:val="bottom"/>
          </w:tcPr>
          <w:p w14:paraId="4E69019C" w14:textId="19DCDB9C" w:rsidR="00DD0DC0" w:rsidRPr="001F0AF1" w:rsidRDefault="00F00EF6" w:rsidP="001F0AF1">
            <w:pPr>
              <w:spacing w:after="160" w:line="259" w:lineRule="auto"/>
            </w:pPr>
            <w:r w:rsidRPr="001F0AF1">
              <w:t>-0.94</w:t>
            </w:r>
          </w:p>
        </w:tc>
      </w:tr>
      <w:tr w:rsidR="00F00EF6" w:rsidRPr="001F0AF1" w14:paraId="571F542F" w14:textId="77777777" w:rsidTr="00CF5CDE">
        <w:tc>
          <w:tcPr>
            <w:tcW w:w="628" w:type="dxa"/>
          </w:tcPr>
          <w:p w14:paraId="0E9A0CF5" w14:textId="49473A3A" w:rsidR="00F00EF6" w:rsidRPr="001F0AF1" w:rsidRDefault="00F00EF6" w:rsidP="001F0AF1">
            <w:pPr>
              <w:spacing w:after="160" w:line="259" w:lineRule="auto"/>
            </w:pPr>
            <w:r w:rsidRPr="001F0AF1">
              <w:t>7th</w:t>
            </w:r>
          </w:p>
        </w:tc>
        <w:tc>
          <w:tcPr>
            <w:tcW w:w="3669" w:type="dxa"/>
          </w:tcPr>
          <w:p w14:paraId="46EFC967" w14:textId="38BFF773" w:rsidR="00F00EF6" w:rsidRPr="001F0AF1" w:rsidRDefault="00F00EF6" w:rsidP="001F0AF1">
            <w:pPr>
              <w:spacing w:after="160" w:line="259" w:lineRule="auto"/>
            </w:pPr>
            <w:r w:rsidRPr="001F0AF1">
              <w:t>Turkey</w:t>
            </w:r>
          </w:p>
        </w:tc>
        <w:tc>
          <w:tcPr>
            <w:tcW w:w="2368" w:type="dxa"/>
            <w:vAlign w:val="bottom"/>
          </w:tcPr>
          <w:p w14:paraId="780E494F" w14:textId="6E5544E0" w:rsidR="00F00EF6" w:rsidRPr="001F0AF1" w:rsidRDefault="00F00EF6" w:rsidP="001F0AF1">
            <w:pPr>
              <w:spacing w:after="160" w:line="259" w:lineRule="auto"/>
            </w:pPr>
            <w:r w:rsidRPr="001F0AF1">
              <w:t>-36.24</w:t>
            </w:r>
          </w:p>
        </w:tc>
      </w:tr>
    </w:tbl>
    <w:p w14:paraId="2CF2F15A" w14:textId="77777777" w:rsidR="0088288C" w:rsidRPr="00B36943" w:rsidRDefault="0088288C" w:rsidP="00701ADD">
      <w:pPr>
        <w:spacing w:after="120" w:line="240" w:lineRule="auto"/>
        <w:rPr>
          <w:rFonts w:ascii="open_sansregular" w:eastAsia="Times New Roman" w:hAnsi="open_sansregular" w:cs="Times New Roman"/>
          <w:color w:val="2F6473"/>
          <w:sz w:val="23"/>
          <w:szCs w:val="23"/>
        </w:rPr>
      </w:pPr>
    </w:p>
    <w:p w14:paraId="40604A1E" w14:textId="77777777" w:rsidR="00B36943" w:rsidRPr="00B36943" w:rsidRDefault="00B36943" w:rsidP="00B36943">
      <w:pPr>
        <w:shd w:val="clear" w:color="auto" w:fill="DEF2F8"/>
        <w:spacing w:after="120" w:line="240" w:lineRule="auto"/>
        <w:rPr>
          <w:rFonts w:ascii="open_sansregular" w:eastAsia="Times New Roman" w:hAnsi="open_sansregular" w:cs="Times New Roman"/>
          <w:color w:val="2F6473"/>
          <w:sz w:val="23"/>
          <w:szCs w:val="23"/>
        </w:rPr>
      </w:pPr>
      <w:r w:rsidRPr="00B36943">
        <w:rPr>
          <w:rFonts w:ascii="Arial" w:eastAsia="Times New Roman" w:hAnsi="Arial" w:cs="Arial"/>
          <w:color w:val="2F6473"/>
          <w:sz w:val="23"/>
          <w:szCs w:val="23"/>
        </w:rPr>
        <w:t>c) Did borrowers who took out ten-years loans in Japan gain or lose overall versus lenders? Explain.</w:t>
      </w:r>
    </w:p>
    <w:p w14:paraId="05405E4E" w14:textId="1549EE39" w:rsidR="00B36943" w:rsidRDefault="00AC181A" w:rsidP="00166DFA">
      <w:pPr>
        <w:jc w:val="both"/>
      </w:pPr>
      <w:r>
        <w:t xml:space="preserve">c) </w:t>
      </w:r>
      <w:r w:rsidR="00202085">
        <w:t>During this period, borrowers would have gained at the expense of lenders in Japan since − 0.2</w:t>
      </w:r>
      <w:r w:rsidR="00CA0AE4">
        <w:t>3</w:t>
      </w:r>
      <w:r w:rsidR="00202085">
        <w:t>% is greater than −0.78%. Average inflation in Japan was greater between 2000 and 201</w:t>
      </w:r>
      <w:r w:rsidR="00680C98">
        <w:t>3</w:t>
      </w:r>
      <w:r w:rsidR="00202085">
        <w:t xml:space="preserve"> than it was in 2000.</w:t>
      </w:r>
    </w:p>
    <w:p w14:paraId="3D4B4629" w14:textId="77777777" w:rsidR="006E5E0C" w:rsidRDefault="006E5E0C" w:rsidP="006E5E0C">
      <w:r>
        <w:t>-----------------------------x-----------------------------------------x-------------------------------------------x---------------------</w:t>
      </w:r>
    </w:p>
    <w:p w14:paraId="10E51662" w14:textId="77777777" w:rsidR="006931AD" w:rsidRDefault="006931AD"/>
    <w:p w14:paraId="14C07FE0" w14:textId="58A7757E" w:rsidR="003D21E0" w:rsidRDefault="001C7496" w:rsidP="003D21E0">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 xml:space="preserve">Q3: </w:t>
      </w:r>
      <w:r w:rsidR="003D21E0">
        <w:rPr>
          <w:rFonts w:ascii="open_sansregular" w:hAnsi="open_sansregular"/>
          <w:color w:val="2F6473"/>
          <w:sz w:val="23"/>
          <w:szCs w:val="23"/>
        </w:rPr>
        <w:t>Read the </w:t>
      </w:r>
      <w:hyperlink r:id="rId8" w:tooltip="Report of the commission on the Measurement of Economic Performance and Social Progress" w:history="1">
        <w:r w:rsidR="003D21E0">
          <w:rPr>
            <w:rStyle w:val="Hyperlink"/>
            <w:rFonts w:ascii="open_sansregular" w:hAnsi="open_sansregular"/>
            <w:color w:val="AC0033"/>
            <w:sz w:val="23"/>
            <w:szCs w:val="23"/>
          </w:rPr>
          <w:t>Report of the commission on the measurement of economic performance and social progress</w:t>
        </w:r>
      </w:hyperlink>
      <w:r w:rsidR="003D21E0">
        <w:rPr>
          <w:rFonts w:ascii="open_sansregular" w:hAnsi="open_sansregular"/>
          <w:color w:val="2F6473"/>
          <w:sz w:val="23"/>
          <w:szCs w:val="23"/>
        </w:rPr>
        <w:t>, available in the section Reading Material.</w:t>
      </w:r>
    </w:p>
    <w:p w14:paraId="37F67CD5" w14:textId="77777777" w:rsidR="003D21E0" w:rsidRDefault="003D21E0" w:rsidP="003D21E0">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Please, discuss what are the classical issues associated to the GDP.</w:t>
      </w:r>
    </w:p>
    <w:p w14:paraId="20388051" w14:textId="6445243B" w:rsidR="00094561" w:rsidRDefault="00846B2D" w:rsidP="00094561">
      <w:r>
        <w:t>A</w:t>
      </w:r>
      <w:r w:rsidR="005D7394">
        <w:t>ns</w:t>
      </w:r>
      <w:r w:rsidR="00094561">
        <w:t>: Following are the p</w:t>
      </w:r>
      <w:r w:rsidR="00094561">
        <w:t>roblems with GDP:</w:t>
      </w:r>
    </w:p>
    <w:p w14:paraId="329F74A6" w14:textId="4B862EC5" w:rsidR="00094561" w:rsidRDefault="00094561" w:rsidP="00094561">
      <w:r>
        <w:t xml:space="preserve">The income distribution is not accounted in GDP calculation and is neglected. </w:t>
      </w:r>
    </w:p>
    <w:p w14:paraId="2A4ADA40" w14:textId="0BEDA17D" w:rsidR="00094561" w:rsidRDefault="00094561" w:rsidP="00094561">
      <w:r>
        <w:t>Public healthcare</w:t>
      </w:r>
      <w:r w:rsidR="00FE01D2">
        <w:t xml:space="preserve"> services, Tuition assistance</w:t>
      </w:r>
      <w:r>
        <w:t xml:space="preserve"> </w:t>
      </w:r>
      <w:r w:rsidR="00FE01D2">
        <w:t xml:space="preserve">and childcare </w:t>
      </w:r>
      <w:r>
        <w:t>or other services which comes under the category of Non- monetary services are also not</w:t>
      </w:r>
      <w:r w:rsidR="00FE01D2">
        <w:t xml:space="preserve"> considered.</w:t>
      </w:r>
    </w:p>
    <w:p w14:paraId="14A389D7" w14:textId="7E737CE3" w:rsidR="00094561" w:rsidRDefault="00FE01D2" w:rsidP="00094561">
      <w:r>
        <w:t>It d</w:t>
      </w:r>
      <w:r w:rsidR="00094561">
        <w:t xml:space="preserve">oes not consider negative externalities such as </w:t>
      </w:r>
      <w:r>
        <w:t xml:space="preserve">air </w:t>
      </w:r>
      <w:r w:rsidR="00094561">
        <w:t>pollution</w:t>
      </w:r>
      <w:r>
        <w:t>, smoking, drinking alcohol, noise pollution, passive smoking etc</w:t>
      </w:r>
      <w:r w:rsidR="00BC7C6F">
        <w:t>.</w:t>
      </w:r>
    </w:p>
    <w:p w14:paraId="1BC487C3" w14:textId="6AFA1AEB" w:rsidR="003D21E0" w:rsidRDefault="00053E3B" w:rsidP="00094561">
      <w:r>
        <w:t>It accounts</w:t>
      </w:r>
      <w:r w:rsidR="00094561">
        <w:t xml:space="preserve"> "defensive spending" = spending for things you don't really want but you need, for example </w:t>
      </w:r>
      <w:r>
        <w:t>defense and insurance etc.</w:t>
      </w:r>
    </w:p>
    <w:p w14:paraId="5265EB51" w14:textId="77777777" w:rsidR="00CA5413" w:rsidRDefault="00CA5413"/>
    <w:p w14:paraId="2BF0837C" w14:textId="2B0161F6" w:rsidR="006E5E0C" w:rsidRDefault="006E5E0C">
      <w:r>
        <w:t>-----------------------------x-----------------------------------------x-------------------------------------------x---------------------</w:t>
      </w:r>
    </w:p>
    <w:p w14:paraId="752316E1" w14:textId="747FC3D1" w:rsidR="003D21E0" w:rsidRDefault="001C7496" w:rsidP="003D21E0">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 xml:space="preserve">Q4: </w:t>
      </w:r>
      <w:r w:rsidR="003D21E0">
        <w:rPr>
          <w:rFonts w:ascii="open_sansregular" w:hAnsi="open_sansregular"/>
          <w:color w:val="2F6473"/>
          <w:sz w:val="23"/>
          <w:szCs w:val="23"/>
        </w:rPr>
        <w:t>Boris Borrower and Lynn Lender agree that Lynn will lend Boris $10,000 and that Boris will repay the $10,000 with interest in one year. They agree to a nominal interest rate of 8%, reflecting a real interest rate of 3% on the loan and a commonly shared expected inflation rate of 5% over the next year.</w:t>
      </w:r>
    </w:p>
    <w:p w14:paraId="5E31AD06" w14:textId="77777777" w:rsidR="003D21E0" w:rsidRDefault="003D21E0" w:rsidP="003D21E0">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a)      If the inflation rate is actually 4% over the next year, how does that lower-than-expected inflation rate affect Boris and Lynn? Who is better off?</w:t>
      </w:r>
    </w:p>
    <w:p w14:paraId="56092088" w14:textId="77777777" w:rsidR="00A6194E" w:rsidRDefault="00A6194E" w:rsidP="00A6194E">
      <w:r>
        <w:t xml:space="preserve">a) </w:t>
      </w:r>
      <w:r w:rsidRPr="00EE0645">
        <w:t>If the actual inflation rate</w:t>
      </w:r>
      <w:r>
        <w:t xml:space="preserve"> (price increase rate)</w:t>
      </w:r>
      <w:r w:rsidRPr="00EE0645">
        <w:t xml:space="preserve"> is 4%, Lynn is better off and Boris is worse off. Boris had</w:t>
      </w:r>
      <w:r>
        <w:t xml:space="preserve"> </w:t>
      </w:r>
      <w:r w:rsidRPr="00EE0645">
        <w:t>expected to pay, and Lynn had expected to receive, a real interest rate of 3%.</w:t>
      </w:r>
      <w:r>
        <w:t xml:space="preserve"> </w:t>
      </w:r>
      <w:r w:rsidRPr="00EE0645">
        <w:t>However, with an actual inflation rate of 4%, an 8% nominal interest rate yields areal interest rate of 4% (8% −4% =4%). So, in real terms, Boris pays more, and</w:t>
      </w:r>
      <w:r>
        <w:t xml:space="preserve"> </w:t>
      </w:r>
      <w:r w:rsidRPr="00EE0645">
        <w:t xml:space="preserve">Lynn receives more, than was expected. </w:t>
      </w:r>
    </w:p>
    <w:p w14:paraId="35DF5A41" w14:textId="77777777" w:rsidR="00A6194E" w:rsidRDefault="00A6194E" w:rsidP="00A6194E">
      <w:pPr>
        <w:pStyle w:val="NormalWeb"/>
        <w:spacing w:before="0" w:beforeAutospacing="0" w:after="120" w:afterAutospacing="0"/>
        <w:rPr>
          <w:rFonts w:ascii="open_sansregular" w:hAnsi="open_sansregular"/>
          <w:color w:val="2F6473"/>
          <w:sz w:val="23"/>
          <w:szCs w:val="23"/>
        </w:rPr>
      </w:pPr>
    </w:p>
    <w:p w14:paraId="32C79F9D" w14:textId="5F074B44" w:rsidR="003D21E0" w:rsidRDefault="003D21E0" w:rsidP="003D21E0">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lastRenderedPageBreak/>
        <w:t>b)      If the actual inflation rate is 7% over the next year, how does that affect Boris and Lynn? Who is better off?</w:t>
      </w:r>
    </w:p>
    <w:p w14:paraId="0F1452B9" w14:textId="73DA6214" w:rsidR="003D21E0" w:rsidRDefault="00EE0645">
      <w:r w:rsidRPr="00EE0645">
        <w:t>b</w:t>
      </w:r>
      <w:r>
        <w:t xml:space="preserve">) </w:t>
      </w:r>
      <w:r w:rsidRPr="00EE0645">
        <w:t>If the actual inflation rate is 7%, Boris is better off and Lynn is worse off. Boris had</w:t>
      </w:r>
      <w:r>
        <w:t xml:space="preserve"> </w:t>
      </w:r>
      <w:r w:rsidRPr="00EE0645">
        <w:t>expected to pay, and Lynn had expected to receive, a real interest rate of 3%.</w:t>
      </w:r>
      <w:r>
        <w:t xml:space="preserve"> </w:t>
      </w:r>
      <w:r w:rsidRPr="00EE0645">
        <w:t>However, with an actual inflation rate of 7%, an 8% nominal interest rate yields areal interest rate of 1% (8% −7% =1%). So, in real terms, Boris pays less, and</w:t>
      </w:r>
      <w:r>
        <w:t xml:space="preserve"> </w:t>
      </w:r>
      <w:r w:rsidRPr="00EE0645">
        <w:t>Lynn receives less, than was expected.</w:t>
      </w:r>
    </w:p>
    <w:p w14:paraId="1BDC01E6" w14:textId="77777777" w:rsidR="0069523E" w:rsidRDefault="0069523E" w:rsidP="0069523E">
      <w:r>
        <w:t>-----------------------------x-----------------------------------------x-------------------------------------------x---------------------</w:t>
      </w:r>
    </w:p>
    <w:p w14:paraId="1BF18730" w14:textId="77777777" w:rsidR="0069523E" w:rsidRDefault="0069523E">
      <w:bookmarkStart w:id="0" w:name="_GoBack"/>
      <w:bookmarkEnd w:id="0"/>
    </w:p>
    <w:sectPr w:rsidR="00695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_sansregular">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1AD6"/>
    <w:multiLevelType w:val="hybridMultilevel"/>
    <w:tmpl w:val="3962EC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05"/>
    <w:rsid w:val="00023876"/>
    <w:rsid w:val="000459D9"/>
    <w:rsid w:val="00053E3B"/>
    <w:rsid w:val="00053F30"/>
    <w:rsid w:val="00060A78"/>
    <w:rsid w:val="00094561"/>
    <w:rsid w:val="000B231C"/>
    <w:rsid w:val="000D136E"/>
    <w:rsid w:val="0012777E"/>
    <w:rsid w:val="00137B8A"/>
    <w:rsid w:val="00166DFA"/>
    <w:rsid w:val="0018701B"/>
    <w:rsid w:val="00192FAC"/>
    <w:rsid w:val="001C4262"/>
    <w:rsid w:val="001C7496"/>
    <w:rsid w:val="001E6E85"/>
    <w:rsid w:val="001F0AF1"/>
    <w:rsid w:val="00202085"/>
    <w:rsid w:val="00241CD1"/>
    <w:rsid w:val="002760B5"/>
    <w:rsid w:val="0028615E"/>
    <w:rsid w:val="002863B5"/>
    <w:rsid w:val="0030343E"/>
    <w:rsid w:val="00325BFD"/>
    <w:rsid w:val="00331B67"/>
    <w:rsid w:val="00374633"/>
    <w:rsid w:val="003977B2"/>
    <w:rsid w:val="003A2A2A"/>
    <w:rsid w:val="003C5EB7"/>
    <w:rsid w:val="003D21E0"/>
    <w:rsid w:val="003D4ABD"/>
    <w:rsid w:val="00421A22"/>
    <w:rsid w:val="004619EE"/>
    <w:rsid w:val="00473A71"/>
    <w:rsid w:val="0049167E"/>
    <w:rsid w:val="004F397D"/>
    <w:rsid w:val="004F3A18"/>
    <w:rsid w:val="005062F3"/>
    <w:rsid w:val="00534993"/>
    <w:rsid w:val="00560E2C"/>
    <w:rsid w:val="00570086"/>
    <w:rsid w:val="00576189"/>
    <w:rsid w:val="005935D4"/>
    <w:rsid w:val="005B39EF"/>
    <w:rsid w:val="005C492D"/>
    <w:rsid w:val="005D728A"/>
    <w:rsid w:val="005D7394"/>
    <w:rsid w:val="006160A2"/>
    <w:rsid w:val="00620926"/>
    <w:rsid w:val="00656655"/>
    <w:rsid w:val="00675F3D"/>
    <w:rsid w:val="00680C98"/>
    <w:rsid w:val="006931AD"/>
    <w:rsid w:val="0069523E"/>
    <w:rsid w:val="006A5B23"/>
    <w:rsid w:val="006B4029"/>
    <w:rsid w:val="006E5E0C"/>
    <w:rsid w:val="006E6E82"/>
    <w:rsid w:val="00701ADD"/>
    <w:rsid w:val="00777705"/>
    <w:rsid w:val="007A398C"/>
    <w:rsid w:val="00813631"/>
    <w:rsid w:val="00837AF9"/>
    <w:rsid w:val="00845770"/>
    <w:rsid w:val="00846B2D"/>
    <w:rsid w:val="00853F3A"/>
    <w:rsid w:val="00857DCC"/>
    <w:rsid w:val="008602DD"/>
    <w:rsid w:val="008619C1"/>
    <w:rsid w:val="00871598"/>
    <w:rsid w:val="0088288C"/>
    <w:rsid w:val="008C30C5"/>
    <w:rsid w:val="0094318D"/>
    <w:rsid w:val="00973A70"/>
    <w:rsid w:val="009B3D51"/>
    <w:rsid w:val="009B6A05"/>
    <w:rsid w:val="009D3F83"/>
    <w:rsid w:val="00A24101"/>
    <w:rsid w:val="00A30B8D"/>
    <w:rsid w:val="00A60272"/>
    <w:rsid w:val="00A6194E"/>
    <w:rsid w:val="00A71F79"/>
    <w:rsid w:val="00AA7015"/>
    <w:rsid w:val="00AC181A"/>
    <w:rsid w:val="00AE104A"/>
    <w:rsid w:val="00AE1EDC"/>
    <w:rsid w:val="00AF4F40"/>
    <w:rsid w:val="00B20E9F"/>
    <w:rsid w:val="00B36943"/>
    <w:rsid w:val="00B85BD2"/>
    <w:rsid w:val="00B85DBA"/>
    <w:rsid w:val="00BA4D5C"/>
    <w:rsid w:val="00BC7C6F"/>
    <w:rsid w:val="00BD4969"/>
    <w:rsid w:val="00BE742E"/>
    <w:rsid w:val="00C44575"/>
    <w:rsid w:val="00C83EFB"/>
    <w:rsid w:val="00C909F1"/>
    <w:rsid w:val="00C9752E"/>
    <w:rsid w:val="00CA0AE4"/>
    <w:rsid w:val="00CA5413"/>
    <w:rsid w:val="00CB4606"/>
    <w:rsid w:val="00D741AE"/>
    <w:rsid w:val="00DB3F40"/>
    <w:rsid w:val="00DC3D97"/>
    <w:rsid w:val="00DC6185"/>
    <w:rsid w:val="00DC63DD"/>
    <w:rsid w:val="00DD0A83"/>
    <w:rsid w:val="00DD0DC0"/>
    <w:rsid w:val="00E14F0A"/>
    <w:rsid w:val="00E5307D"/>
    <w:rsid w:val="00EA45BE"/>
    <w:rsid w:val="00EC192A"/>
    <w:rsid w:val="00EE0645"/>
    <w:rsid w:val="00EE28A7"/>
    <w:rsid w:val="00F004C1"/>
    <w:rsid w:val="00F00EF6"/>
    <w:rsid w:val="00F337B3"/>
    <w:rsid w:val="00F448E4"/>
    <w:rsid w:val="00F744DC"/>
    <w:rsid w:val="00F77FBE"/>
    <w:rsid w:val="00FC4AD2"/>
    <w:rsid w:val="00FD3742"/>
    <w:rsid w:val="00FE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9A4A"/>
  <w15:chartTrackingRefBased/>
  <w15:docId w15:val="{B70AF272-009F-4224-999F-47A15B76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9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21E0"/>
    <w:rPr>
      <w:color w:val="0000FF"/>
      <w:u w:val="single"/>
    </w:rPr>
  </w:style>
  <w:style w:type="paragraph" w:styleId="ListParagraph">
    <w:name w:val="List Paragraph"/>
    <w:basedOn w:val="Normal"/>
    <w:uiPriority w:val="34"/>
    <w:qFormat/>
    <w:rsid w:val="00570086"/>
    <w:pPr>
      <w:ind w:left="720"/>
      <w:contextualSpacing/>
    </w:pPr>
  </w:style>
  <w:style w:type="table" w:styleId="TableGrid">
    <w:name w:val="Table Grid"/>
    <w:basedOn w:val="TableNormal"/>
    <w:uiPriority w:val="39"/>
    <w:rsid w:val="00570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76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281300">
      <w:bodyDiv w:val="1"/>
      <w:marLeft w:val="0"/>
      <w:marRight w:val="0"/>
      <w:marTop w:val="0"/>
      <w:marBottom w:val="0"/>
      <w:divBdr>
        <w:top w:val="none" w:sz="0" w:space="0" w:color="auto"/>
        <w:left w:val="none" w:sz="0" w:space="0" w:color="auto"/>
        <w:bottom w:val="none" w:sz="0" w:space="0" w:color="auto"/>
        <w:right w:val="none" w:sz="0" w:space="0" w:color="auto"/>
      </w:divBdr>
    </w:div>
    <w:div w:id="866481370">
      <w:bodyDiv w:val="1"/>
      <w:marLeft w:val="0"/>
      <w:marRight w:val="0"/>
      <w:marTop w:val="0"/>
      <w:marBottom w:val="0"/>
      <w:divBdr>
        <w:top w:val="none" w:sz="0" w:space="0" w:color="auto"/>
        <w:left w:val="none" w:sz="0" w:space="0" w:color="auto"/>
        <w:bottom w:val="none" w:sz="0" w:space="0" w:color="auto"/>
        <w:right w:val="none" w:sz="0" w:space="0" w:color="auto"/>
      </w:divBdr>
    </w:div>
    <w:div w:id="965965888">
      <w:bodyDiv w:val="1"/>
      <w:marLeft w:val="0"/>
      <w:marRight w:val="0"/>
      <w:marTop w:val="0"/>
      <w:marBottom w:val="0"/>
      <w:divBdr>
        <w:top w:val="none" w:sz="0" w:space="0" w:color="auto"/>
        <w:left w:val="none" w:sz="0" w:space="0" w:color="auto"/>
        <w:bottom w:val="none" w:sz="0" w:space="0" w:color="auto"/>
        <w:right w:val="none" w:sz="0" w:space="0" w:color="auto"/>
      </w:divBdr>
    </w:div>
    <w:div w:id="1261261930">
      <w:bodyDiv w:val="1"/>
      <w:marLeft w:val="0"/>
      <w:marRight w:val="0"/>
      <w:marTop w:val="0"/>
      <w:marBottom w:val="0"/>
      <w:divBdr>
        <w:top w:val="none" w:sz="0" w:space="0" w:color="auto"/>
        <w:left w:val="none" w:sz="0" w:space="0" w:color="auto"/>
        <w:bottom w:val="none" w:sz="0" w:space="0" w:color="auto"/>
        <w:right w:val="none" w:sz="0" w:space="0" w:color="auto"/>
      </w:divBdr>
      <w:divsChild>
        <w:div w:id="2048093614">
          <w:marLeft w:val="0"/>
          <w:marRight w:val="0"/>
          <w:marTop w:val="0"/>
          <w:marBottom w:val="360"/>
          <w:divBdr>
            <w:top w:val="none" w:sz="0" w:space="0" w:color="auto"/>
            <w:left w:val="none" w:sz="0" w:space="0" w:color="auto"/>
            <w:bottom w:val="none" w:sz="0" w:space="0" w:color="auto"/>
            <w:right w:val="none" w:sz="0" w:space="0" w:color="auto"/>
          </w:divBdr>
        </w:div>
      </w:divsChild>
    </w:div>
    <w:div w:id="1465661977">
      <w:bodyDiv w:val="1"/>
      <w:marLeft w:val="0"/>
      <w:marRight w:val="0"/>
      <w:marTop w:val="0"/>
      <w:marBottom w:val="0"/>
      <w:divBdr>
        <w:top w:val="none" w:sz="0" w:space="0" w:color="auto"/>
        <w:left w:val="none" w:sz="0" w:space="0" w:color="auto"/>
        <w:bottom w:val="none" w:sz="0" w:space="0" w:color="auto"/>
        <w:right w:val="none" w:sz="0" w:space="0" w:color="auto"/>
      </w:divBdr>
      <w:divsChild>
        <w:div w:id="242642391">
          <w:marLeft w:val="0"/>
          <w:marRight w:val="0"/>
          <w:marTop w:val="0"/>
          <w:marBottom w:val="0"/>
          <w:divBdr>
            <w:top w:val="none" w:sz="0" w:space="0" w:color="auto"/>
            <w:left w:val="none" w:sz="0" w:space="0" w:color="auto"/>
            <w:bottom w:val="none" w:sz="0" w:space="0" w:color="auto"/>
            <w:right w:val="none" w:sz="0" w:space="0" w:color="auto"/>
          </w:divBdr>
        </w:div>
        <w:div w:id="132914521">
          <w:marLeft w:val="0"/>
          <w:marRight w:val="0"/>
          <w:marTop w:val="0"/>
          <w:marBottom w:val="0"/>
          <w:divBdr>
            <w:top w:val="none" w:sz="0" w:space="0" w:color="auto"/>
            <w:left w:val="none" w:sz="0" w:space="0" w:color="auto"/>
            <w:bottom w:val="none" w:sz="0" w:space="0" w:color="auto"/>
            <w:right w:val="none" w:sz="0" w:space="0" w:color="auto"/>
          </w:divBdr>
        </w:div>
        <w:div w:id="1707677253">
          <w:marLeft w:val="0"/>
          <w:marRight w:val="0"/>
          <w:marTop w:val="0"/>
          <w:marBottom w:val="0"/>
          <w:divBdr>
            <w:top w:val="none" w:sz="0" w:space="0" w:color="auto"/>
            <w:left w:val="none" w:sz="0" w:space="0" w:color="auto"/>
            <w:bottom w:val="none" w:sz="0" w:space="0" w:color="auto"/>
            <w:right w:val="none" w:sz="0" w:space="0" w:color="auto"/>
          </w:divBdr>
        </w:div>
        <w:div w:id="1860118442">
          <w:marLeft w:val="0"/>
          <w:marRight w:val="0"/>
          <w:marTop w:val="0"/>
          <w:marBottom w:val="0"/>
          <w:divBdr>
            <w:top w:val="none" w:sz="0" w:space="0" w:color="auto"/>
            <w:left w:val="none" w:sz="0" w:space="0" w:color="auto"/>
            <w:bottom w:val="none" w:sz="0" w:space="0" w:color="auto"/>
            <w:right w:val="none" w:sz="0" w:space="0" w:color="auto"/>
          </w:divBdr>
        </w:div>
        <w:div w:id="1146894599">
          <w:marLeft w:val="0"/>
          <w:marRight w:val="0"/>
          <w:marTop w:val="0"/>
          <w:marBottom w:val="0"/>
          <w:divBdr>
            <w:top w:val="none" w:sz="0" w:space="0" w:color="auto"/>
            <w:left w:val="none" w:sz="0" w:space="0" w:color="auto"/>
            <w:bottom w:val="none" w:sz="0" w:space="0" w:color="auto"/>
            <w:right w:val="none" w:sz="0" w:space="0" w:color="auto"/>
          </w:divBdr>
        </w:div>
      </w:divsChild>
    </w:div>
    <w:div w:id="149652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nive.it/mod/resource/view.php?id=10115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5</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JohnSnow</dc:creator>
  <cp:keywords/>
  <dc:description/>
  <cp:lastModifiedBy>JohnSnow</cp:lastModifiedBy>
  <cp:revision>142</cp:revision>
  <dcterms:created xsi:type="dcterms:W3CDTF">2019-04-21T01:11:00Z</dcterms:created>
  <dcterms:modified xsi:type="dcterms:W3CDTF">2019-04-23T20:51:00Z</dcterms:modified>
</cp:coreProperties>
</file>