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open_sansregular" w:eastAsia="Times New Roman" w:hAnsi="open_sansregular" w:cs="Times New Roman"/>
          <w:color w:val="2F6473"/>
          <w:sz w:val="23"/>
          <w:szCs w:val="23"/>
          <w:lang w:val="en-GB" w:eastAsia="it-IT"/>
        </w:rPr>
        <w:t xml:space="preserve">A country's </w:t>
      </w:r>
      <w:proofErr w:type="spellStart"/>
      <w:r w:rsidRPr="00DC4767">
        <w:rPr>
          <w:rFonts w:ascii="open_sansregular" w:eastAsia="Times New Roman" w:hAnsi="open_sansregular" w:cs="Times New Roman"/>
          <w:color w:val="2F6473"/>
          <w:sz w:val="23"/>
          <w:szCs w:val="23"/>
          <w:lang w:val="en-GB" w:eastAsia="it-IT"/>
        </w:rPr>
        <w:t>labor</w:t>
      </w:r>
      <w:proofErr w:type="spellEnd"/>
      <w:r w:rsidRPr="00DC4767">
        <w:rPr>
          <w:rFonts w:ascii="open_sansregular" w:eastAsia="Times New Roman" w:hAnsi="open_sansregular" w:cs="Times New Roman"/>
          <w:color w:val="2F6473"/>
          <w:sz w:val="23"/>
          <w:szCs w:val="23"/>
          <w:lang w:val="en-GB" w:eastAsia="it-IT"/>
        </w:rPr>
        <w:t xml:space="preserve"> force is the sum of the number of employed and unemployed workers. The accompanying table provides data on the size of the </w:t>
      </w:r>
      <w:proofErr w:type="spellStart"/>
      <w:r w:rsidRPr="00DC4767">
        <w:rPr>
          <w:rFonts w:ascii="open_sansregular" w:eastAsia="Times New Roman" w:hAnsi="open_sansregular" w:cs="Times New Roman"/>
          <w:color w:val="2F6473"/>
          <w:sz w:val="23"/>
          <w:szCs w:val="23"/>
          <w:lang w:val="en-GB" w:eastAsia="it-IT"/>
        </w:rPr>
        <w:t>labor</w:t>
      </w:r>
      <w:proofErr w:type="spellEnd"/>
      <w:r w:rsidRPr="00DC4767">
        <w:rPr>
          <w:rFonts w:ascii="open_sansregular" w:eastAsia="Times New Roman" w:hAnsi="open_sansregular" w:cs="Times New Roman"/>
          <w:color w:val="2F6473"/>
          <w:sz w:val="23"/>
          <w:szCs w:val="23"/>
          <w:lang w:val="en-GB" w:eastAsia="it-IT"/>
        </w:rPr>
        <w:t xml:space="preserve"> force and the number of unemployed workers for different regions of the United States.</w:t>
      </w:r>
    </w:p>
    <w:tbl>
      <w:tblPr>
        <w:tblW w:w="0" w:type="auto"/>
        <w:jc w:val="center"/>
        <w:shd w:val="clear" w:color="auto" w:fill="DEF2F8"/>
        <w:tblCellMar>
          <w:top w:w="15" w:type="dxa"/>
          <w:left w:w="15" w:type="dxa"/>
          <w:bottom w:w="15" w:type="dxa"/>
          <w:right w:w="15" w:type="dxa"/>
        </w:tblCellMar>
        <w:tblLook w:val="04A0"/>
      </w:tblPr>
      <w:tblGrid>
        <w:gridCol w:w="925"/>
        <w:gridCol w:w="1033"/>
        <w:gridCol w:w="1033"/>
        <w:gridCol w:w="1296"/>
        <w:gridCol w:w="1296"/>
      </w:tblGrid>
      <w:tr w:rsidR="00DC4767" w:rsidRPr="00DC4767" w:rsidTr="00DC4767">
        <w:trPr>
          <w:jc w:val="center"/>
        </w:trPr>
        <w:tc>
          <w:tcPr>
            <w:tcW w:w="0" w:type="auto"/>
            <w:gridSpan w:val="3"/>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Labor</w:t>
            </w:r>
            <w:proofErr w:type="spellEnd"/>
            <w:r w:rsidRPr="00DC4767">
              <w:rPr>
                <w:rFonts w:ascii="open_sansregular" w:eastAsia="Times New Roman" w:hAnsi="open_sansregular" w:cs="Times New Roman"/>
                <w:color w:val="2F6473"/>
                <w:sz w:val="23"/>
                <w:szCs w:val="23"/>
                <w:lang w:eastAsia="it-IT"/>
              </w:rPr>
              <w:t xml:space="preserve"> </w:t>
            </w:r>
            <w:proofErr w:type="spellStart"/>
            <w:r w:rsidRPr="00DC4767">
              <w:rPr>
                <w:rFonts w:ascii="open_sansregular" w:eastAsia="Times New Roman" w:hAnsi="open_sansregular" w:cs="Times New Roman"/>
                <w:color w:val="2F6473"/>
                <w:sz w:val="23"/>
                <w:szCs w:val="23"/>
                <w:lang w:eastAsia="it-IT"/>
              </w:rPr>
              <w:t>force</w:t>
            </w:r>
            <w:proofErr w:type="spellEnd"/>
            <w:r w:rsidRPr="00DC4767">
              <w:rPr>
                <w:rFonts w:ascii="open_sansregular" w:eastAsia="Times New Roman" w:hAnsi="open_sansregular" w:cs="Times New Roman"/>
                <w:color w:val="2F6473"/>
                <w:sz w:val="23"/>
                <w:szCs w:val="23"/>
                <w:lang w:eastAsia="it-IT"/>
              </w:rPr>
              <w:t xml:space="preserve"> (</w:t>
            </w:r>
            <w:proofErr w:type="spellStart"/>
            <w:r w:rsidRPr="00DC4767">
              <w:rPr>
                <w:rFonts w:ascii="open_sansregular" w:eastAsia="Times New Roman" w:hAnsi="open_sansregular" w:cs="Times New Roman"/>
                <w:color w:val="2F6473"/>
                <w:sz w:val="23"/>
                <w:szCs w:val="23"/>
                <w:lang w:eastAsia="it-IT"/>
              </w:rPr>
              <w:t>thousands</w:t>
            </w:r>
            <w:proofErr w:type="spellEnd"/>
            <w:r w:rsidRPr="00DC4767">
              <w:rPr>
                <w:rFonts w:ascii="open_sansregular" w:eastAsia="Times New Roman" w:hAnsi="open_sansregular" w:cs="Times New Roman"/>
                <w:color w:val="2F6473"/>
                <w:sz w:val="23"/>
                <w:szCs w:val="23"/>
                <w:lang w:eastAsia="it-IT"/>
              </w:rPr>
              <w:t>)</w:t>
            </w:r>
          </w:p>
        </w:tc>
        <w:tc>
          <w:tcPr>
            <w:tcW w:w="0" w:type="auto"/>
            <w:gridSpan w:val="2"/>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Unemployment</w:t>
            </w:r>
            <w:proofErr w:type="spellEnd"/>
            <w:r w:rsidRPr="00DC4767">
              <w:rPr>
                <w:rFonts w:ascii="open_sansregular" w:eastAsia="Times New Roman" w:hAnsi="open_sansregular" w:cs="Times New Roman"/>
                <w:color w:val="2F6473"/>
                <w:sz w:val="23"/>
                <w:szCs w:val="23"/>
                <w:lang w:eastAsia="it-IT"/>
              </w:rPr>
              <w:t xml:space="preserve"> (</w:t>
            </w:r>
            <w:proofErr w:type="spellStart"/>
            <w:r w:rsidRPr="00DC4767">
              <w:rPr>
                <w:rFonts w:ascii="open_sansregular" w:eastAsia="Times New Roman" w:hAnsi="open_sansregular" w:cs="Times New Roman"/>
                <w:color w:val="2F6473"/>
                <w:sz w:val="23"/>
                <w:szCs w:val="23"/>
                <w:lang w:eastAsia="it-IT"/>
              </w:rPr>
              <w:t>thousands</w:t>
            </w:r>
            <w:proofErr w:type="spellEnd"/>
            <w:r w:rsidRPr="00DC4767">
              <w:rPr>
                <w:rFonts w:ascii="open_sansregular" w:eastAsia="Times New Roman" w:hAnsi="open_sansregular" w:cs="Times New Roman"/>
                <w:color w:val="2F6473"/>
                <w:sz w:val="23"/>
                <w:szCs w:val="23"/>
                <w:lang w:eastAsia="it-IT"/>
              </w:rPr>
              <w:t>)</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12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Region</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April</w:t>
            </w:r>
            <w:proofErr w:type="spellEnd"/>
            <w:r w:rsidRPr="00DC4767">
              <w:rPr>
                <w:rFonts w:ascii="open_sansregular" w:eastAsia="Times New Roman" w:hAnsi="open_sansregular" w:cs="Times New Roman"/>
                <w:color w:val="2F6473"/>
                <w:sz w:val="23"/>
                <w:szCs w:val="23"/>
                <w:lang w:eastAsia="it-IT"/>
              </w:rPr>
              <w:t xml:space="preserve"> 2013</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April</w:t>
            </w:r>
            <w:proofErr w:type="spellEnd"/>
            <w:r w:rsidRPr="00DC4767">
              <w:rPr>
                <w:rFonts w:ascii="open_sansregular" w:eastAsia="Times New Roman" w:hAnsi="open_sansregular" w:cs="Times New Roman"/>
                <w:color w:val="2F6473"/>
                <w:sz w:val="23"/>
                <w:szCs w:val="23"/>
                <w:lang w:eastAsia="it-IT"/>
              </w:rPr>
              <w:t xml:space="preserve"> 2014</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April</w:t>
            </w:r>
            <w:proofErr w:type="spellEnd"/>
            <w:r w:rsidRPr="00DC4767">
              <w:rPr>
                <w:rFonts w:ascii="open_sansregular" w:eastAsia="Times New Roman" w:hAnsi="open_sansregular" w:cs="Times New Roman"/>
                <w:color w:val="2F6473"/>
                <w:sz w:val="23"/>
                <w:szCs w:val="23"/>
                <w:lang w:eastAsia="it-IT"/>
              </w:rPr>
              <w:t xml:space="preserve"> 2013</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April</w:t>
            </w:r>
            <w:proofErr w:type="spellEnd"/>
            <w:r w:rsidRPr="00DC4767">
              <w:rPr>
                <w:rFonts w:ascii="open_sansregular" w:eastAsia="Times New Roman" w:hAnsi="open_sansregular" w:cs="Times New Roman"/>
                <w:color w:val="2F6473"/>
                <w:sz w:val="23"/>
                <w:szCs w:val="23"/>
                <w:lang w:eastAsia="it-IT"/>
              </w:rPr>
              <w:t xml:space="preserve"> 2014</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Northeast</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28,407.2</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28,288.9</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2,174.4</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1,781.3</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South</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56,787.8</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57,016.4</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4,089.9</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3,363.8</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Midwest</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34,320.0</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34,467.0</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2,473.7</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2,109.0</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West</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36,122.2</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36,307.3</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2,940.8</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2,535.7</w:t>
            </w:r>
          </w:p>
        </w:tc>
      </w:tr>
    </w:tbl>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open_sansregular" w:eastAsia="Times New Roman" w:hAnsi="open_sansregular" w:cs="Times New Roman"/>
          <w:color w:val="2F6473"/>
          <w:sz w:val="23"/>
          <w:szCs w:val="23"/>
          <w:lang w:val="en-GB" w:eastAsia="it-IT"/>
        </w:rPr>
        <w:t>a) Calculate the number of workers employed in each of the regions in April 2013 and April 2014. Use your answers to calculate the change in the total number of workers employed between April 2013 and April 2014.</w:t>
      </w:r>
    </w:p>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open_sansregular" w:eastAsia="Times New Roman" w:hAnsi="open_sansregular" w:cs="Times New Roman"/>
          <w:color w:val="2F6473"/>
          <w:sz w:val="23"/>
          <w:szCs w:val="23"/>
          <w:lang w:val="en-GB" w:eastAsia="it-IT"/>
        </w:rPr>
        <w:t xml:space="preserve">b) For each region, calculate the growth in the </w:t>
      </w:r>
      <w:proofErr w:type="spellStart"/>
      <w:r w:rsidRPr="00DC4767">
        <w:rPr>
          <w:rFonts w:ascii="open_sansregular" w:eastAsia="Times New Roman" w:hAnsi="open_sansregular" w:cs="Times New Roman"/>
          <w:color w:val="2F6473"/>
          <w:sz w:val="23"/>
          <w:szCs w:val="23"/>
          <w:lang w:val="en-GB" w:eastAsia="it-IT"/>
        </w:rPr>
        <w:t>labor</w:t>
      </w:r>
      <w:proofErr w:type="spellEnd"/>
      <w:r w:rsidRPr="00DC4767">
        <w:rPr>
          <w:rFonts w:ascii="open_sansregular" w:eastAsia="Times New Roman" w:hAnsi="open_sansregular" w:cs="Times New Roman"/>
          <w:color w:val="2F6473"/>
          <w:sz w:val="23"/>
          <w:szCs w:val="23"/>
          <w:lang w:val="en-GB" w:eastAsia="it-IT"/>
        </w:rPr>
        <w:t xml:space="preserve"> force from April 2013 to April 2014.</w:t>
      </w:r>
    </w:p>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open_sansregular" w:eastAsia="Times New Roman" w:hAnsi="open_sansregular" w:cs="Times New Roman"/>
          <w:color w:val="2F6473"/>
          <w:sz w:val="23"/>
          <w:szCs w:val="23"/>
          <w:lang w:val="en-GB" w:eastAsia="it-IT"/>
        </w:rPr>
        <w:t>c) Compute unemployment rates in the different regions of the country in April 2013 and April 2014.</w:t>
      </w:r>
    </w:p>
    <w:p w:rsidR="00D776B8"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open_sansregular" w:eastAsia="Times New Roman" w:hAnsi="open_sansregular" w:cs="Times New Roman"/>
          <w:color w:val="2F6473"/>
          <w:sz w:val="23"/>
          <w:szCs w:val="23"/>
          <w:lang w:val="en-GB" w:eastAsia="it-IT"/>
        </w:rPr>
        <w:t>d) What can you infer about the fall in unemployment rates over this period? Was it caused by a net gain in the number of jobs or by a large fall in the number of people seeking jobs?</w:t>
      </w:r>
    </w:p>
    <w:p w:rsidR="00816190" w:rsidRDefault="00816190" w:rsidP="00D776B8">
      <w:pPr>
        <w:rPr>
          <w:lang w:val="en-GB"/>
        </w:rPr>
      </w:pPr>
      <w:r>
        <w:rPr>
          <w:lang w:val="en-GB"/>
        </w:rPr>
        <w:t>d) In the North east, the fall in unemployment rates was caused both by a fall in the number of people seeking jobs (overall fall in labour force from 2013 to 2014) and by a net gain in the number of jobs (positive change in unemployment from 2013 to 2014). As for the other regions, the fall in unemployment was caused by a net gain in the number of jobs, since both labour force and employment increased from 2013 to 2014.</w:t>
      </w:r>
    </w:p>
    <w:p w:rsidR="00E21EF5" w:rsidRPr="00D776B8" w:rsidRDefault="00E21EF5" w:rsidP="00D776B8">
      <w:pPr>
        <w:rPr>
          <w:lang w:val="en-GB"/>
        </w:rPr>
      </w:pPr>
      <w:r>
        <w:rPr>
          <w:lang w:val="en-GB"/>
        </w:rPr>
        <w:t xml:space="preserve">a) </w:t>
      </w:r>
    </w:p>
    <w:tbl>
      <w:tblPr>
        <w:tblStyle w:val="Grigliatabella"/>
        <w:tblW w:w="0" w:type="auto"/>
        <w:tblLook w:val="04A0"/>
      </w:tblPr>
      <w:tblGrid>
        <w:gridCol w:w="2154"/>
        <w:gridCol w:w="2566"/>
        <w:gridCol w:w="2566"/>
        <w:gridCol w:w="2568"/>
      </w:tblGrid>
      <w:tr w:rsidR="00E21EF5" w:rsidTr="00973105">
        <w:tc>
          <w:tcPr>
            <w:tcW w:w="2154" w:type="dxa"/>
          </w:tcPr>
          <w:p w:rsidR="00E21EF5" w:rsidRPr="00D776B8" w:rsidRDefault="00E21EF5" w:rsidP="00973105">
            <w:pPr>
              <w:rPr>
                <w:b/>
                <w:lang w:val="en-GB"/>
              </w:rPr>
            </w:pPr>
            <w:r w:rsidRPr="00D776B8">
              <w:rPr>
                <w:b/>
                <w:lang w:val="en-GB"/>
              </w:rPr>
              <w:t>Region</w:t>
            </w:r>
          </w:p>
        </w:tc>
        <w:tc>
          <w:tcPr>
            <w:tcW w:w="2566" w:type="dxa"/>
          </w:tcPr>
          <w:p w:rsidR="00E21EF5" w:rsidRPr="00D776B8" w:rsidRDefault="00E21EF5" w:rsidP="00973105">
            <w:pPr>
              <w:rPr>
                <w:b/>
                <w:lang w:val="en-GB"/>
              </w:rPr>
            </w:pPr>
            <w:r w:rsidRPr="00D776B8">
              <w:rPr>
                <w:b/>
                <w:lang w:val="en-GB"/>
              </w:rPr>
              <w:t>Employment in April 2013 (thousands)</w:t>
            </w:r>
          </w:p>
        </w:tc>
        <w:tc>
          <w:tcPr>
            <w:tcW w:w="2566" w:type="dxa"/>
          </w:tcPr>
          <w:p w:rsidR="00E21EF5" w:rsidRPr="00D776B8" w:rsidRDefault="00E21EF5" w:rsidP="00973105">
            <w:pPr>
              <w:rPr>
                <w:b/>
                <w:lang w:val="en-GB"/>
              </w:rPr>
            </w:pPr>
            <w:r w:rsidRPr="00D776B8">
              <w:rPr>
                <w:b/>
                <w:lang w:val="en-GB"/>
              </w:rPr>
              <w:t>Employment in April 2014 (thousands)</w:t>
            </w:r>
          </w:p>
        </w:tc>
        <w:tc>
          <w:tcPr>
            <w:tcW w:w="2568" w:type="dxa"/>
          </w:tcPr>
          <w:p w:rsidR="00E21EF5" w:rsidRPr="00D776B8" w:rsidRDefault="00E21EF5" w:rsidP="00973105">
            <w:pPr>
              <w:rPr>
                <w:b/>
                <w:lang w:val="en-GB"/>
              </w:rPr>
            </w:pPr>
            <w:r w:rsidRPr="00D776B8">
              <w:rPr>
                <w:b/>
                <w:lang w:val="en-GB"/>
              </w:rPr>
              <w:t>Change in total employment</w:t>
            </w:r>
          </w:p>
        </w:tc>
      </w:tr>
      <w:tr w:rsidR="00E21EF5" w:rsidTr="00973105">
        <w:tc>
          <w:tcPr>
            <w:tcW w:w="2154" w:type="dxa"/>
          </w:tcPr>
          <w:p w:rsidR="00E21EF5" w:rsidRDefault="00E21EF5" w:rsidP="00973105">
            <w:pPr>
              <w:rPr>
                <w:lang w:val="en-GB"/>
              </w:rPr>
            </w:pPr>
            <w:r>
              <w:rPr>
                <w:lang w:val="en-GB"/>
              </w:rPr>
              <w:t>North east</w:t>
            </w:r>
          </w:p>
        </w:tc>
        <w:tc>
          <w:tcPr>
            <w:tcW w:w="2566" w:type="dxa"/>
          </w:tcPr>
          <w:p w:rsidR="00E21EF5" w:rsidRDefault="00E21EF5" w:rsidP="00973105">
            <w:pPr>
              <w:rPr>
                <w:lang w:val="en-GB"/>
              </w:rPr>
            </w:pPr>
            <w:r>
              <w:rPr>
                <w:lang w:val="en-GB"/>
              </w:rPr>
              <w:t>26.232,8</w:t>
            </w:r>
          </w:p>
        </w:tc>
        <w:tc>
          <w:tcPr>
            <w:tcW w:w="2566" w:type="dxa"/>
          </w:tcPr>
          <w:p w:rsidR="00E21EF5" w:rsidRDefault="00E21EF5" w:rsidP="00973105">
            <w:pPr>
              <w:rPr>
                <w:lang w:val="en-GB"/>
              </w:rPr>
            </w:pPr>
            <w:r>
              <w:rPr>
                <w:lang w:val="en-GB"/>
              </w:rPr>
              <w:t>26.507,6</w:t>
            </w:r>
          </w:p>
        </w:tc>
        <w:tc>
          <w:tcPr>
            <w:tcW w:w="2568" w:type="dxa"/>
          </w:tcPr>
          <w:p w:rsidR="00E21EF5" w:rsidRDefault="00E21EF5" w:rsidP="00973105">
            <w:pPr>
              <w:rPr>
                <w:lang w:val="en-GB"/>
              </w:rPr>
            </w:pPr>
            <w:r>
              <w:rPr>
                <w:lang w:val="en-GB"/>
              </w:rPr>
              <w:t>274,8</w:t>
            </w:r>
          </w:p>
        </w:tc>
      </w:tr>
      <w:tr w:rsidR="00E21EF5" w:rsidTr="00973105">
        <w:tc>
          <w:tcPr>
            <w:tcW w:w="2154" w:type="dxa"/>
          </w:tcPr>
          <w:p w:rsidR="00E21EF5" w:rsidRDefault="00E21EF5" w:rsidP="00973105">
            <w:pPr>
              <w:rPr>
                <w:lang w:val="en-GB"/>
              </w:rPr>
            </w:pPr>
            <w:r>
              <w:rPr>
                <w:lang w:val="en-GB"/>
              </w:rPr>
              <w:t>South</w:t>
            </w:r>
          </w:p>
        </w:tc>
        <w:tc>
          <w:tcPr>
            <w:tcW w:w="2566" w:type="dxa"/>
          </w:tcPr>
          <w:p w:rsidR="00E21EF5" w:rsidRDefault="00E21EF5" w:rsidP="00973105">
            <w:pPr>
              <w:rPr>
                <w:lang w:val="en-GB"/>
              </w:rPr>
            </w:pPr>
            <w:r>
              <w:rPr>
                <w:lang w:val="en-GB"/>
              </w:rPr>
              <w:t>52.697,9</w:t>
            </w:r>
          </w:p>
        </w:tc>
        <w:tc>
          <w:tcPr>
            <w:tcW w:w="2566" w:type="dxa"/>
          </w:tcPr>
          <w:p w:rsidR="00E21EF5" w:rsidRDefault="00E21EF5" w:rsidP="00973105">
            <w:pPr>
              <w:rPr>
                <w:lang w:val="en-GB"/>
              </w:rPr>
            </w:pPr>
            <w:r>
              <w:rPr>
                <w:lang w:val="en-GB"/>
              </w:rPr>
              <w:t>53.652,6</w:t>
            </w:r>
          </w:p>
        </w:tc>
        <w:tc>
          <w:tcPr>
            <w:tcW w:w="2568" w:type="dxa"/>
          </w:tcPr>
          <w:p w:rsidR="00E21EF5" w:rsidRDefault="00E21EF5" w:rsidP="00973105">
            <w:pPr>
              <w:rPr>
                <w:lang w:val="en-GB"/>
              </w:rPr>
            </w:pPr>
            <w:r>
              <w:rPr>
                <w:lang w:val="en-GB"/>
              </w:rPr>
              <w:t>954,7</w:t>
            </w:r>
          </w:p>
        </w:tc>
      </w:tr>
      <w:tr w:rsidR="00E21EF5" w:rsidTr="00973105">
        <w:tc>
          <w:tcPr>
            <w:tcW w:w="2154" w:type="dxa"/>
          </w:tcPr>
          <w:p w:rsidR="00E21EF5" w:rsidRDefault="00E21EF5" w:rsidP="00973105">
            <w:pPr>
              <w:rPr>
                <w:lang w:val="en-GB"/>
              </w:rPr>
            </w:pPr>
            <w:r>
              <w:rPr>
                <w:lang w:val="en-GB"/>
              </w:rPr>
              <w:t>Midwest</w:t>
            </w:r>
          </w:p>
        </w:tc>
        <w:tc>
          <w:tcPr>
            <w:tcW w:w="2566" w:type="dxa"/>
          </w:tcPr>
          <w:p w:rsidR="00E21EF5" w:rsidRDefault="00E21EF5" w:rsidP="00973105">
            <w:pPr>
              <w:rPr>
                <w:lang w:val="en-GB"/>
              </w:rPr>
            </w:pPr>
            <w:r>
              <w:rPr>
                <w:lang w:val="en-GB"/>
              </w:rPr>
              <w:t>31.846,3</w:t>
            </w:r>
          </w:p>
        </w:tc>
        <w:tc>
          <w:tcPr>
            <w:tcW w:w="2566" w:type="dxa"/>
          </w:tcPr>
          <w:p w:rsidR="00E21EF5" w:rsidRDefault="00E21EF5" w:rsidP="00973105">
            <w:pPr>
              <w:rPr>
                <w:lang w:val="en-GB"/>
              </w:rPr>
            </w:pPr>
            <w:r>
              <w:rPr>
                <w:lang w:val="en-GB"/>
              </w:rPr>
              <w:t>32.358</w:t>
            </w:r>
          </w:p>
        </w:tc>
        <w:tc>
          <w:tcPr>
            <w:tcW w:w="2568" w:type="dxa"/>
          </w:tcPr>
          <w:p w:rsidR="00E21EF5" w:rsidRDefault="00E21EF5" w:rsidP="00973105">
            <w:pPr>
              <w:rPr>
                <w:lang w:val="en-GB"/>
              </w:rPr>
            </w:pPr>
            <w:r>
              <w:rPr>
                <w:lang w:val="en-GB"/>
              </w:rPr>
              <w:t>511,7</w:t>
            </w:r>
          </w:p>
        </w:tc>
      </w:tr>
      <w:tr w:rsidR="00E21EF5" w:rsidTr="00973105">
        <w:tc>
          <w:tcPr>
            <w:tcW w:w="2154" w:type="dxa"/>
          </w:tcPr>
          <w:p w:rsidR="00E21EF5" w:rsidRDefault="00E21EF5" w:rsidP="00973105">
            <w:pPr>
              <w:rPr>
                <w:lang w:val="en-GB"/>
              </w:rPr>
            </w:pPr>
            <w:r>
              <w:rPr>
                <w:lang w:val="en-GB"/>
              </w:rPr>
              <w:t>West</w:t>
            </w:r>
          </w:p>
        </w:tc>
        <w:tc>
          <w:tcPr>
            <w:tcW w:w="2566" w:type="dxa"/>
          </w:tcPr>
          <w:p w:rsidR="00E21EF5" w:rsidRDefault="00E21EF5" w:rsidP="00973105">
            <w:pPr>
              <w:rPr>
                <w:lang w:val="en-GB"/>
              </w:rPr>
            </w:pPr>
            <w:r>
              <w:rPr>
                <w:lang w:val="en-GB"/>
              </w:rPr>
              <w:t>33.181,4</w:t>
            </w:r>
          </w:p>
        </w:tc>
        <w:tc>
          <w:tcPr>
            <w:tcW w:w="2566" w:type="dxa"/>
          </w:tcPr>
          <w:p w:rsidR="00E21EF5" w:rsidRDefault="00E21EF5" w:rsidP="00973105">
            <w:pPr>
              <w:rPr>
                <w:lang w:val="en-GB"/>
              </w:rPr>
            </w:pPr>
            <w:r>
              <w:rPr>
                <w:lang w:val="en-GB"/>
              </w:rPr>
              <w:t>33.771,6</w:t>
            </w:r>
          </w:p>
        </w:tc>
        <w:tc>
          <w:tcPr>
            <w:tcW w:w="2568" w:type="dxa"/>
          </w:tcPr>
          <w:p w:rsidR="00E21EF5" w:rsidRDefault="00E21EF5" w:rsidP="00973105">
            <w:pPr>
              <w:rPr>
                <w:lang w:val="en-GB"/>
              </w:rPr>
            </w:pPr>
            <w:r>
              <w:rPr>
                <w:lang w:val="en-GB"/>
              </w:rPr>
              <w:t>590,2</w:t>
            </w:r>
          </w:p>
        </w:tc>
      </w:tr>
      <w:tr w:rsidR="00E21EF5" w:rsidTr="00973105">
        <w:tc>
          <w:tcPr>
            <w:tcW w:w="2154" w:type="dxa"/>
          </w:tcPr>
          <w:p w:rsidR="00E21EF5" w:rsidRPr="00D776B8" w:rsidRDefault="00E21EF5" w:rsidP="00973105">
            <w:pPr>
              <w:rPr>
                <w:b/>
                <w:lang w:val="en-GB"/>
              </w:rPr>
            </w:pPr>
            <w:r w:rsidRPr="00D776B8">
              <w:rPr>
                <w:b/>
                <w:lang w:val="en-GB"/>
              </w:rPr>
              <w:t>TOTAL</w:t>
            </w:r>
          </w:p>
        </w:tc>
        <w:tc>
          <w:tcPr>
            <w:tcW w:w="2566" w:type="dxa"/>
          </w:tcPr>
          <w:p w:rsidR="00E21EF5" w:rsidRPr="00D776B8" w:rsidRDefault="00E21EF5" w:rsidP="00973105">
            <w:pPr>
              <w:rPr>
                <w:b/>
                <w:lang w:val="en-GB"/>
              </w:rPr>
            </w:pPr>
            <w:r>
              <w:rPr>
                <w:b/>
                <w:lang w:val="en-GB"/>
              </w:rPr>
              <w:t>143.958,4</w:t>
            </w:r>
          </w:p>
        </w:tc>
        <w:tc>
          <w:tcPr>
            <w:tcW w:w="2566" w:type="dxa"/>
          </w:tcPr>
          <w:p w:rsidR="00E21EF5" w:rsidRPr="00D776B8" w:rsidRDefault="00E21EF5" w:rsidP="00973105">
            <w:pPr>
              <w:rPr>
                <w:b/>
                <w:lang w:val="en-GB"/>
              </w:rPr>
            </w:pPr>
            <w:r>
              <w:rPr>
                <w:b/>
                <w:lang w:val="en-GB"/>
              </w:rPr>
              <w:t>146.289,8</w:t>
            </w:r>
          </w:p>
        </w:tc>
        <w:tc>
          <w:tcPr>
            <w:tcW w:w="2568" w:type="dxa"/>
          </w:tcPr>
          <w:p w:rsidR="00E21EF5" w:rsidRPr="00D776B8" w:rsidRDefault="00E21EF5" w:rsidP="00973105">
            <w:pPr>
              <w:rPr>
                <w:b/>
                <w:lang w:val="en-GB"/>
              </w:rPr>
            </w:pPr>
            <w:r>
              <w:rPr>
                <w:b/>
                <w:lang w:val="en-GB"/>
              </w:rPr>
              <w:t>2.331,4</w:t>
            </w:r>
          </w:p>
        </w:tc>
      </w:tr>
    </w:tbl>
    <w:p w:rsidR="00D776B8" w:rsidRDefault="00D776B8" w:rsidP="00D776B8">
      <w:pPr>
        <w:rPr>
          <w:lang w:val="en-GB"/>
        </w:rPr>
      </w:pPr>
    </w:p>
    <w:p w:rsidR="00E21EF5" w:rsidRDefault="00E21EF5" w:rsidP="00D776B8">
      <w:pPr>
        <w:rPr>
          <w:lang w:val="en-GB"/>
        </w:rPr>
      </w:pPr>
      <w:r>
        <w:rPr>
          <w:lang w:val="en-GB"/>
        </w:rPr>
        <w:t>b)</w:t>
      </w:r>
    </w:p>
    <w:tbl>
      <w:tblPr>
        <w:tblStyle w:val="Grigliatabella"/>
        <w:tblW w:w="0" w:type="auto"/>
        <w:tblLook w:val="04A0"/>
      </w:tblPr>
      <w:tblGrid>
        <w:gridCol w:w="4889"/>
        <w:gridCol w:w="4889"/>
      </w:tblGrid>
      <w:tr w:rsidR="00E21EF5" w:rsidTr="00E21EF5">
        <w:tc>
          <w:tcPr>
            <w:tcW w:w="4889" w:type="dxa"/>
          </w:tcPr>
          <w:p w:rsidR="00E21EF5" w:rsidRPr="00E21EF5" w:rsidRDefault="00E21EF5" w:rsidP="00D776B8">
            <w:pPr>
              <w:rPr>
                <w:b/>
                <w:lang w:val="en-GB"/>
              </w:rPr>
            </w:pPr>
            <w:r w:rsidRPr="00E21EF5">
              <w:rPr>
                <w:b/>
                <w:lang w:val="en-GB"/>
              </w:rPr>
              <w:t>Region</w:t>
            </w:r>
          </w:p>
        </w:tc>
        <w:tc>
          <w:tcPr>
            <w:tcW w:w="4889" w:type="dxa"/>
          </w:tcPr>
          <w:p w:rsidR="00E21EF5" w:rsidRPr="00E21EF5" w:rsidRDefault="00E21EF5" w:rsidP="00D776B8">
            <w:pPr>
              <w:rPr>
                <w:b/>
                <w:lang w:val="en-GB"/>
              </w:rPr>
            </w:pPr>
            <w:r w:rsidRPr="00E21EF5">
              <w:rPr>
                <w:b/>
                <w:lang w:val="en-GB"/>
              </w:rPr>
              <w:t>Growth of labour force</w:t>
            </w:r>
          </w:p>
        </w:tc>
      </w:tr>
      <w:tr w:rsidR="00E21EF5" w:rsidTr="00E21EF5">
        <w:tc>
          <w:tcPr>
            <w:tcW w:w="4889" w:type="dxa"/>
          </w:tcPr>
          <w:p w:rsidR="00E21EF5" w:rsidRDefault="00E21EF5" w:rsidP="00D776B8">
            <w:pPr>
              <w:rPr>
                <w:lang w:val="en-GB"/>
              </w:rPr>
            </w:pPr>
            <w:r>
              <w:rPr>
                <w:lang w:val="en-GB"/>
              </w:rPr>
              <w:t xml:space="preserve">Northeast </w:t>
            </w:r>
          </w:p>
        </w:tc>
        <w:tc>
          <w:tcPr>
            <w:tcW w:w="4889" w:type="dxa"/>
          </w:tcPr>
          <w:p w:rsidR="00E21EF5" w:rsidRPr="00E21EF5" w:rsidRDefault="00E21EF5" w:rsidP="00E21EF5">
            <w:pPr>
              <w:pStyle w:val="Paragrafoelenco"/>
              <w:rPr>
                <w:lang w:val="en-GB"/>
              </w:rPr>
            </w:pPr>
            <w:r>
              <w:rPr>
                <w:lang w:val="en-GB"/>
              </w:rPr>
              <w:t xml:space="preserve">                           -118,3</w:t>
            </w:r>
          </w:p>
        </w:tc>
      </w:tr>
      <w:tr w:rsidR="00E21EF5" w:rsidTr="00E21EF5">
        <w:tc>
          <w:tcPr>
            <w:tcW w:w="4889" w:type="dxa"/>
          </w:tcPr>
          <w:p w:rsidR="00E21EF5" w:rsidRDefault="00E21EF5" w:rsidP="00D776B8">
            <w:pPr>
              <w:rPr>
                <w:lang w:val="en-GB"/>
              </w:rPr>
            </w:pPr>
            <w:r>
              <w:rPr>
                <w:lang w:val="en-GB"/>
              </w:rPr>
              <w:t>South</w:t>
            </w:r>
          </w:p>
        </w:tc>
        <w:tc>
          <w:tcPr>
            <w:tcW w:w="4889" w:type="dxa"/>
          </w:tcPr>
          <w:p w:rsidR="00E21EF5" w:rsidRDefault="00E21EF5" w:rsidP="00E21EF5">
            <w:pPr>
              <w:jc w:val="center"/>
              <w:rPr>
                <w:lang w:val="en-GB"/>
              </w:rPr>
            </w:pPr>
            <w:r>
              <w:rPr>
                <w:lang w:val="en-GB"/>
              </w:rPr>
              <w:t>228,6</w:t>
            </w:r>
          </w:p>
        </w:tc>
      </w:tr>
      <w:tr w:rsidR="00E21EF5" w:rsidTr="00E21EF5">
        <w:tc>
          <w:tcPr>
            <w:tcW w:w="4889" w:type="dxa"/>
          </w:tcPr>
          <w:p w:rsidR="00E21EF5" w:rsidRDefault="00E21EF5" w:rsidP="00D776B8">
            <w:pPr>
              <w:rPr>
                <w:lang w:val="en-GB"/>
              </w:rPr>
            </w:pPr>
            <w:r>
              <w:rPr>
                <w:lang w:val="en-GB"/>
              </w:rPr>
              <w:t>Midwest</w:t>
            </w:r>
          </w:p>
        </w:tc>
        <w:tc>
          <w:tcPr>
            <w:tcW w:w="4889" w:type="dxa"/>
          </w:tcPr>
          <w:p w:rsidR="00E21EF5" w:rsidRDefault="00E21EF5" w:rsidP="00E21EF5">
            <w:pPr>
              <w:jc w:val="center"/>
              <w:rPr>
                <w:lang w:val="en-GB"/>
              </w:rPr>
            </w:pPr>
            <w:r>
              <w:rPr>
                <w:lang w:val="en-GB"/>
              </w:rPr>
              <w:t>147</w:t>
            </w:r>
          </w:p>
        </w:tc>
      </w:tr>
      <w:tr w:rsidR="00E21EF5" w:rsidTr="00E21EF5">
        <w:tc>
          <w:tcPr>
            <w:tcW w:w="4889" w:type="dxa"/>
          </w:tcPr>
          <w:p w:rsidR="00E21EF5" w:rsidRDefault="00E21EF5" w:rsidP="00D776B8">
            <w:pPr>
              <w:rPr>
                <w:lang w:val="en-GB"/>
              </w:rPr>
            </w:pPr>
            <w:r>
              <w:rPr>
                <w:lang w:val="en-GB"/>
              </w:rPr>
              <w:t xml:space="preserve">West </w:t>
            </w:r>
          </w:p>
        </w:tc>
        <w:tc>
          <w:tcPr>
            <w:tcW w:w="4889" w:type="dxa"/>
          </w:tcPr>
          <w:p w:rsidR="00E21EF5" w:rsidRDefault="00E21EF5" w:rsidP="00E21EF5">
            <w:pPr>
              <w:jc w:val="center"/>
              <w:rPr>
                <w:lang w:val="en-GB"/>
              </w:rPr>
            </w:pPr>
            <w:r>
              <w:rPr>
                <w:lang w:val="en-GB"/>
              </w:rPr>
              <w:t>185,1</w:t>
            </w:r>
          </w:p>
        </w:tc>
      </w:tr>
    </w:tbl>
    <w:p w:rsidR="00DC4767" w:rsidRDefault="00DC4767" w:rsidP="00E21EF5">
      <w:pPr>
        <w:rPr>
          <w:lang w:val="en-GB"/>
        </w:rPr>
      </w:pPr>
    </w:p>
    <w:p w:rsidR="00E21EF5" w:rsidRDefault="00E21EF5" w:rsidP="00E21EF5">
      <w:pPr>
        <w:rPr>
          <w:lang w:val="en-GB"/>
        </w:rPr>
      </w:pPr>
      <w:r>
        <w:rPr>
          <w:lang w:val="en-GB"/>
        </w:rPr>
        <w:t xml:space="preserve">c) </w:t>
      </w:r>
    </w:p>
    <w:tbl>
      <w:tblPr>
        <w:tblStyle w:val="Grigliatabella"/>
        <w:tblW w:w="0" w:type="auto"/>
        <w:tblLook w:val="04A0"/>
      </w:tblPr>
      <w:tblGrid>
        <w:gridCol w:w="2154"/>
        <w:gridCol w:w="2566"/>
        <w:gridCol w:w="2566"/>
      </w:tblGrid>
      <w:tr w:rsidR="00E21EF5" w:rsidRPr="00D776B8" w:rsidTr="00973105">
        <w:tc>
          <w:tcPr>
            <w:tcW w:w="2154" w:type="dxa"/>
          </w:tcPr>
          <w:p w:rsidR="00E21EF5" w:rsidRPr="00D776B8" w:rsidRDefault="00E21EF5" w:rsidP="00973105">
            <w:pPr>
              <w:rPr>
                <w:b/>
                <w:lang w:val="en-GB"/>
              </w:rPr>
            </w:pPr>
            <w:r w:rsidRPr="00D776B8">
              <w:rPr>
                <w:b/>
                <w:lang w:val="en-GB"/>
              </w:rPr>
              <w:t>Region</w:t>
            </w:r>
          </w:p>
        </w:tc>
        <w:tc>
          <w:tcPr>
            <w:tcW w:w="2566" w:type="dxa"/>
          </w:tcPr>
          <w:p w:rsidR="00E21EF5" w:rsidRPr="00D776B8" w:rsidRDefault="00E21EF5" w:rsidP="00E21EF5">
            <w:pPr>
              <w:rPr>
                <w:b/>
                <w:lang w:val="en-GB"/>
              </w:rPr>
            </w:pPr>
            <w:r>
              <w:rPr>
                <w:b/>
                <w:lang w:val="en-GB"/>
              </w:rPr>
              <w:t>Une</w:t>
            </w:r>
            <w:r w:rsidRPr="00D776B8">
              <w:rPr>
                <w:b/>
                <w:lang w:val="en-GB"/>
              </w:rPr>
              <w:t>mployment</w:t>
            </w:r>
            <w:r>
              <w:rPr>
                <w:b/>
                <w:lang w:val="en-GB"/>
              </w:rPr>
              <w:t xml:space="preserve"> rate</w:t>
            </w:r>
            <w:r w:rsidRPr="00D776B8">
              <w:rPr>
                <w:b/>
                <w:lang w:val="en-GB"/>
              </w:rPr>
              <w:t xml:space="preserve"> in April 2013</w:t>
            </w:r>
          </w:p>
        </w:tc>
        <w:tc>
          <w:tcPr>
            <w:tcW w:w="2566" w:type="dxa"/>
          </w:tcPr>
          <w:p w:rsidR="00E21EF5" w:rsidRPr="00D776B8" w:rsidRDefault="00E21EF5" w:rsidP="00973105">
            <w:pPr>
              <w:rPr>
                <w:b/>
                <w:lang w:val="en-GB"/>
              </w:rPr>
            </w:pPr>
            <w:r>
              <w:rPr>
                <w:b/>
                <w:lang w:val="en-GB"/>
              </w:rPr>
              <w:t>Une</w:t>
            </w:r>
            <w:r w:rsidRPr="00D776B8">
              <w:rPr>
                <w:b/>
                <w:lang w:val="en-GB"/>
              </w:rPr>
              <w:t xml:space="preserve">mployment </w:t>
            </w:r>
            <w:r>
              <w:rPr>
                <w:b/>
                <w:lang w:val="en-GB"/>
              </w:rPr>
              <w:t xml:space="preserve">rate </w:t>
            </w:r>
            <w:r w:rsidRPr="00D776B8">
              <w:rPr>
                <w:b/>
                <w:lang w:val="en-GB"/>
              </w:rPr>
              <w:t>in April 2014</w:t>
            </w:r>
          </w:p>
        </w:tc>
      </w:tr>
      <w:tr w:rsidR="00E21EF5" w:rsidTr="00973105">
        <w:tc>
          <w:tcPr>
            <w:tcW w:w="2154" w:type="dxa"/>
          </w:tcPr>
          <w:p w:rsidR="00E21EF5" w:rsidRDefault="00E21EF5" w:rsidP="00973105">
            <w:pPr>
              <w:rPr>
                <w:lang w:val="en-GB"/>
              </w:rPr>
            </w:pPr>
            <w:r>
              <w:rPr>
                <w:lang w:val="en-GB"/>
              </w:rPr>
              <w:t>North east</w:t>
            </w:r>
          </w:p>
        </w:tc>
        <w:tc>
          <w:tcPr>
            <w:tcW w:w="2566" w:type="dxa"/>
          </w:tcPr>
          <w:p w:rsidR="00E21EF5" w:rsidRDefault="00E21EF5" w:rsidP="00973105">
            <w:pPr>
              <w:rPr>
                <w:lang w:val="en-GB"/>
              </w:rPr>
            </w:pPr>
            <w:r w:rsidRPr="00E21EF5">
              <w:rPr>
                <w:lang w:val="en-GB"/>
              </w:rPr>
              <w:t>(</w:t>
            </w:r>
            <w:r>
              <w:rPr>
                <w:lang w:val="en-GB"/>
              </w:rPr>
              <w:t>2174,4/</w:t>
            </w:r>
            <w:r w:rsidRPr="00E21EF5">
              <w:rPr>
                <w:lang w:val="en-GB"/>
              </w:rPr>
              <w:t xml:space="preserve">28,407.2) x 100 = </w:t>
            </w:r>
            <w:r w:rsidRPr="00E21EF5">
              <w:rPr>
                <w:b/>
                <w:lang w:val="en-GB"/>
              </w:rPr>
              <w:t>7.65%</w:t>
            </w:r>
          </w:p>
        </w:tc>
        <w:tc>
          <w:tcPr>
            <w:tcW w:w="2566" w:type="dxa"/>
          </w:tcPr>
          <w:p w:rsidR="00E21EF5" w:rsidRDefault="00E21EF5" w:rsidP="00973105">
            <w:pPr>
              <w:rPr>
                <w:lang w:val="en-GB"/>
              </w:rPr>
            </w:pPr>
            <w:r w:rsidRPr="00E21EF5">
              <w:rPr>
                <w:lang w:val="en-GB"/>
              </w:rPr>
              <w:t>(</w:t>
            </w:r>
            <w:r>
              <w:rPr>
                <w:lang w:val="en-GB"/>
              </w:rPr>
              <w:t>1781,3/28,288.9</w:t>
            </w:r>
            <w:r w:rsidRPr="00E21EF5">
              <w:rPr>
                <w:lang w:val="en-GB"/>
              </w:rPr>
              <w:t xml:space="preserve">) x 100 = </w:t>
            </w:r>
            <w:r w:rsidRPr="00E21EF5">
              <w:rPr>
                <w:b/>
                <w:lang w:val="en-GB"/>
              </w:rPr>
              <w:t>6.29%</w:t>
            </w:r>
          </w:p>
        </w:tc>
      </w:tr>
      <w:tr w:rsidR="00E21EF5" w:rsidTr="00973105">
        <w:tc>
          <w:tcPr>
            <w:tcW w:w="2154" w:type="dxa"/>
          </w:tcPr>
          <w:p w:rsidR="00E21EF5" w:rsidRDefault="00E21EF5" w:rsidP="00973105">
            <w:pPr>
              <w:rPr>
                <w:lang w:val="en-GB"/>
              </w:rPr>
            </w:pPr>
            <w:r>
              <w:rPr>
                <w:lang w:val="en-GB"/>
              </w:rPr>
              <w:t>South</w:t>
            </w:r>
          </w:p>
        </w:tc>
        <w:tc>
          <w:tcPr>
            <w:tcW w:w="2566" w:type="dxa"/>
          </w:tcPr>
          <w:p w:rsidR="00E21EF5" w:rsidRDefault="00E21EF5" w:rsidP="00E21EF5">
            <w:pPr>
              <w:rPr>
                <w:lang w:val="en-GB"/>
              </w:rPr>
            </w:pPr>
            <w:r w:rsidRPr="00E21EF5">
              <w:rPr>
                <w:lang w:val="en-GB"/>
              </w:rPr>
              <w:t>(</w:t>
            </w:r>
            <w:r>
              <w:rPr>
                <w:lang w:val="en-GB"/>
              </w:rPr>
              <w:t>4,089.9/56,787.8</w:t>
            </w:r>
            <w:r w:rsidRPr="00E21EF5">
              <w:rPr>
                <w:lang w:val="en-GB"/>
              </w:rPr>
              <w:t xml:space="preserve">) x 100 </w:t>
            </w:r>
            <w:r w:rsidRPr="00E21EF5">
              <w:rPr>
                <w:lang w:val="en-GB"/>
              </w:rPr>
              <w:lastRenderedPageBreak/>
              <w:t>=</w:t>
            </w:r>
            <w:r>
              <w:rPr>
                <w:lang w:val="en-GB"/>
              </w:rPr>
              <w:t xml:space="preserve"> </w:t>
            </w:r>
            <w:r w:rsidRPr="00E21EF5">
              <w:rPr>
                <w:b/>
                <w:lang w:val="en-GB"/>
              </w:rPr>
              <w:t>7.2%</w:t>
            </w:r>
          </w:p>
        </w:tc>
        <w:tc>
          <w:tcPr>
            <w:tcW w:w="2566" w:type="dxa"/>
          </w:tcPr>
          <w:p w:rsidR="00E21EF5" w:rsidRDefault="00E21EF5" w:rsidP="00E21EF5">
            <w:pPr>
              <w:rPr>
                <w:lang w:val="en-GB"/>
              </w:rPr>
            </w:pPr>
            <w:r w:rsidRPr="00E21EF5">
              <w:rPr>
                <w:lang w:val="en-GB"/>
              </w:rPr>
              <w:lastRenderedPageBreak/>
              <w:t>(3,363.8</w:t>
            </w:r>
            <w:r>
              <w:rPr>
                <w:lang w:val="en-GB"/>
              </w:rPr>
              <w:t>/57,016.4</w:t>
            </w:r>
            <w:r w:rsidRPr="00E21EF5">
              <w:rPr>
                <w:lang w:val="en-GB"/>
              </w:rPr>
              <w:t xml:space="preserve">) x 100 </w:t>
            </w:r>
            <w:r w:rsidRPr="00E21EF5">
              <w:rPr>
                <w:lang w:val="en-GB"/>
              </w:rPr>
              <w:lastRenderedPageBreak/>
              <w:t>=</w:t>
            </w:r>
            <w:r>
              <w:rPr>
                <w:lang w:val="en-GB"/>
              </w:rPr>
              <w:t xml:space="preserve"> </w:t>
            </w:r>
            <w:r>
              <w:rPr>
                <w:b/>
                <w:lang w:val="en-GB"/>
              </w:rPr>
              <w:t>5.89</w:t>
            </w:r>
            <w:r w:rsidRPr="00E21EF5">
              <w:rPr>
                <w:b/>
                <w:lang w:val="en-GB"/>
              </w:rPr>
              <w:t>%</w:t>
            </w:r>
          </w:p>
        </w:tc>
      </w:tr>
      <w:tr w:rsidR="00E21EF5" w:rsidTr="00973105">
        <w:tc>
          <w:tcPr>
            <w:tcW w:w="2154" w:type="dxa"/>
          </w:tcPr>
          <w:p w:rsidR="00E21EF5" w:rsidRDefault="00E21EF5" w:rsidP="00973105">
            <w:pPr>
              <w:rPr>
                <w:lang w:val="en-GB"/>
              </w:rPr>
            </w:pPr>
            <w:r>
              <w:rPr>
                <w:lang w:val="en-GB"/>
              </w:rPr>
              <w:lastRenderedPageBreak/>
              <w:t>Midwest</w:t>
            </w:r>
          </w:p>
        </w:tc>
        <w:tc>
          <w:tcPr>
            <w:tcW w:w="2566" w:type="dxa"/>
          </w:tcPr>
          <w:p w:rsidR="00E21EF5" w:rsidRDefault="00E21EF5" w:rsidP="00E21EF5">
            <w:pPr>
              <w:rPr>
                <w:lang w:val="en-GB"/>
              </w:rPr>
            </w:pPr>
            <w:r w:rsidRPr="00E21EF5">
              <w:rPr>
                <w:lang w:val="en-GB"/>
              </w:rPr>
              <w:t>(</w:t>
            </w:r>
            <w:r>
              <w:rPr>
                <w:lang w:val="en-GB"/>
              </w:rPr>
              <w:t>2,473.7/34,320</w:t>
            </w:r>
            <w:r w:rsidRPr="00E21EF5">
              <w:rPr>
                <w:lang w:val="en-GB"/>
              </w:rPr>
              <w:t>) x 100 =</w:t>
            </w:r>
            <w:r>
              <w:rPr>
                <w:lang w:val="en-GB"/>
              </w:rPr>
              <w:t xml:space="preserve"> </w:t>
            </w:r>
            <w:r>
              <w:rPr>
                <w:b/>
                <w:lang w:val="en-GB"/>
              </w:rPr>
              <w:t>7.2</w:t>
            </w:r>
            <w:r w:rsidRPr="00E21EF5">
              <w:rPr>
                <w:b/>
                <w:lang w:val="en-GB"/>
              </w:rPr>
              <w:t>%</w:t>
            </w:r>
          </w:p>
        </w:tc>
        <w:tc>
          <w:tcPr>
            <w:tcW w:w="2566" w:type="dxa"/>
          </w:tcPr>
          <w:p w:rsidR="00E21EF5" w:rsidRDefault="00E21EF5" w:rsidP="00E21EF5">
            <w:pPr>
              <w:rPr>
                <w:lang w:val="en-GB"/>
              </w:rPr>
            </w:pPr>
            <w:r w:rsidRPr="00E21EF5">
              <w:rPr>
                <w:lang w:val="en-GB"/>
              </w:rPr>
              <w:t>(</w:t>
            </w:r>
            <w:r>
              <w:rPr>
                <w:lang w:val="en-GB"/>
              </w:rPr>
              <w:t>2,109/34,476</w:t>
            </w:r>
            <w:r w:rsidRPr="00E21EF5">
              <w:rPr>
                <w:lang w:val="en-GB"/>
              </w:rPr>
              <w:t>) x 100 =</w:t>
            </w:r>
            <w:r>
              <w:rPr>
                <w:lang w:val="en-GB"/>
              </w:rPr>
              <w:t xml:space="preserve"> </w:t>
            </w:r>
            <w:r w:rsidR="007357CE">
              <w:rPr>
                <w:b/>
                <w:lang w:val="en-GB"/>
              </w:rPr>
              <w:t>6.1</w:t>
            </w:r>
            <w:r w:rsidRPr="00E21EF5">
              <w:rPr>
                <w:b/>
                <w:lang w:val="en-GB"/>
              </w:rPr>
              <w:t>%</w:t>
            </w:r>
          </w:p>
        </w:tc>
      </w:tr>
      <w:tr w:rsidR="00E21EF5" w:rsidTr="00973105">
        <w:tc>
          <w:tcPr>
            <w:tcW w:w="2154" w:type="dxa"/>
          </w:tcPr>
          <w:p w:rsidR="00E21EF5" w:rsidRDefault="00E21EF5" w:rsidP="00973105">
            <w:pPr>
              <w:rPr>
                <w:lang w:val="en-GB"/>
              </w:rPr>
            </w:pPr>
            <w:r>
              <w:rPr>
                <w:lang w:val="en-GB"/>
              </w:rPr>
              <w:t>West</w:t>
            </w:r>
          </w:p>
        </w:tc>
        <w:tc>
          <w:tcPr>
            <w:tcW w:w="2566" w:type="dxa"/>
          </w:tcPr>
          <w:p w:rsidR="00E21EF5" w:rsidRDefault="007357CE" w:rsidP="007357CE">
            <w:pPr>
              <w:rPr>
                <w:lang w:val="en-GB"/>
              </w:rPr>
            </w:pPr>
            <w:r w:rsidRPr="00E21EF5">
              <w:rPr>
                <w:lang w:val="en-GB"/>
              </w:rPr>
              <w:t>(</w:t>
            </w:r>
            <w:r>
              <w:rPr>
                <w:lang w:val="en-GB"/>
              </w:rPr>
              <w:t>2,940.8/36,122.2</w:t>
            </w:r>
            <w:r w:rsidRPr="00E21EF5">
              <w:rPr>
                <w:lang w:val="en-GB"/>
              </w:rPr>
              <w:t>) x 100 =</w:t>
            </w:r>
            <w:r>
              <w:rPr>
                <w:lang w:val="en-GB"/>
              </w:rPr>
              <w:t xml:space="preserve"> </w:t>
            </w:r>
            <w:r>
              <w:rPr>
                <w:b/>
                <w:lang w:val="en-GB"/>
              </w:rPr>
              <w:t>8.1</w:t>
            </w:r>
            <w:r w:rsidRPr="00E21EF5">
              <w:rPr>
                <w:b/>
                <w:lang w:val="en-GB"/>
              </w:rPr>
              <w:t>%</w:t>
            </w:r>
          </w:p>
        </w:tc>
        <w:tc>
          <w:tcPr>
            <w:tcW w:w="2566" w:type="dxa"/>
          </w:tcPr>
          <w:p w:rsidR="00E21EF5" w:rsidRDefault="007357CE" w:rsidP="007357CE">
            <w:pPr>
              <w:rPr>
                <w:lang w:val="en-GB"/>
              </w:rPr>
            </w:pPr>
            <w:r w:rsidRPr="00E21EF5">
              <w:rPr>
                <w:lang w:val="en-GB"/>
              </w:rPr>
              <w:t>(</w:t>
            </w:r>
            <w:r w:rsidRPr="007357CE">
              <w:t>2,535.7</w:t>
            </w:r>
            <w:r>
              <w:rPr>
                <w:lang w:val="en-GB"/>
              </w:rPr>
              <w:t>/</w:t>
            </w:r>
            <w:r w:rsidRPr="007357CE">
              <w:t>36,307.3</w:t>
            </w:r>
            <w:r w:rsidRPr="00E21EF5">
              <w:rPr>
                <w:lang w:val="en-GB"/>
              </w:rPr>
              <w:t>) x 100 =</w:t>
            </w:r>
            <w:r>
              <w:rPr>
                <w:lang w:val="en-GB"/>
              </w:rPr>
              <w:t xml:space="preserve"> </w:t>
            </w:r>
            <w:r>
              <w:rPr>
                <w:b/>
                <w:lang w:val="en-GB"/>
              </w:rPr>
              <w:t>6.98</w:t>
            </w:r>
            <w:r w:rsidRPr="00E21EF5">
              <w:rPr>
                <w:b/>
                <w:lang w:val="en-GB"/>
              </w:rPr>
              <w:t>%</w:t>
            </w:r>
          </w:p>
        </w:tc>
      </w:tr>
    </w:tbl>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Arial" w:eastAsia="Times New Roman" w:hAnsi="Arial" w:cs="Arial"/>
          <w:color w:val="2F6473"/>
          <w:sz w:val="23"/>
          <w:szCs w:val="23"/>
          <w:lang w:val="en-GB" w:eastAsia="it-IT"/>
        </w:rPr>
        <w:t>The accompanying table provides the inflation rate in the year 2000 and the average inflation rate over the period 2001-2013 for seven different countries:</w:t>
      </w:r>
    </w:p>
    <w:tbl>
      <w:tblPr>
        <w:tblW w:w="0" w:type="auto"/>
        <w:jc w:val="center"/>
        <w:shd w:val="clear" w:color="auto" w:fill="DEF2F8"/>
        <w:tblCellMar>
          <w:top w:w="15" w:type="dxa"/>
          <w:left w:w="15" w:type="dxa"/>
          <w:bottom w:w="15" w:type="dxa"/>
          <w:right w:w="15" w:type="dxa"/>
        </w:tblCellMar>
        <w:tblLook w:val="04A0"/>
      </w:tblPr>
      <w:tblGrid>
        <w:gridCol w:w="1263"/>
        <w:gridCol w:w="1979"/>
        <w:gridCol w:w="3339"/>
      </w:tblGrid>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Country</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Inflation</w:t>
            </w:r>
            <w:proofErr w:type="spellEnd"/>
            <w:r w:rsidRPr="00DC4767">
              <w:rPr>
                <w:rFonts w:ascii="open_sansregular" w:eastAsia="Times New Roman" w:hAnsi="open_sansregular" w:cs="Times New Roman"/>
                <w:color w:val="2F6473"/>
                <w:sz w:val="23"/>
                <w:szCs w:val="23"/>
                <w:lang w:eastAsia="it-IT"/>
              </w:rPr>
              <w:t xml:space="preserve"> rate in 2000</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Average</w:t>
            </w:r>
            <w:proofErr w:type="spellEnd"/>
            <w:r w:rsidRPr="00DC4767">
              <w:rPr>
                <w:rFonts w:ascii="open_sansregular" w:eastAsia="Times New Roman" w:hAnsi="open_sansregular" w:cs="Times New Roman"/>
                <w:color w:val="2F6473"/>
                <w:sz w:val="23"/>
                <w:szCs w:val="23"/>
                <w:lang w:eastAsia="it-IT"/>
              </w:rPr>
              <w:t xml:space="preserve"> </w:t>
            </w:r>
            <w:proofErr w:type="spellStart"/>
            <w:r w:rsidRPr="00DC4767">
              <w:rPr>
                <w:rFonts w:ascii="open_sansregular" w:eastAsia="Times New Roman" w:hAnsi="open_sansregular" w:cs="Times New Roman"/>
                <w:color w:val="2F6473"/>
                <w:sz w:val="23"/>
                <w:szCs w:val="23"/>
                <w:lang w:eastAsia="it-IT"/>
              </w:rPr>
              <w:t>inflation</w:t>
            </w:r>
            <w:proofErr w:type="spellEnd"/>
            <w:r w:rsidRPr="00DC4767">
              <w:rPr>
                <w:rFonts w:ascii="open_sansregular" w:eastAsia="Times New Roman" w:hAnsi="open_sansregular" w:cs="Times New Roman"/>
                <w:color w:val="2F6473"/>
                <w:sz w:val="23"/>
                <w:szCs w:val="23"/>
                <w:lang w:eastAsia="it-IT"/>
              </w:rPr>
              <w:t xml:space="preserve"> rate in 2001-2013</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Brazil</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7.06%</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6.72%</w:t>
            </w:r>
          </w:p>
        </w:tc>
      </w:tr>
      <w:tr w:rsidR="00DC4767" w:rsidRPr="00DC4767" w:rsidTr="00DC4767">
        <w:trPr>
          <w:jc w:val="center"/>
        </w:trPr>
        <w:tc>
          <w:tcPr>
            <w:tcW w:w="0" w:type="auto"/>
            <w:shd w:val="clear" w:color="auto" w:fill="DEF2F8"/>
            <w:vAlign w:val="center"/>
            <w:hideMark/>
          </w:tcPr>
          <w:p w:rsidR="00DC4767" w:rsidRPr="00051861" w:rsidRDefault="00DC4767" w:rsidP="00DC4767">
            <w:pPr>
              <w:spacing w:after="0" w:line="240" w:lineRule="auto"/>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China</w:t>
            </w:r>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0.4</w:t>
            </w:r>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2.34</w:t>
            </w:r>
          </w:p>
        </w:tc>
      </w:tr>
      <w:tr w:rsidR="00DC4767" w:rsidRPr="00DC4767" w:rsidTr="00DC4767">
        <w:trPr>
          <w:jc w:val="center"/>
        </w:trPr>
        <w:tc>
          <w:tcPr>
            <w:tcW w:w="0" w:type="auto"/>
            <w:shd w:val="clear" w:color="auto" w:fill="DEF2F8"/>
            <w:vAlign w:val="center"/>
            <w:hideMark/>
          </w:tcPr>
          <w:p w:rsidR="00DC4767" w:rsidRPr="00051861" w:rsidRDefault="00DC4767" w:rsidP="00DC4767">
            <w:pPr>
              <w:spacing w:after="0" w:line="240" w:lineRule="auto"/>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France</w:t>
            </w:r>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1.83</w:t>
            </w:r>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1.86</w:t>
            </w:r>
          </w:p>
        </w:tc>
      </w:tr>
      <w:tr w:rsidR="00DC4767" w:rsidRPr="00DC4767" w:rsidTr="00DC4767">
        <w:trPr>
          <w:jc w:val="center"/>
        </w:trPr>
        <w:tc>
          <w:tcPr>
            <w:tcW w:w="0" w:type="auto"/>
            <w:shd w:val="clear" w:color="auto" w:fill="DEF2F8"/>
            <w:vAlign w:val="center"/>
            <w:hideMark/>
          </w:tcPr>
          <w:p w:rsidR="00DC4767" w:rsidRPr="00051861" w:rsidRDefault="00DC4767" w:rsidP="00DC4767">
            <w:pPr>
              <w:spacing w:after="0" w:line="240" w:lineRule="auto"/>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Indonesia</w:t>
            </w:r>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3.77</w:t>
            </w:r>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7.56</w:t>
            </w:r>
          </w:p>
        </w:tc>
      </w:tr>
      <w:tr w:rsidR="00DC4767" w:rsidRPr="00DC4767" w:rsidTr="00DC4767">
        <w:trPr>
          <w:jc w:val="center"/>
        </w:trPr>
        <w:tc>
          <w:tcPr>
            <w:tcW w:w="0" w:type="auto"/>
            <w:shd w:val="clear" w:color="auto" w:fill="DEF2F8"/>
            <w:vAlign w:val="center"/>
            <w:hideMark/>
          </w:tcPr>
          <w:p w:rsidR="00DC4767" w:rsidRPr="00051861"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051861">
              <w:rPr>
                <w:rFonts w:ascii="open_sansregular" w:eastAsia="Times New Roman" w:hAnsi="open_sansregular" w:cs="Times New Roman"/>
                <w:color w:val="2F6473"/>
                <w:sz w:val="23"/>
                <w:szCs w:val="23"/>
                <w:lang w:eastAsia="it-IT"/>
              </w:rPr>
              <w:t>Japan</w:t>
            </w:r>
            <w:proofErr w:type="spellEnd"/>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-0.</w:t>
            </w:r>
            <w:proofErr w:type="gramStart"/>
            <w:r w:rsidRPr="00051861">
              <w:rPr>
                <w:rFonts w:ascii="open_sansregular" w:eastAsia="Times New Roman" w:hAnsi="open_sansregular" w:cs="Times New Roman"/>
                <w:color w:val="2F6473"/>
                <w:sz w:val="23"/>
                <w:szCs w:val="23"/>
                <w:lang w:eastAsia="it-IT"/>
              </w:rPr>
              <w:t>78</w:t>
            </w:r>
            <w:proofErr w:type="gramEnd"/>
          </w:p>
        </w:tc>
        <w:tc>
          <w:tcPr>
            <w:tcW w:w="0" w:type="auto"/>
            <w:shd w:val="clear" w:color="auto" w:fill="DEF2F8"/>
            <w:vAlign w:val="center"/>
            <w:hideMark/>
          </w:tcPr>
          <w:p w:rsidR="00DC4767" w:rsidRPr="00051861"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051861">
              <w:rPr>
                <w:rFonts w:ascii="open_sansregular" w:eastAsia="Times New Roman" w:hAnsi="open_sansregular" w:cs="Times New Roman"/>
                <w:color w:val="2F6473"/>
                <w:sz w:val="23"/>
                <w:szCs w:val="23"/>
                <w:lang w:eastAsia="it-IT"/>
              </w:rPr>
              <w:t>-0.</w:t>
            </w:r>
            <w:proofErr w:type="gramStart"/>
            <w:r w:rsidRPr="00051861">
              <w:rPr>
                <w:rFonts w:ascii="open_sansregular" w:eastAsia="Times New Roman" w:hAnsi="open_sansregular" w:cs="Times New Roman"/>
                <w:color w:val="2F6473"/>
                <w:sz w:val="23"/>
                <w:szCs w:val="23"/>
                <w:lang w:eastAsia="it-IT"/>
              </w:rPr>
              <w:t>23</w:t>
            </w:r>
            <w:proofErr w:type="gramEnd"/>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Turkey</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55.03</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18.79</w:t>
            </w:r>
          </w:p>
        </w:tc>
      </w:tr>
      <w:tr w:rsidR="00DC4767" w:rsidRPr="00DC4767" w:rsidTr="00DC4767">
        <w:trPr>
          <w:jc w:val="center"/>
        </w:trPr>
        <w:tc>
          <w:tcPr>
            <w:tcW w:w="0" w:type="auto"/>
            <w:shd w:val="clear" w:color="auto" w:fill="DEF2F8"/>
            <w:vAlign w:val="center"/>
            <w:hideMark/>
          </w:tcPr>
          <w:p w:rsidR="00DC4767" w:rsidRPr="00DC4767" w:rsidRDefault="00DC4767" w:rsidP="00DC4767">
            <w:pPr>
              <w:spacing w:after="0" w:line="240" w:lineRule="auto"/>
              <w:rPr>
                <w:rFonts w:ascii="open_sansregular" w:eastAsia="Times New Roman" w:hAnsi="open_sansregular" w:cs="Times New Roman"/>
                <w:color w:val="2F6473"/>
                <w:sz w:val="23"/>
                <w:szCs w:val="23"/>
                <w:lang w:eastAsia="it-IT"/>
              </w:rPr>
            </w:pPr>
            <w:proofErr w:type="spellStart"/>
            <w:r w:rsidRPr="00DC4767">
              <w:rPr>
                <w:rFonts w:ascii="open_sansregular" w:eastAsia="Times New Roman" w:hAnsi="open_sansregular" w:cs="Times New Roman"/>
                <w:color w:val="2F6473"/>
                <w:sz w:val="23"/>
                <w:szCs w:val="23"/>
                <w:lang w:eastAsia="it-IT"/>
              </w:rPr>
              <w:t>United</w:t>
            </w:r>
            <w:proofErr w:type="spellEnd"/>
            <w:r w:rsidRPr="00DC4767">
              <w:rPr>
                <w:rFonts w:ascii="open_sansregular" w:eastAsia="Times New Roman" w:hAnsi="open_sansregular" w:cs="Times New Roman"/>
                <w:color w:val="2F6473"/>
                <w:sz w:val="23"/>
                <w:szCs w:val="23"/>
                <w:lang w:eastAsia="it-IT"/>
              </w:rPr>
              <w:t xml:space="preserve"> </w:t>
            </w:r>
            <w:proofErr w:type="spellStart"/>
            <w:r w:rsidRPr="00DC4767">
              <w:rPr>
                <w:rFonts w:ascii="open_sansregular" w:eastAsia="Times New Roman" w:hAnsi="open_sansregular" w:cs="Times New Roman"/>
                <w:color w:val="2F6473"/>
                <w:sz w:val="23"/>
                <w:szCs w:val="23"/>
                <w:lang w:eastAsia="it-IT"/>
              </w:rPr>
              <w:t>States</w:t>
            </w:r>
            <w:proofErr w:type="spellEnd"/>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3.37</w:t>
            </w:r>
          </w:p>
        </w:tc>
        <w:tc>
          <w:tcPr>
            <w:tcW w:w="0" w:type="auto"/>
            <w:shd w:val="clear" w:color="auto" w:fill="DEF2F8"/>
            <w:vAlign w:val="center"/>
            <w:hideMark/>
          </w:tcPr>
          <w:p w:rsidR="00DC4767" w:rsidRPr="00DC4767" w:rsidRDefault="00DC4767" w:rsidP="00DC4767">
            <w:pPr>
              <w:spacing w:after="0" w:line="240" w:lineRule="auto"/>
              <w:jc w:val="center"/>
              <w:rPr>
                <w:rFonts w:ascii="open_sansregular" w:eastAsia="Times New Roman" w:hAnsi="open_sansregular" w:cs="Times New Roman"/>
                <w:color w:val="2F6473"/>
                <w:sz w:val="23"/>
                <w:szCs w:val="23"/>
                <w:lang w:eastAsia="it-IT"/>
              </w:rPr>
            </w:pPr>
            <w:r w:rsidRPr="00DC4767">
              <w:rPr>
                <w:rFonts w:ascii="open_sansregular" w:eastAsia="Times New Roman" w:hAnsi="open_sansregular" w:cs="Times New Roman"/>
                <w:color w:val="2F6473"/>
                <w:sz w:val="23"/>
                <w:szCs w:val="23"/>
                <w:lang w:eastAsia="it-IT"/>
              </w:rPr>
              <w:t>2.43</w:t>
            </w:r>
          </w:p>
        </w:tc>
      </w:tr>
    </w:tbl>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Arial" w:eastAsia="Times New Roman" w:hAnsi="Arial" w:cs="Arial"/>
          <w:color w:val="2F6473"/>
          <w:sz w:val="23"/>
          <w:szCs w:val="23"/>
          <w:lang w:val="en-GB" w:eastAsia="it-IT"/>
        </w:rPr>
        <w:t>a) Given the expected relationship between average inflation and menu costs, rank the countries in descending order of menu costs using the average inflation over the period 2001-2013.</w:t>
      </w:r>
    </w:p>
    <w:p w:rsidR="00DC4767" w:rsidRPr="00DC4767"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Arial" w:eastAsia="Times New Roman" w:hAnsi="Arial" w:cs="Arial"/>
          <w:color w:val="2F6473"/>
          <w:sz w:val="23"/>
          <w:szCs w:val="23"/>
          <w:lang w:val="en-GB" w:eastAsia="it-IT"/>
        </w:rPr>
        <w:t xml:space="preserve">b) Rank the countries in order of inflation rates that most </w:t>
      </w:r>
      <w:proofErr w:type="spellStart"/>
      <w:r w:rsidRPr="00DC4767">
        <w:rPr>
          <w:rFonts w:ascii="Arial" w:eastAsia="Times New Roman" w:hAnsi="Arial" w:cs="Arial"/>
          <w:color w:val="2F6473"/>
          <w:sz w:val="23"/>
          <w:szCs w:val="23"/>
          <w:lang w:val="en-GB" w:eastAsia="it-IT"/>
        </w:rPr>
        <w:t>favored</w:t>
      </w:r>
      <w:proofErr w:type="spellEnd"/>
      <w:r w:rsidRPr="00DC4767">
        <w:rPr>
          <w:rFonts w:ascii="Arial" w:eastAsia="Times New Roman" w:hAnsi="Arial" w:cs="Arial"/>
          <w:color w:val="2F6473"/>
          <w:sz w:val="23"/>
          <w:szCs w:val="23"/>
          <w:lang w:val="en-GB" w:eastAsia="it-IT"/>
        </w:rPr>
        <w:t xml:space="preserve"> borrowers with ten-year loans that were taken out in 2000. Assume that the loans were agreed upon with the expectation that the inflation rate for 2001 to 2013 would be the same as the inflation rate in 2000.</w:t>
      </w:r>
    </w:p>
    <w:p w:rsidR="00DC4767" w:rsidRPr="007D29B9" w:rsidRDefault="00DC4767" w:rsidP="00DC4767">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DC4767">
        <w:rPr>
          <w:rFonts w:ascii="Arial" w:eastAsia="Times New Roman" w:hAnsi="Arial" w:cs="Arial"/>
          <w:color w:val="2F6473"/>
          <w:sz w:val="23"/>
          <w:szCs w:val="23"/>
          <w:lang w:val="en-GB" w:eastAsia="it-IT"/>
        </w:rPr>
        <w:t xml:space="preserve">c) Did borrowers who took out </w:t>
      </w:r>
      <w:proofErr w:type="gramStart"/>
      <w:r w:rsidRPr="00DC4767">
        <w:rPr>
          <w:rFonts w:ascii="Arial" w:eastAsia="Times New Roman" w:hAnsi="Arial" w:cs="Arial"/>
          <w:color w:val="2F6473"/>
          <w:sz w:val="23"/>
          <w:szCs w:val="23"/>
          <w:lang w:val="en-GB" w:eastAsia="it-IT"/>
        </w:rPr>
        <w:t>ten-years</w:t>
      </w:r>
      <w:proofErr w:type="gramEnd"/>
      <w:r w:rsidRPr="00DC4767">
        <w:rPr>
          <w:rFonts w:ascii="Arial" w:eastAsia="Times New Roman" w:hAnsi="Arial" w:cs="Arial"/>
          <w:color w:val="2F6473"/>
          <w:sz w:val="23"/>
          <w:szCs w:val="23"/>
          <w:lang w:val="en-GB" w:eastAsia="it-IT"/>
        </w:rPr>
        <w:t xml:space="preserve"> loans in Japan gain or lose overall versus lenders? </w:t>
      </w:r>
      <w:r w:rsidRPr="007D29B9">
        <w:rPr>
          <w:rFonts w:ascii="Arial" w:eastAsia="Times New Roman" w:hAnsi="Arial" w:cs="Arial"/>
          <w:color w:val="2F6473"/>
          <w:sz w:val="23"/>
          <w:szCs w:val="23"/>
          <w:lang w:val="en-GB" w:eastAsia="it-IT"/>
        </w:rPr>
        <w:t>Explain.</w:t>
      </w:r>
    </w:p>
    <w:p w:rsidR="00DC4767" w:rsidRDefault="00051861" w:rsidP="00051861">
      <w:pPr>
        <w:pStyle w:val="Paragrafoelenco"/>
        <w:numPr>
          <w:ilvl w:val="0"/>
          <w:numId w:val="4"/>
        </w:numPr>
        <w:rPr>
          <w:lang w:val="en-GB"/>
        </w:rPr>
      </w:pPr>
      <w:r>
        <w:rPr>
          <w:lang w:val="en-GB"/>
        </w:rPr>
        <w:t xml:space="preserve">A menu cost is associated to a frequent change in listed prices. When inflation rate is very high, high menu costs are incurred and this is the reason why some countries allow citizens to trade using a more stable foreign currency.  Since there is a positive relationship between inflation rate and menu costs, the ranking, in descending order, will be: </w:t>
      </w:r>
      <w:r>
        <w:rPr>
          <w:b/>
          <w:lang w:val="en-GB"/>
        </w:rPr>
        <w:t xml:space="preserve">Turkey, Indonesia, Brazil, United States, China, France </w:t>
      </w:r>
      <w:r>
        <w:rPr>
          <w:lang w:val="en-GB"/>
        </w:rPr>
        <w:t xml:space="preserve">and </w:t>
      </w:r>
      <w:r>
        <w:rPr>
          <w:b/>
          <w:lang w:val="en-GB"/>
        </w:rPr>
        <w:t>Japan</w:t>
      </w:r>
      <w:r>
        <w:rPr>
          <w:lang w:val="en-GB"/>
        </w:rPr>
        <w:t>.</w:t>
      </w:r>
    </w:p>
    <w:p w:rsidR="00051861" w:rsidRDefault="00051861" w:rsidP="00051861">
      <w:pPr>
        <w:pStyle w:val="Paragrafoelenco"/>
        <w:numPr>
          <w:ilvl w:val="0"/>
          <w:numId w:val="4"/>
        </w:numPr>
        <w:rPr>
          <w:lang w:val="en-GB"/>
        </w:rPr>
      </w:pPr>
      <w:r>
        <w:rPr>
          <w:lang w:val="en-GB"/>
        </w:rPr>
        <w:t xml:space="preserve">Borrowers are favoured when inflation rates are higher than expected. As a result, the countries where borrowers are favoured are those where inflation rates have grown larger and the ranking will be: </w:t>
      </w:r>
      <w:r w:rsidRPr="00051861">
        <w:rPr>
          <w:b/>
          <w:lang w:val="en-GB"/>
        </w:rPr>
        <w:t xml:space="preserve">Indonesia, China, Japan, France, Brazil, United States </w:t>
      </w:r>
      <w:r w:rsidRPr="00051861">
        <w:rPr>
          <w:lang w:val="en-GB"/>
        </w:rPr>
        <w:t>and</w:t>
      </w:r>
      <w:r w:rsidRPr="00051861">
        <w:rPr>
          <w:b/>
          <w:lang w:val="en-GB"/>
        </w:rPr>
        <w:t xml:space="preserve"> Turkey</w:t>
      </w:r>
      <w:r>
        <w:rPr>
          <w:lang w:val="en-GB"/>
        </w:rPr>
        <w:t>.</w:t>
      </w:r>
      <w:r w:rsidR="00937499">
        <w:rPr>
          <w:lang w:val="en-GB"/>
        </w:rPr>
        <w:t xml:space="preserve"> In the last three countries, lenders are favoured because the inflation rate is lower than expected.</w:t>
      </w:r>
    </w:p>
    <w:p w:rsidR="00937499" w:rsidRPr="00051861" w:rsidRDefault="00937499" w:rsidP="00051861">
      <w:pPr>
        <w:pStyle w:val="Paragrafoelenco"/>
        <w:numPr>
          <w:ilvl w:val="0"/>
          <w:numId w:val="4"/>
        </w:numPr>
        <w:rPr>
          <w:lang w:val="en-GB"/>
        </w:rPr>
      </w:pPr>
      <w:r>
        <w:rPr>
          <w:lang w:val="en-GB"/>
        </w:rPr>
        <w:t>Borrowers in Japan gained overall as the inflation rate grew larger (+0.55%) despite being negative. This means that borrowers will have to repay their loans with a currency that has less real value with respect to the expectation of 10 years before.</w:t>
      </w:r>
    </w:p>
    <w:p w:rsidR="00DC4767" w:rsidRDefault="00DC4767">
      <w:pPr>
        <w:rPr>
          <w:lang w:val="en-GB"/>
        </w:rPr>
      </w:pPr>
    </w:p>
    <w:p w:rsidR="00DC4767" w:rsidRDefault="00DC4767">
      <w:pPr>
        <w:rPr>
          <w:lang w:val="en-GB"/>
        </w:rPr>
      </w:pPr>
    </w:p>
    <w:p w:rsidR="00DC4767" w:rsidRDefault="00DC4767">
      <w:pPr>
        <w:rPr>
          <w:lang w:val="en-GB"/>
        </w:rPr>
      </w:pPr>
    </w:p>
    <w:p w:rsidR="00DC4767" w:rsidRDefault="00DC4767">
      <w:pPr>
        <w:rPr>
          <w:lang w:val="en-GB"/>
        </w:rPr>
      </w:pPr>
    </w:p>
    <w:p w:rsidR="00DC4767" w:rsidRDefault="00DC4767">
      <w:pPr>
        <w:rPr>
          <w:lang w:val="en-GB"/>
        </w:rPr>
      </w:pPr>
    </w:p>
    <w:p w:rsidR="00DC4767" w:rsidRDefault="00DC4767">
      <w:pPr>
        <w:rPr>
          <w:lang w:val="en-GB"/>
        </w:rPr>
      </w:pPr>
    </w:p>
    <w:p w:rsidR="007D29B9" w:rsidRPr="007D29B9" w:rsidRDefault="007D29B9" w:rsidP="007D29B9">
      <w:pPr>
        <w:pStyle w:val="NormaleWeb"/>
        <w:shd w:val="clear" w:color="auto" w:fill="DEF2F8"/>
        <w:spacing w:before="0" w:beforeAutospacing="0" w:after="120" w:afterAutospacing="0"/>
        <w:rPr>
          <w:rFonts w:ascii="open_sansregular" w:hAnsi="open_sansregular"/>
          <w:color w:val="2F6473"/>
          <w:sz w:val="23"/>
          <w:szCs w:val="23"/>
          <w:lang w:val="en-GB"/>
        </w:rPr>
      </w:pPr>
      <w:r w:rsidRPr="007D29B9">
        <w:rPr>
          <w:rFonts w:ascii="open_sansregular" w:hAnsi="open_sansregular"/>
          <w:color w:val="2F6473"/>
          <w:sz w:val="23"/>
          <w:szCs w:val="23"/>
          <w:lang w:val="en-GB"/>
        </w:rPr>
        <w:lastRenderedPageBreak/>
        <w:t>Read the </w:t>
      </w:r>
      <w:hyperlink r:id="rId5" w:tooltip="Report of the commission on the Measurement of Economic Performance and Social Progress" w:history="1">
        <w:r w:rsidRPr="007D29B9">
          <w:rPr>
            <w:rStyle w:val="Collegamentoipertestuale"/>
            <w:rFonts w:ascii="open_sansregular" w:hAnsi="open_sansregular"/>
            <w:color w:val="AC0033"/>
            <w:sz w:val="23"/>
            <w:szCs w:val="23"/>
            <w:u w:val="none"/>
            <w:lang w:val="en-GB"/>
          </w:rPr>
          <w:t>Report of the commission on the measurement of economic performance and social progress</w:t>
        </w:r>
      </w:hyperlink>
      <w:r w:rsidRPr="007D29B9">
        <w:rPr>
          <w:rFonts w:ascii="open_sansregular" w:hAnsi="open_sansregular"/>
          <w:color w:val="2F6473"/>
          <w:sz w:val="23"/>
          <w:szCs w:val="23"/>
          <w:lang w:val="en-GB"/>
        </w:rPr>
        <w:t>, available in the section Reading Material.</w:t>
      </w:r>
    </w:p>
    <w:p w:rsidR="007D29B9" w:rsidRPr="007D29B9" w:rsidRDefault="007D29B9" w:rsidP="007D29B9">
      <w:pPr>
        <w:pStyle w:val="NormaleWeb"/>
        <w:shd w:val="clear" w:color="auto" w:fill="DEF2F8"/>
        <w:spacing w:before="0" w:beforeAutospacing="0" w:after="120" w:afterAutospacing="0"/>
        <w:rPr>
          <w:rFonts w:ascii="open_sansregular" w:hAnsi="open_sansregular"/>
          <w:color w:val="2F6473"/>
          <w:sz w:val="23"/>
          <w:szCs w:val="23"/>
          <w:lang w:val="en-GB"/>
        </w:rPr>
      </w:pPr>
      <w:r w:rsidRPr="007D29B9">
        <w:rPr>
          <w:rFonts w:ascii="open_sansregular" w:hAnsi="open_sansregular"/>
          <w:color w:val="2F6473"/>
          <w:sz w:val="23"/>
          <w:szCs w:val="23"/>
          <w:lang w:val="en-GB"/>
        </w:rPr>
        <w:t>Please, discuss what are the classical issues associated to the GDP.</w:t>
      </w:r>
    </w:p>
    <w:p w:rsidR="007D29B9" w:rsidRDefault="00020EE0">
      <w:pPr>
        <w:rPr>
          <w:lang w:val="en-GB"/>
        </w:rPr>
      </w:pPr>
      <w:r>
        <w:rPr>
          <w:lang w:val="en-GB"/>
        </w:rPr>
        <w:t xml:space="preserve">GDP is the most common way of measuring economic activity and is often considered to be a good indicator of the wealth and well being of a nation as well as a measure of market production. However, this monetary method of measuring the wealth of a nation incurs some limitations: market prices may not reflect society’s actual preferences and some services lacking a price (e.g. free healthcare) may appear difficult to evaluate. Moreover, GDP is a quantitative measure: </w:t>
      </w:r>
      <w:r w:rsidRPr="00020EE0">
        <w:rPr>
          <w:b/>
          <w:lang w:val="en-GB"/>
        </w:rPr>
        <w:t>quality change</w:t>
      </w:r>
      <w:r>
        <w:rPr>
          <w:lang w:val="en-GB"/>
        </w:rPr>
        <w:t xml:space="preserve">, despite fundamental for evaluating well being, is a thorny issue for statisticians, who are challenged by the habit of online purchasing and by a rapid and ungraspable change in areas such as communication. Related to market prices is the issue of </w:t>
      </w:r>
      <w:r w:rsidRPr="00020EE0">
        <w:rPr>
          <w:b/>
          <w:lang w:val="en-GB"/>
        </w:rPr>
        <w:t>transparency</w:t>
      </w:r>
      <w:r>
        <w:rPr>
          <w:lang w:val="en-GB"/>
        </w:rPr>
        <w:t xml:space="preserve"> and price signals: consumers can evaluate goods and services only if they dispose of relevant information – unfortunately, this is not always the case and generates a further problem for the use of prices as quantitative measures in the calculation of GDP.</w:t>
      </w:r>
    </w:p>
    <w:p w:rsidR="00020EE0" w:rsidRDefault="00020EE0" w:rsidP="00155CF4">
      <w:pPr>
        <w:rPr>
          <w:rFonts w:cstheme="minorHAnsi"/>
          <w:b/>
          <w:lang w:val="en-US"/>
        </w:rPr>
      </w:pPr>
      <w:r>
        <w:rPr>
          <w:lang w:val="en-GB"/>
        </w:rPr>
        <w:t xml:space="preserve">As a result of these limitations Joseph </w:t>
      </w:r>
      <w:r w:rsidRPr="00020EE0">
        <w:rPr>
          <w:rFonts w:cstheme="minorHAnsi"/>
          <w:bCs/>
          <w:iCs/>
          <w:lang w:val="en-US"/>
        </w:rPr>
        <w:t xml:space="preserve">Stiglitz, a Nobel </w:t>
      </w:r>
      <w:proofErr w:type="gramStart"/>
      <w:r w:rsidRPr="00020EE0">
        <w:rPr>
          <w:rFonts w:cstheme="minorHAnsi"/>
          <w:bCs/>
          <w:iCs/>
          <w:lang w:val="en-US"/>
        </w:rPr>
        <w:t>prize</w:t>
      </w:r>
      <w:proofErr w:type="gramEnd"/>
      <w:r w:rsidRPr="00020EE0">
        <w:rPr>
          <w:rFonts w:cstheme="minorHAnsi"/>
          <w:bCs/>
          <w:iCs/>
          <w:lang w:val="en-US"/>
        </w:rPr>
        <w:t xml:space="preserve"> economists, worked on a project called </w:t>
      </w:r>
      <w:r w:rsidRPr="00020EE0">
        <w:rPr>
          <w:rFonts w:cstheme="minorHAnsi"/>
          <w:bCs/>
          <w:i/>
          <w:iCs/>
          <w:lang w:val="en-US"/>
        </w:rPr>
        <w:t>beyond GDP</w:t>
      </w:r>
      <w:r w:rsidRPr="00020EE0">
        <w:rPr>
          <w:rFonts w:cstheme="minorHAnsi"/>
          <w:bCs/>
          <w:iCs/>
          <w:lang w:val="en-US"/>
        </w:rPr>
        <w:t xml:space="preserve">, focused on the fact that GDP </w:t>
      </w:r>
      <w:r w:rsidRPr="00020EE0">
        <w:rPr>
          <w:rFonts w:cstheme="minorHAnsi"/>
          <w:lang w:val="en-GB"/>
        </w:rPr>
        <w:t xml:space="preserve">may be an imprecise way to measure the wealth of a nation. According to Stiglitz, other factors such as sustainability, human capital and environmental resources should be taken into account; in his project, he introduced a </w:t>
      </w:r>
      <w:r w:rsidRPr="00020EE0">
        <w:rPr>
          <w:rFonts w:cstheme="minorHAnsi"/>
          <w:b/>
          <w:lang w:val="en-GB"/>
        </w:rPr>
        <w:t>Human Development Index</w:t>
      </w:r>
      <w:r w:rsidRPr="00020EE0">
        <w:rPr>
          <w:rFonts w:cstheme="minorHAnsi"/>
          <w:lang w:val="en-GB"/>
        </w:rPr>
        <w:t xml:space="preserve"> that emphasizes that outcomes for people and their capabilities should be the ultimate criteria for assessing the progress of a country as well as economic growth and monetary components. The HDI accounts for average achievements in three main dimensions:</w:t>
      </w:r>
      <w:r w:rsidR="00155CF4">
        <w:rPr>
          <w:rFonts w:cstheme="minorHAnsi"/>
          <w:lang w:val="en-GB"/>
        </w:rPr>
        <w:t xml:space="preserve"> </w:t>
      </w:r>
      <w:r w:rsidR="00155CF4" w:rsidRPr="00155CF4">
        <w:rPr>
          <w:rFonts w:cstheme="minorHAnsi"/>
          <w:b/>
          <w:lang w:val="en-GB"/>
        </w:rPr>
        <w:t>h</w:t>
      </w:r>
      <w:proofErr w:type="spellStart"/>
      <w:r w:rsidRPr="00155CF4">
        <w:rPr>
          <w:rFonts w:cstheme="minorHAnsi"/>
          <w:b/>
          <w:lang w:val="en-US"/>
        </w:rPr>
        <w:t>ealth</w:t>
      </w:r>
      <w:proofErr w:type="spellEnd"/>
      <w:r w:rsidR="00155CF4">
        <w:rPr>
          <w:rFonts w:cstheme="minorHAnsi"/>
          <w:b/>
          <w:lang w:val="en-US"/>
        </w:rPr>
        <w:t xml:space="preserve">, </w:t>
      </w:r>
      <w:r w:rsidR="00155CF4" w:rsidRPr="00155CF4">
        <w:rPr>
          <w:rFonts w:cstheme="minorHAnsi"/>
          <w:b/>
          <w:lang w:val="en-GB"/>
        </w:rPr>
        <w:t>e</w:t>
      </w:r>
      <w:proofErr w:type="spellStart"/>
      <w:r w:rsidRPr="00155CF4">
        <w:rPr>
          <w:rFonts w:cstheme="minorHAnsi"/>
          <w:b/>
          <w:lang w:val="en-US"/>
        </w:rPr>
        <w:t>ducation</w:t>
      </w:r>
      <w:proofErr w:type="spellEnd"/>
      <w:r w:rsidR="00155CF4">
        <w:rPr>
          <w:rFonts w:cstheme="minorHAnsi"/>
          <w:b/>
          <w:lang w:val="en-US"/>
        </w:rPr>
        <w:t xml:space="preserve"> </w:t>
      </w:r>
      <w:r w:rsidR="00155CF4" w:rsidRPr="00155CF4">
        <w:rPr>
          <w:rFonts w:cstheme="minorHAnsi"/>
          <w:lang w:val="en-US"/>
        </w:rPr>
        <w:t>and</w:t>
      </w:r>
      <w:r w:rsidR="00155CF4">
        <w:rPr>
          <w:rFonts w:cstheme="minorHAnsi"/>
          <w:b/>
          <w:lang w:val="en-US"/>
        </w:rPr>
        <w:t xml:space="preserve"> </w:t>
      </w:r>
      <w:proofErr w:type="spellStart"/>
      <w:r w:rsidR="00155CF4" w:rsidRPr="00155CF4">
        <w:rPr>
          <w:rFonts w:cstheme="minorHAnsi"/>
          <w:b/>
          <w:lang w:val="en-GB"/>
        </w:rPr>
        <w:t>i</w:t>
      </w:r>
      <w:r w:rsidRPr="00155CF4">
        <w:rPr>
          <w:rFonts w:cstheme="minorHAnsi"/>
          <w:b/>
          <w:lang w:val="en-US"/>
        </w:rPr>
        <w:t>ncome</w:t>
      </w:r>
      <w:proofErr w:type="spellEnd"/>
      <w:r w:rsidRPr="00155CF4">
        <w:rPr>
          <w:rFonts w:cstheme="minorHAnsi"/>
          <w:b/>
          <w:lang w:val="en-US"/>
        </w:rPr>
        <w:t xml:space="preserve"> per capita</w:t>
      </w:r>
      <w:r w:rsidR="00155CF4">
        <w:rPr>
          <w:rFonts w:cstheme="minorHAnsi"/>
          <w:b/>
          <w:lang w:val="en-US"/>
        </w:rPr>
        <w:t>.</w:t>
      </w:r>
    </w:p>
    <w:p w:rsidR="00155CF4" w:rsidRDefault="00155CF4" w:rsidP="00155CF4">
      <w:pPr>
        <w:rPr>
          <w:rFonts w:cstheme="minorHAnsi"/>
          <w:lang w:val="en-US"/>
        </w:rPr>
      </w:pPr>
      <w:proofErr w:type="spellStart"/>
      <w:r>
        <w:rPr>
          <w:rFonts w:cstheme="minorHAnsi"/>
          <w:lang w:val="en-US"/>
        </w:rPr>
        <w:t>Stiglitz’s</w:t>
      </w:r>
      <w:proofErr w:type="spellEnd"/>
      <w:r>
        <w:rPr>
          <w:rFonts w:cstheme="minorHAnsi"/>
          <w:lang w:val="en-US"/>
        </w:rPr>
        <w:t xml:space="preserve"> study suggests five ways of dealing with the limitations of GDP and shaping policies avoiding misleading data:</w:t>
      </w:r>
    </w:p>
    <w:p w:rsidR="00155CF4" w:rsidRPr="00155CF4" w:rsidRDefault="00155CF4" w:rsidP="00155CF4">
      <w:pPr>
        <w:pStyle w:val="Paragrafoelenco"/>
        <w:numPr>
          <w:ilvl w:val="0"/>
          <w:numId w:val="7"/>
        </w:numPr>
        <w:rPr>
          <w:rFonts w:cstheme="minorHAnsi"/>
          <w:lang w:val="en-GB"/>
        </w:rPr>
      </w:pPr>
      <w:r>
        <w:rPr>
          <w:rFonts w:cstheme="minorHAnsi"/>
          <w:lang w:val="en-US"/>
        </w:rPr>
        <w:t xml:space="preserve">Taking into account </w:t>
      </w:r>
      <w:r w:rsidRPr="00BD1EF1">
        <w:rPr>
          <w:rFonts w:cstheme="minorHAnsi"/>
          <w:b/>
          <w:lang w:val="en-US"/>
        </w:rPr>
        <w:t>indicators different from GDP</w:t>
      </w:r>
      <w:r>
        <w:rPr>
          <w:rFonts w:cstheme="minorHAnsi"/>
          <w:lang w:val="en-US"/>
        </w:rPr>
        <w:t xml:space="preserve"> in national accounts.</w:t>
      </w:r>
      <w:r w:rsidR="00BD1EF1">
        <w:rPr>
          <w:rFonts w:cstheme="minorHAnsi"/>
          <w:lang w:val="en-US"/>
        </w:rPr>
        <w:t xml:space="preserve"> In particular, net rather than gross measures should be introduced, taking into account the depreciation of capital goods. Environmental degradation should also be included in measurements of economic activity and households – sending money abroad and receiving money from abroad – should play an important role in the calculation of net national disposable income. Finally, the price of imports and exports may vary greatly and this variation should be taken into account when evaluating living standards.</w:t>
      </w:r>
    </w:p>
    <w:p w:rsidR="00155CF4" w:rsidRDefault="00155CF4" w:rsidP="00155CF4">
      <w:pPr>
        <w:pStyle w:val="Paragrafoelenco"/>
        <w:numPr>
          <w:ilvl w:val="0"/>
          <w:numId w:val="7"/>
        </w:numPr>
        <w:rPr>
          <w:rFonts w:cstheme="minorHAnsi"/>
          <w:lang w:val="en-GB"/>
        </w:rPr>
      </w:pPr>
      <w:r>
        <w:rPr>
          <w:rFonts w:cstheme="minorHAnsi"/>
          <w:lang w:val="en-GB"/>
        </w:rPr>
        <w:t xml:space="preserve">Improving </w:t>
      </w:r>
      <w:r w:rsidRPr="00BD1EF1">
        <w:rPr>
          <w:rFonts w:cstheme="minorHAnsi"/>
          <w:b/>
          <w:lang w:val="en-GB"/>
        </w:rPr>
        <w:t>empirical measurements</w:t>
      </w:r>
      <w:r>
        <w:rPr>
          <w:rFonts w:cstheme="minorHAnsi"/>
          <w:lang w:val="en-GB"/>
        </w:rPr>
        <w:t xml:space="preserve"> of production activities, including qualitative data.</w:t>
      </w:r>
      <w:r w:rsidR="00BD1EF1">
        <w:rPr>
          <w:rFonts w:cstheme="minorHAnsi"/>
          <w:lang w:val="en-GB"/>
        </w:rPr>
        <w:t xml:space="preserve"> </w:t>
      </w:r>
      <w:r w:rsidR="00BD1EF1" w:rsidRPr="00BD1EF1">
        <w:rPr>
          <w:rFonts w:cstheme="minorHAnsi"/>
          <w:b/>
          <w:lang w:val="en-GB"/>
        </w:rPr>
        <w:t>Services</w:t>
      </w:r>
      <w:r w:rsidR="00BD1EF1">
        <w:rPr>
          <w:rFonts w:cstheme="minorHAnsi"/>
          <w:lang w:val="en-GB"/>
        </w:rPr>
        <w:t xml:space="preserve"> are usually more complicated to evaluate than goods, since the volume of sales cannot be applied to this kind of activity. Qualitative measures are often left aside, overlooking also important factors such as health and education.</w:t>
      </w:r>
      <w:r w:rsidR="00B43447">
        <w:rPr>
          <w:rFonts w:cstheme="minorHAnsi"/>
          <w:lang w:val="en-GB"/>
        </w:rPr>
        <w:t xml:space="preserve"> This opens the debate on the services provided by government, either collective or individual, measured basing on outputs rather than inputs and ignoring any potential growth.</w:t>
      </w:r>
    </w:p>
    <w:p w:rsidR="00155CF4" w:rsidRDefault="00155CF4" w:rsidP="00155CF4">
      <w:pPr>
        <w:pStyle w:val="Paragrafoelenco"/>
        <w:numPr>
          <w:ilvl w:val="0"/>
          <w:numId w:val="7"/>
        </w:numPr>
        <w:rPr>
          <w:rFonts w:cstheme="minorHAnsi"/>
          <w:lang w:val="en-GB"/>
        </w:rPr>
      </w:pPr>
      <w:r>
        <w:rPr>
          <w:rFonts w:cstheme="minorHAnsi"/>
          <w:lang w:val="en-GB"/>
        </w:rPr>
        <w:t>Evaluating</w:t>
      </w:r>
      <w:r w:rsidRPr="00BD1EF1">
        <w:rPr>
          <w:rFonts w:cstheme="minorHAnsi"/>
          <w:b/>
          <w:lang w:val="en-GB"/>
        </w:rPr>
        <w:t xml:space="preserve"> living standards</w:t>
      </w:r>
      <w:r>
        <w:rPr>
          <w:rFonts w:cstheme="minorHAnsi"/>
          <w:lang w:val="en-GB"/>
        </w:rPr>
        <w:t xml:space="preserve"> under the more reliable </w:t>
      </w:r>
      <w:r w:rsidRPr="00BD1EF1">
        <w:rPr>
          <w:rFonts w:cstheme="minorHAnsi"/>
          <w:b/>
          <w:lang w:val="en-GB"/>
        </w:rPr>
        <w:t>households’ perspective</w:t>
      </w:r>
      <w:r>
        <w:rPr>
          <w:rFonts w:cstheme="minorHAnsi"/>
          <w:lang w:val="en-GB"/>
        </w:rPr>
        <w:t>.</w:t>
      </w:r>
      <w:r w:rsidR="00BD1EF1">
        <w:rPr>
          <w:rFonts w:cstheme="minorHAnsi"/>
          <w:lang w:val="en-GB"/>
        </w:rPr>
        <w:t xml:space="preserve"> </w:t>
      </w:r>
      <w:r w:rsidR="00B43447">
        <w:rPr>
          <w:rFonts w:cstheme="minorHAnsi"/>
          <w:lang w:val="en-GB"/>
        </w:rPr>
        <w:t>The analysis of expenditure should take into account the so-called “defensive expenditures”, namely those who are not a direct source of utility but are necessary inputs for final utility-providing activities. Any collective expenditure of government would automatically be excluded from household consumption and expenditures devoted to health or environment would be considered investments rather than final consumption.</w:t>
      </w:r>
    </w:p>
    <w:p w:rsidR="00973105" w:rsidRDefault="00155CF4" w:rsidP="00973105">
      <w:pPr>
        <w:pStyle w:val="Paragrafoelenco"/>
        <w:numPr>
          <w:ilvl w:val="0"/>
          <w:numId w:val="7"/>
        </w:numPr>
        <w:rPr>
          <w:rFonts w:cstheme="minorHAnsi"/>
          <w:lang w:val="en-GB"/>
        </w:rPr>
      </w:pPr>
      <w:r>
        <w:rPr>
          <w:rFonts w:cstheme="minorHAnsi"/>
          <w:lang w:val="en-GB"/>
        </w:rPr>
        <w:t xml:space="preserve">Considering the </w:t>
      </w:r>
      <w:r w:rsidRPr="00BD1EF1">
        <w:rPr>
          <w:rFonts w:cstheme="minorHAnsi"/>
          <w:b/>
          <w:lang w:val="en-GB"/>
        </w:rPr>
        <w:t>distribution of income, wealth and consumption</w:t>
      </w:r>
      <w:r>
        <w:rPr>
          <w:rFonts w:cstheme="minorHAnsi"/>
          <w:lang w:val="en-GB"/>
        </w:rPr>
        <w:t xml:space="preserve"> in the analysis.</w:t>
      </w:r>
      <w:r w:rsidR="00B43447">
        <w:rPr>
          <w:rFonts w:cstheme="minorHAnsi"/>
          <w:lang w:val="en-GB"/>
        </w:rPr>
        <w:t xml:space="preserve"> </w:t>
      </w:r>
      <w:r w:rsidR="00405AEB">
        <w:rPr>
          <w:rFonts w:cstheme="minorHAnsi"/>
          <w:lang w:val="en-GB"/>
        </w:rPr>
        <w:t>W</w:t>
      </w:r>
      <w:r w:rsidR="00B43447">
        <w:rPr>
          <w:rFonts w:cstheme="minorHAnsi"/>
          <w:lang w:val="en-GB"/>
        </w:rPr>
        <w:t>ealth may be an important indicator o</w:t>
      </w:r>
      <w:r w:rsidR="00405AEB">
        <w:rPr>
          <w:rFonts w:cstheme="minorHAnsi"/>
          <w:lang w:val="en-GB"/>
        </w:rPr>
        <w:t>f sustainability in consumption and the evaluation of assets may be a difficult and often overlooked issue.</w:t>
      </w:r>
    </w:p>
    <w:p w:rsidR="00020EE0" w:rsidRPr="00973105" w:rsidRDefault="00155CF4" w:rsidP="00973105">
      <w:pPr>
        <w:pStyle w:val="Paragrafoelenco"/>
        <w:numPr>
          <w:ilvl w:val="0"/>
          <w:numId w:val="7"/>
        </w:numPr>
        <w:rPr>
          <w:rFonts w:cstheme="minorHAnsi"/>
          <w:lang w:val="en-GB"/>
        </w:rPr>
      </w:pPr>
      <w:r w:rsidRPr="00973105">
        <w:rPr>
          <w:rFonts w:cstheme="minorHAnsi"/>
          <w:lang w:val="en-GB"/>
        </w:rPr>
        <w:lastRenderedPageBreak/>
        <w:t xml:space="preserve">Taking into account the </w:t>
      </w:r>
      <w:r w:rsidRPr="00973105">
        <w:rPr>
          <w:rFonts w:cstheme="minorHAnsi"/>
          <w:b/>
          <w:lang w:val="en-GB"/>
        </w:rPr>
        <w:t>economic activity</w:t>
      </w:r>
      <w:r w:rsidRPr="00973105">
        <w:rPr>
          <w:rFonts w:cstheme="minorHAnsi"/>
          <w:lang w:val="en-GB"/>
        </w:rPr>
        <w:t xml:space="preserve"> that occurs </w:t>
      </w:r>
      <w:r w:rsidRPr="00973105">
        <w:rPr>
          <w:rFonts w:cstheme="minorHAnsi"/>
          <w:b/>
          <w:lang w:val="en-GB"/>
        </w:rPr>
        <w:t>outside markets</w:t>
      </w:r>
      <w:r w:rsidRPr="00973105">
        <w:rPr>
          <w:rFonts w:cstheme="minorHAnsi"/>
          <w:lang w:val="en-GB"/>
        </w:rPr>
        <w:t xml:space="preserve"> and is overlooked by national accounts. </w:t>
      </w:r>
      <w:r w:rsidR="00405AEB" w:rsidRPr="00973105">
        <w:rPr>
          <w:rFonts w:ascii="Times New Roman" w:hAnsi="Times New Roman" w:cs="Times New Roman"/>
          <w:lang w:val="en-GB"/>
        </w:rPr>
        <w:t>Many services which used to be provided by households are now on stock in the markets and this. translates into an apparent increase in income and in a false improvement of living standard. However, this is only a shift from non-market to market distribution of services: some services provided domestically are excluded by national accounts despite representing a noticeable factor for determining living standards.</w:t>
      </w:r>
      <w:r w:rsidR="00973105">
        <w:rPr>
          <w:rFonts w:ascii="Times New Roman" w:hAnsi="Times New Roman" w:cs="Times New Roman"/>
          <w:lang w:val="en-GB"/>
        </w:rPr>
        <w:t xml:space="preserve"> </w:t>
      </w:r>
      <w:r w:rsidR="00405AEB" w:rsidRPr="00973105">
        <w:rPr>
          <w:rFonts w:ascii="Times New Roman" w:hAnsi="Times New Roman" w:cs="Times New Roman"/>
          <w:lang w:val="en-GB"/>
        </w:rPr>
        <w:t>Therefore, detailed and periodic accounts of household activity as should be included in the analysis.</w:t>
      </w:r>
    </w:p>
    <w:p w:rsidR="007D29B9" w:rsidRPr="00020EE0" w:rsidRDefault="007D29B9">
      <w:pPr>
        <w:rPr>
          <w:rFonts w:cstheme="minorHAnsi"/>
          <w:sz w:val="14"/>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7D29B9" w:rsidRDefault="007D29B9">
      <w:pPr>
        <w:rPr>
          <w:lang w:val="en-GB"/>
        </w:rPr>
      </w:pPr>
    </w:p>
    <w:p w:rsidR="00DC4767" w:rsidRPr="00DC4767" w:rsidRDefault="00DC4767" w:rsidP="00DC4767">
      <w:pPr>
        <w:pStyle w:val="NormaleWeb"/>
        <w:shd w:val="clear" w:color="auto" w:fill="DEF2F8"/>
        <w:spacing w:before="0" w:beforeAutospacing="0" w:after="120" w:afterAutospacing="0"/>
        <w:rPr>
          <w:rFonts w:ascii="open_sansregular" w:hAnsi="open_sansregular"/>
          <w:color w:val="2F6473"/>
          <w:sz w:val="23"/>
          <w:szCs w:val="23"/>
          <w:lang w:val="en-GB"/>
        </w:rPr>
      </w:pPr>
      <w:r w:rsidRPr="00DC4767">
        <w:rPr>
          <w:rFonts w:ascii="open_sansregular" w:hAnsi="open_sansregular"/>
          <w:color w:val="2F6473"/>
          <w:sz w:val="23"/>
          <w:szCs w:val="23"/>
          <w:lang w:val="en-GB"/>
        </w:rPr>
        <w:lastRenderedPageBreak/>
        <w:t>Boris Borrower and Lynn Lender agree that Lynn will lend Boris $10,000 and that Boris will repay the $10,000 with interest in one year. They agree to a nominal interest rate of 8%, reflecting a real interest rate of 3% on the loan and a commonly shared expected inflation rate of 5% over the next year.</w:t>
      </w:r>
    </w:p>
    <w:p w:rsidR="00DC4767" w:rsidRPr="00DC4767" w:rsidRDefault="00DC4767" w:rsidP="00DC4767">
      <w:pPr>
        <w:pStyle w:val="NormaleWeb"/>
        <w:shd w:val="clear" w:color="auto" w:fill="DEF2F8"/>
        <w:spacing w:before="0" w:beforeAutospacing="0" w:after="120" w:afterAutospacing="0"/>
        <w:rPr>
          <w:rFonts w:ascii="open_sansregular" w:hAnsi="open_sansregular"/>
          <w:color w:val="2F6473"/>
          <w:sz w:val="23"/>
          <w:szCs w:val="23"/>
          <w:lang w:val="en-GB"/>
        </w:rPr>
      </w:pPr>
      <w:r w:rsidRPr="00DC4767">
        <w:rPr>
          <w:rFonts w:ascii="open_sansregular" w:hAnsi="open_sansregular"/>
          <w:color w:val="2F6473"/>
          <w:sz w:val="23"/>
          <w:szCs w:val="23"/>
          <w:lang w:val="en-GB"/>
        </w:rPr>
        <w:t>a)      If the inflation rate is actually 4% over the next year, how does that lower-than-expected inflation rate affect Boris and Lynn? Who is better off?</w:t>
      </w:r>
    </w:p>
    <w:p w:rsidR="00DC4767" w:rsidRDefault="00DC4767" w:rsidP="00DC4767">
      <w:pPr>
        <w:pStyle w:val="NormaleWeb"/>
        <w:shd w:val="clear" w:color="auto" w:fill="DEF2F8"/>
        <w:spacing w:before="0" w:beforeAutospacing="0" w:after="120" w:afterAutospacing="0"/>
        <w:rPr>
          <w:rFonts w:ascii="open_sansregular" w:hAnsi="open_sansregular"/>
          <w:color w:val="2F6473"/>
          <w:sz w:val="23"/>
          <w:szCs w:val="23"/>
        </w:rPr>
      </w:pPr>
      <w:r w:rsidRPr="00DC4767">
        <w:rPr>
          <w:rFonts w:ascii="open_sansregular" w:hAnsi="open_sansregular"/>
          <w:color w:val="2F6473"/>
          <w:sz w:val="23"/>
          <w:szCs w:val="23"/>
          <w:lang w:val="en-GB"/>
        </w:rPr>
        <w:t xml:space="preserve">b)      If the actual inflation rate is 7% over the next year, how does that affect Boris and Lynn? </w:t>
      </w:r>
      <w:proofErr w:type="spellStart"/>
      <w:r>
        <w:rPr>
          <w:rFonts w:ascii="open_sansregular" w:hAnsi="open_sansregular"/>
          <w:color w:val="2F6473"/>
          <w:sz w:val="23"/>
          <w:szCs w:val="23"/>
        </w:rPr>
        <w:t>Who</w:t>
      </w:r>
      <w:proofErr w:type="spellEnd"/>
      <w:r>
        <w:rPr>
          <w:rFonts w:ascii="open_sansregular" w:hAnsi="open_sansregular"/>
          <w:color w:val="2F6473"/>
          <w:sz w:val="23"/>
          <w:szCs w:val="23"/>
        </w:rPr>
        <w:t xml:space="preserve"> </w:t>
      </w:r>
      <w:proofErr w:type="spellStart"/>
      <w:r>
        <w:rPr>
          <w:rFonts w:ascii="open_sansregular" w:hAnsi="open_sansregular"/>
          <w:color w:val="2F6473"/>
          <w:sz w:val="23"/>
          <w:szCs w:val="23"/>
        </w:rPr>
        <w:t>is</w:t>
      </w:r>
      <w:proofErr w:type="spellEnd"/>
      <w:r>
        <w:rPr>
          <w:rFonts w:ascii="open_sansregular" w:hAnsi="open_sansregular"/>
          <w:color w:val="2F6473"/>
          <w:sz w:val="23"/>
          <w:szCs w:val="23"/>
        </w:rPr>
        <w:t xml:space="preserve"> </w:t>
      </w:r>
      <w:proofErr w:type="spellStart"/>
      <w:r>
        <w:rPr>
          <w:rFonts w:ascii="open_sansregular" w:hAnsi="open_sansregular"/>
          <w:color w:val="2F6473"/>
          <w:sz w:val="23"/>
          <w:szCs w:val="23"/>
        </w:rPr>
        <w:t>better</w:t>
      </w:r>
      <w:proofErr w:type="spellEnd"/>
      <w:r>
        <w:rPr>
          <w:rFonts w:ascii="open_sansregular" w:hAnsi="open_sansregular"/>
          <w:color w:val="2F6473"/>
          <w:sz w:val="23"/>
          <w:szCs w:val="23"/>
        </w:rPr>
        <w:t xml:space="preserve"> off?</w:t>
      </w:r>
    </w:p>
    <w:p w:rsidR="00DC4767" w:rsidRDefault="00362283" w:rsidP="00362283">
      <w:pPr>
        <w:pStyle w:val="Paragrafoelenco"/>
        <w:numPr>
          <w:ilvl w:val="0"/>
          <w:numId w:val="5"/>
        </w:numPr>
        <w:rPr>
          <w:lang w:val="en-GB"/>
        </w:rPr>
      </w:pPr>
      <w:r>
        <w:rPr>
          <w:lang w:val="en-GB"/>
        </w:rPr>
        <w:t>When making an agreement, the two parts usually base it on nominal interest rate and the expected value of inflation rate. In this case, if inflation rate is actually lower than expected, then the interest rate will be 8 – 4 = 4%, so Boris Borrower will have to pay a higher interest rate. Lynn Lender will be better off, since he will receive a higher interest rate paid with funds that have a higher real value than expected.</w:t>
      </w:r>
    </w:p>
    <w:p w:rsidR="00362283" w:rsidRPr="00362283" w:rsidRDefault="00362283" w:rsidP="00362283">
      <w:pPr>
        <w:pStyle w:val="Paragrafoelenco"/>
        <w:numPr>
          <w:ilvl w:val="0"/>
          <w:numId w:val="5"/>
        </w:numPr>
        <w:rPr>
          <w:lang w:val="en-GB"/>
        </w:rPr>
      </w:pPr>
      <w:r>
        <w:rPr>
          <w:lang w:val="en-GB"/>
        </w:rPr>
        <w:t>If the actual inflation rate is higher, then Boris Borrower will have to pay 8 – 7 = 1% of interest rate. This way, Borrower will be better off because he will have to repay a lower interest rate with funds that have less real value than expected when making the agreement.</w:t>
      </w:r>
    </w:p>
    <w:sectPr w:rsidR="00362283" w:rsidRPr="00362283" w:rsidSect="00947A2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62A5"/>
    <w:multiLevelType w:val="hybridMultilevel"/>
    <w:tmpl w:val="19844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886ADE"/>
    <w:multiLevelType w:val="hybridMultilevel"/>
    <w:tmpl w:val="11DEF49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AD3559A"/>
    <w:multiLevelType w:val="hybridMultilevel"/>
    <w:tmpl w:val="616871A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2EB38E4"/>
    <w:multiLevelType w:val="hybridMultilevel"/>
    <w:tmpl w:val="93EE85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CAC52AE"/>
    <w:multiLevelType w:val="hybridMultilevel"/>
    <w:tmpl w:val="42AAE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3D516CA"/>
    <w:multiLevelType w:val="hybridMultilevel"/>
    <w:tmpl w:val="F1063CE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7FF5D33"/>
    <w:multiLevelType w:val="hybridMultilevel"/>
    <w:tmpl w:val="89AAC790"/>
    <w:lvl w:ilvl="0" w:tplc="C138200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E7072F5"/>
    <w:multiLevelType w:val="hybridMultilevel"/>
    <w:tmpl w:val="93EE85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DC4767"/>
    <w:rsid w:val="00020EE0"/>
    <w:rsid w:val="00051861"/>
    <w:rsid w:val="00155CF4"/>
    <w:rsid w:val="00362283"/>
    <w:rsid w:val="00405AEB"/>
    <w:rsid w:val="00475422"/>
    <w:rsid w:val="006A1E6D"/>
    <w:rsid w:val="007357CE"/>
    <w:rsid w:val="007D29B9"/>
    <w:rsid w:val="00816190"/>
    <w:rsid w:val="00937499"/>
    <w:rsid w:val="00947A28"/>
    <w:rsid w:val="00973105"/>
    <w:rsid w:val="009C6C86"/>
    <w:rsid w:val="00B358DA"/>
    <w:rsid w:val="00B43447"/>
    <w:rsid w:val="00BD1EF1"/>
    <w:rsid w:val="00D776B8"/>
    <w:rsid w:val="00DC4767"/>
    <w:rsid w:val="00DC6309"/>
    <w:rsid w:val="00E21EF5"/>
    <w:rsid w:val="00EE2F3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47A28"/>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C476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D29B9"/>
    <w:rPr>
      <w:color w:val="0000FF"/>
      <w:u w:val="single"/>
    </w:rPr>
  </w:style>
  <w:style w:type="paragraph" w:styleId="Paragrafoelenco">
    <w:name w:val="List Paragraph"/>
    <w:basedOn w:val="Normale"/>
    <w:uiPriority w:val="34"/>
    <w:qFormat/>
    <w:rsid w:val="009C6C86"/>
    <w:pPr>
      <w:ind w:left="720"/>
      <w:contextualSpacing/>
    </w:pPr>
  </w:style>
  <w:style w:type="table" w:styleId="Grigliatabella">
    <w:name w:val="Table Grid"/>
    <w:basedOn w:val="Tabellanormale"/>
    <w:uiPriority w:val="59"/>
    <w:rsid w:val="00D77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254406">
      <w:bodyDiv w:val="1"/>
      <w:marLeft w:val="0"/>
      <w:marRight w:val="0"/>
      <w:marTop w:val="0"/>
      <w:marBottom w:val="0"/>
      <w:divBdr>
        <w:top w:val="none" w:sz="0" w:space="0" w:color="auto"/>
        <w:left w:val="none" w:sz="0" w:space="0" w:color="auto"/>
        <w:bottom w:val="none" w:sz="0" w:space="0" w:color="auto"/>
        <w:right w:val="none" w:sz="0" w:space="0" w:color="auto"/>
      </w:divBdr>
    </w:div>
    <w:div w:id="1452868969">
      <w:bodyDiv w:val="1"/>
      <w:marLeft w:val="0"/>
      <w:marRight w:val="0"/>
      <w:marTop w:val="0"/>
      <w:marBottom w:val="0"/>
      <w:divBdr>
        <w:top w:val="none" w:sz="0" w:space="0" w:color="auto"/>
        <w:left w:val="none" w:sz="0" w:space="0" w:color="auto"/>
        <w:bottom w:val="none" w:sz="0" w:space="0" w:color="auto"/>
        <w:right w:val="none" w:sz="0" w:space="0" w:color="auto"/>
      </w:divBdr>
    </w:div>
    <w:div w:id="1781796051">
      <w:bodyDiv w:val="1"/>
      <w:marLeft w:val="0"/>
      <w:marRight w:val="0"/>
      <w:marTop w:val="0"/>
      <w:marBottom w:val="0"/>
      <w:divBdr>
        <w:top w:val="none" w:sz="0" w:space="0" w:color="auto"/>
        <w:left w:val="none" w:sz="0" w:space="0" w:color="auto"/>
        <w:bottom w:val="none" w:sz="0" w:space="0" w:color="auto"/>
        <w:right w:val="none" w:sz="0" w:space="0" w:color="auto"/>
      </w:divBdr>
    </w:div>
    <w:div w:id="19896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odle.unive.it/mod/resource/view.php?id=101151"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1519</Words>
  <Characters>8662</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9</cp:revision>
  <dcterms:created xsi:type="dcterms:W3CDTF">2019-04-17T09:29:00Z</dcterms:created>
  <dcterms:modified xsi:type="dcterms:W3CDTF">2019-04-23T16:03:00Z</dcterms:modified>
</cp:coreProperties>
</file>