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AI-Enabled SDLC Product Definition and Pod Readiness, Onsite 1 to 2 Day Plan</w:t>
      </w:r>
    </w:p>
    <w:p>
      <w:pPr>
        <w:pStyle w:val="Heading1"/>
      </w:pPr>
      <w:r>
        <w:t>Intent</w:t>
      </w:r>
    </w:p>
    <w:p>
      <w:r>
        <w:t>This is the super-aggressive onsite version. The onsite is the forcing function. We are not trying to perfect the SDLC or create a broad engineering framework. We are creating a usable first pass for how Product defines the work, how Engineering and Architecture validate readiness, and how a pod starts execution with enough clarity to move fast without guessing.</w:t>
      </w:r>
    </w:p>
    <w:p>
      <w:r>
        <w:t>This is primarily a product-process improvement. Engineering participates as a validation and readiness partner, not as a substitute for Product definition.</w:t>
      </w:r>
    </w:p>
    <w:p>
      <w:pPr>
        <w:pStyle w:val="ListBullet"/>
      </w:pPr>
      <w:r>
        <w:t>Target duration: 1 day if the artifacts are already close, 2 days max</w:t>
      </w:r>
    </w:p>
    <w:p>
      <w:pPr>
        <w:pStyle w:val="ListBullet"/>
      </w:pPr>
      <w:r>
        <w:t>Target use case: Telehealth</w:t>
      </w:r>
    </w:p>
    <w:p>
      <w:pPr>
        <w:pStyle w:val="ListBullet"/>
      </w:pPr>
      <w:r>
        <w:t>Primary constraint: use existing tools and the least-friction path</w:t>
      </w:r>
    </w:p>
    <w:p>
      <w:pPr>
        <w:pStyle w:val="ListBullet"/>
      </w:pPr>
      <w:r>
        <w:t>Output: a v1 product-to-pod readiness process and artifact pack that is better than what we have today</w:t>
      </w:r>
    </w:p>
    <w:p>
      <w:pPr>
        <w:pStyle w:val="Heading1"/>
      </w:pPr>
      <w:r>
        <w:t>Command intent</w:t>
      </w:r>
    </w:p>
    <w:p>
      <w:pPr>
        <w:pStyle w:val="ListBullet"/>
      </w:pPr>
      <w:r>
        <w:t>Produce the minimum viable product artifacts required before development starts.</w:t>
      </w:r>
    </w:p>
    <w:p>
      <w:pPr>
        <w:pStyle w:val="ListBullet"/>
      </w:pPr>
      <w:r>
        <w:t>Validate whether Engineering and Architecture can understand the work without extra verbal context.</w:t>
      </w:r>
    </w:p>
    <w:p>
      <w:pPr>
        <w:pStyle w:val="ListBullet"/>
      </w:pPr>
      <w:r>
        <w:t>Identify gaps in the Product definition before the pod starts execution.</w:t>
      </w:r>
    </w:p>
    <w:p>
      <w:pPr>
        <w:pStyle w:val="ListBullet"/>
      </w:pPr>
      <w:r>
        <w:t>Create a repeatable first-pass process for future AI-enabled pods.</w:t>
      </w:r>
    </w:p>
    <w:p>
      <w:pPr>
        <w:pStyle w:val="ListBullet"/>
      </w:pPr>
      <w:r>
        <w:t>Avoid process theater. We are optimizing for clarity, speed, quality, and aligned outcomes.</w:t>
      </w:r>
    </w:p>
    <w:p>
      <w:pPr>
        <w:pStyle w:val="Heading1"/>
      </w:pPr>
      <w:r>
        <w:t>Onsite design</w:t>
      </w:r>
    </w:p>
    <w:p>
      <w:pPr>
        <w:pStyle w:val="Heading2"/>
      </w:pPr>
      <w:r>
        <w:t>Wednesday, Product definition working session</w:t>
      </w:r>
    </w:p>
    <w:p>
      <w:r>
        <w:t>Wednesday is a Product-focused working session. The purpose is to start from the existing Telehealth proposal and turn it into execution-ready product inputs.</w:t>
      </w:r>
    </w:p>
    <w:p>
      <w:r>
        <w:t>Wednesday is not for engineering solutioning. It is not for architecture design. It is not for debating tools.</w:t>
      </w:r>
    </w:p>
    <w:p>
      <w:r>
        <w:t>By the end of Wednesday, Product should have a clear artifact pack that represents the ticket to admission for Engineering validation.</w:t>
      </w:r>
    </w:p>
    <w:p>
      <w:r>
        <w:t>Expected participants:</w:t>
      </w:r>
    </w:p>
    <w:p>
      <w:pPr>
        <w:pStyle w:val="ListBullet"/>
      </w:pPr>
      <w:r>
        <w:t>Product owner or delegate for Telehealth</w:t>
      </w:r>
    </w:p>
    <w:p>
      <w:pPr>
        <w:pStyle w:val="ListBullet"/>
      </w:pPr>
      <w:r>
        <w:t>Lauren for Product process and artifact quality</w:t>
      </w:r>
    </w:p>
    <w:p>
      <w:pPr>
        <w:pStyle w:val="ListBullet"/>
      </w:pPr>
      <w:r>
        <w:t>Matt if onsite or available</w:t>
      </w:r>
    </w:p>
    <w:p>
      <w:pPr>
        <w:pStyle w:val="ListBullet"/>
      </w:pPr>
      <w:r>
        <w:t>Guillermo and Chris as process validators and future handoff partners</w:t>
      </w:r>
    </w:p>
    <w:p>
      <w:pPr>
        <w:pStyle w:val="ListBullet"/>
      </w:pPr>
      <w:r>
        <w:t>Kristin only if needed for standards or artifact structure</w:t>
      </w:r>
    </w:p>
    <w:p>
      <w:r>
        <w:t>Wednesday outputs:</w:t>
      </w:r>
    </w:p>
    <w:p>
      <w:pPr>
        <w:pStyle w:val="ListBullet"/>
      </w:pPr>
      <w:r>
        <w:t>Product outcome brief</w:t>
      </w:r>
    </w:p>
    <w:p>
      <w:pPr>
        <w:pStyle w:val="ListBullet"/>
      </w:pPr>
      <w:r>
        <w:t>PRD or MVP brief</w:t>
      </w:r>
    </w:p>
    <w:p>
      <w:pPr>
        <w:pStyle w:val="ListBullet"/>
      </w:pPr>
      <w:r>
        <w:t>User and clinic workflow summary</w:t>
      </w:r>
    </w:p>
    <w:p>
      <w:pPr>
        <w:pStyle w:val="ListBullet"/>
      </w:pPr>
      <w:r>
        <w:t>MVP scope and explicit exclusions</w:t>
      </w:r>
    </w:p>
    <w:p>
      <w:pPr>
        <w:pStyle w:val="ListBullet"/>
      </w:pPr>
      <w:r>
        <w:t>Success metrics and expected business or user outcome</w:t>
      </w:r>
    </w:p>
    <w:p>
      <w:pPr>
        <w:pStyle w:val="ListBullet"/>
      </w:pPr>
      <w:r>
        <w:t>Known assumptions, constraints, and open questions</w:t>
      </w:r>
    </w:p>
    <w:p>
      <w:pPr>
        <w:pStyle w:val="ListBullet"/>
      </w:pPr>
      <w:r>
        <w:t>Candidate execution slices, framed as product outcomes, not engineering tasks</w:t>
      </w:r>
    </w:p>
    <w:p>
      <w:pPr>
        <w:pStyle w:val="ListBullet"/>
      </w:pPr>
      <w:r>
        <w:t>Shared artifact location using the least-friction existing tool</w:t>
      </w:r>
    </w:p>
    <w:p>
      <w:pPr>
        <w:pStyle w:val="Heading2"/>
      </w:pPr>
      <w:r>
        <w:t>Thursday morning, Blind Engineering validation</w:t>
      </w:r>
    </w:p>
    <w:p>
      <w:r>
        <w:t>Thursday morning is a blind validation with Engineering and Architecture.</w:t>
      </w:r>
    </w:p>
    <w:p>
      <w:r>
        <w:t>Isaac and Andrew should receive the artifacts with minimal added context. The point is to test whether the written product outputs are strong enough for Engineering and Architecture to understand the work, identify what needs to be built, and surface the questions that remain.</w:t>
      </w:r>
    </w:p>
    <w:p>
      <w:r>
        <w:t>This is not a design review yet. It is an artifact quality test.</w:t>
      </w:r>
    </w:p>
    <w:p>
      <w:r>
        <w:t>Expected participants:</w:t>
      </w:r>
    </w:p>
    <w:p>
      <w:pPr>
        <w:pStyle w:val="ListBullet"/>
      </w:pPr>
      <w:r>
        <w:t>Isaac</w:t>
      </w:r>
    </w:p>
    <w:p>
      <w:pPr>
        <w:pStyle w:val="ListBullet"/>
      </w:pPr>
      <w:r>
        <w:t>Andrew, remote is acceptable</w:t>
      </w:r>
    </w:p>
    <w:p>
      <w:pPr>
        <w:pStyle w:val="ListBullet"/>
      </w:pPr>
      <w:r>
        <w:t>Guillermo</w:t>
      </w:r>
    </w:p>
    <w:p>
      <w:pPr>
        <w:pStyle w:val="ListBullet"/>
      </w:pPr>
      <w:r>
        <w:t>Chris</w:t>
      </w:r>
    </w:p>
    <w:p>
      <w:pPr>
        <w:pStyle w:val="ListBullet"/>
      </w:pPr>
      <w:r>
        <w:t>Product owner or delegate</w:t>
      </w:r>
    </w:p>
    <w:p>
      <w:pPr>
        <w:pStyle w:val="ListBullet"/>
      </w:pPr>
      <w:r>
        <w:t>Lauren, optional but recommended for observing gaps</w:t>
      </w:r>
    </w:p>
    <w:p>
      <w:r>
        <w:t>Thursday validation questions:</w:t>
      </w:r>
    </w:p>
    <w:p>
      <w:pPr>
        <w:pStyle w:val="ListBullet"/>
      </w:pPr>
      <w:r>
        <w:t>What do you believe we are building?</w:t>
      </w:r>
    </w:p>
    <w:p>
      <w:pPr>
        <w:pStyle w:val="ListBullet"/>
      </w:pPr>
      <w:r>
        <w:t>Why does it matter?</w:t>
      </w:r>
    </w:p>
    <w:p>
      <w:pPr>
        <w:pStyle w:val="ListBullet"/>
      </w:pPr>
      <w:r>
        <w:t>Who is the user or customer of the workflow?</w:t>
      </w:r>
    </w:p>
    <w:p>
      <w:pPr>
        <w:pStyle w:val="ListBullet"/>
      </w:pPr>
      <w:r>
        <w:t>What is in scope for MVP?</w:t>
      </w:r>
    </w:p>
    <w:p>
      <w:pPr>
        <w:pStyle w:val="ListBullet"/>
      </w:pPr>
      <w:r>
        <w:t>What is explicitly out of scope?</w:t>
      </w:r>
    </w:p>
    <w:p>
      <w:pPr>
        <w:pStyle w:val="ListBullet"/>
      </w:pPr>
      <w:r>
        <w:t>What systems or integrations are implicated?</w:t>
      </w:r>
    </w:p>
    <w:p>
      <w:pPr>
        <w:pStyle w:val="ListBullet"/>
      </w:pPr>
      <w:r>
        <w:t>What information is missing before solution design can begin?</w:t>
      </w:r>
    </w:p>
    <w:p>
      <w:pPr>
        <w:pStyle w:val="ListBullet"/>
      </w:pPr>
      <w:r>
        <w:t>What would you need before an AI agent or developer could safely act on this?</w:t>
      </w:r>
    </w:p>
    <w:p>
      <w:r>
        <w:t>Thursday outputs:</w:t>
      </w:r>
    </w:p>
    <w:p>
      <w:pPr>
        <w:pStyle w:val="ListBullet"/>
      </w:pPr>
      <w:r>
        <w:t>Validation scorecard</w:t>
      </w:r>
    </w:p>
    <w:p>
      <w:pPr>
        <w:pStyle w:val="ListBullet"/>
      </w:pPr>
      <w:r>
        <w:t>Gap list with owners</w:t>
      </w:r>
    </w:p>
    <w:p>
      <w:pPr>
        <w:pStyle w:val="ListBullet"/>
      </w:pPr>
      <w:r>
        <w:t>Updated artifact pack</w:t>
      </w:r>
    </w:p>
    <w:p>
      <w:pPr>
        <w:pStyle w:val="ListBullet"/>
      </w:pPr>
      <w:r>
        <w:t>Build-readiness decision: proceed, proceed with named risks, or hold until critical gaps close</w:t>
      </w:r>
    </w:p>
    <w:p>
      <w:pPr>
        <w:pStyle w:val="Heading1"/>
      </w:pPr>
      <w:r>
        <w:t>Non-negotiables</w:t>
      </w:r>
    </w:p>
    <w:p>
      <w:pPr>
        <w:pStyle w:val="ListBullet"/>
      </w:pPr>
      <w:r>
        <w:t>Do not start engineering design before the Product artifact pack exists.</w:t>
      </w:r>
    </w:p>
    <w:p>
      <w:pPr>
        <w:pStyle w:val="ListBullet"/>
      </w:pPr>
      <w:r>
        <w:t>Do not ask developers to just figure it out from vague intent.</w:t>
      </w:r>
    </w:p>
    <w:p>
      <w:pPr>
        <w:pStyle w:val="ListBullet"/>
      </w:pPr>
      <w:r>
        <w:t>Do not introduce a new tool unless explicitly approved.</w:t>
      </w:r>
    </w:p>
    <w:p>
      <w:pPr>
        <w:pStyle w:val="ListBullet"/>
      </w:pPr>
      <w:r>
        <w:t>Do not build a broad template library during this pass.</w:t>
      </w:r>
    </w:p>
    <w:p>
      <w:pPr>
        <w:pStyle w:val="ListBullet"/>
      </w:pPr>
      <w:r>
        <w:t>Do not let this become a committee exercise.</w:t>
      </w:r>
    </w:p>
    <w:p>
      <w:pPr>
        <w:pStyle w:val="ListBullet"/>
      </w:pPr>
      <w:r>
        <w:t>Do not treat AI access as a replacement for Product definition or solution validation.</w:t>
      </w:r>
    </w:p>
    <w:p>
      <w:pPr>
        <w:pStyle w:val="Heading1"/>
      </w:pPr>
      <w:r>
        <w:t>Minimum artifact pack</w:t>
      </w:r>
    </w:p>
    <w:p>
      <w:r>
        <w:t>The first pass must be small enough to complete quickly and strong enough to validate.</w:t>
      </w:r>
    </w:p>
    <w:p>
      <w:pPr>
        <w:pStyle w:val="ListNumber"/>
      </w:pPr>
      <w:r>
        <w:t>Product outcome brief</w:t>
      </w:r>
    </w:p>
    <w:p>
      <w:r>
        <w:t xml:space="preserve">   - Problem statement</w:t>
      </w:r>
    </w:p>
    <w:p>
      <w:r>
        <w:t xml:space="preserve">   - Target user or workflow</w:t>
      </w:r>
    </w:p>
    <w:p>
      <w:r>
        <w:t xml:space="preserve">   - Business or customer outcome</w:t>
      </w:r>
    </w:p>
    <w:p>
      <w:r>
        <w:t xml:space="preserve">   - Success metric</w:t>
      </w:r>
    </w:p>
    <w:p>
      <w:pPr>
        <w:pStyle w:val="ListNumber"/>
      </w:pPr>
      <w:r>
        <w:t>PRD or MVP brief</w:t>
      </w:r>
    </w:p>
    <w:p>
      <w:r>
        <w:t xml:space="preserve">   - MVP scope</w:t>
      </w:r>
    </w:p>
    <w:p>
      <w:r>
        <w:t xml:space="preserve">   - Explicit exclusions</w:t>
      </w:r>
    </w:p>
    <w:p>
      <w:r>
        <w:t xml:space="preserve">   - Assumptions</w:t>
      </w:r>
    </w:p>
    <w:p>
      <w:r>
        <w:t xml:space="preserve">   - Open questions</w:t>
      </w:r>
    </w:p>
    <w:p>
      <w:r>
        <w:t xml:space="preserve">   - Acceptance signals</w:t>
      </w:r>
    </w:p>
    <w:p>
      <w:pPr>
        <w:pStyle w:val="ListNumber"/>
      </w:pPr>
      <w:r>
        <w:t>Workflow and context brief</w:t>
      </w:r>
    </w:p>
    <w:p>
      <w:r>
        <w:t xml:space="preserve">   - Current workflow</w:t>
      </w:r>
    </w:p>
    <w:p>
      <w:r>
        <w:t xml:space="preserve">   - Desired workflow</w:t>
      </w:r>
    </w:p>
    <w:p>
      <w:r>
        <w:t xml:space="preserve">   - Known systems involved</w:t>
      </w:r>
    </w:p>
    <w:p>
      <w:r>
        <w:t xml:space="preserve">   - Known dependencies</w:t>
      </w:r>
    </w:p>
    <w:p>
      <w:pPr>
        <w:pStyle w:val="ListNumber"/>
      </w:pPr>
      <w:r>
        <w:t>Readiness and validation log</w:t>
      </w:r>
    </w:p>
    <w:p>
      <w:r>
        <w:t xml:space="preserve">   - Engineering questions</w:t>
      </w:r>
    </w:p>
    <w:p>
      <w:r>
        <w:t xml:space="preserve">   - Product answers</w:t>
      </w:r>
    </w:p>
    <w:p>
      <w:r>
        <w:t xml:space="preserve">   - Decisions</w:t>
      </w:r>
    </w:p>
    <w:p>
      <w:r>
        <w:t xml:space="preserve">   - Risks</w:t>
      </w:r>
    </w:p>
    <w:p>
      <w:r>
        <w:t xml:space="preserve">   - Owners</w:t>
      </w:r>
    </w:p>
    <w:p>
      <w:pPr>
        <w:pStyle w:val="ListNumber"/>
      </w:pPr>
      <w:r>
        <w:t>Candidate pod execution slices</w:t>
      </w:r>
    </w:p>
    <w:p>
      <w:r>
        <w:t xml:space="preserve">   - First slice</w:t>
      </w:r>
    </w:p>
    <w:p>
      <w:r>
        <w:t xml:space="preserve">   - Follow-up slices</w:t>
      </w:r>
    </w:p>
    <w:p>
      <w:r>
        <w:t xml:space="preserve">   - What must be validated before each slice starts</w:t>
      </w:r>
    </w:p>
    <w:p>
      <w:pPr>
        <w:pStyle w:val="Heading1"/>
      </w:pPr>
      <w:r>
        <w:t>1-day version</w:t>
      </w:r>
    </w:p>
    <w:p>
      <w:r>
        <w:t>Use this only if Telehealth inputs are already strong enough to compress.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r>
              <w:rPr>
                <w:rFonts w:ascii="Arial" w:hAnsi="Arial"/>
                <w:b/>
                <w:sz w:val="16"/>
              </w:rPr>
              <w:t>Time</w:t>
            </w:r>
          </w:p>
        </w:tc>
        <w:tc>
          <w:tcPr>
            <w:tcW w:type="dxa" w:w="2556"/>
            <w:vAlign w:val="top"/>
            <w:shd w:fill="D9EAF7"/>
          </w:tcPr>
          <w:p>
            <w:r>
              <w:rPr>
                <w:rFonts w:ascii="Arial" w:hAnsi="Arial"/>
                <w:b/>
                <w:sz w:val="16"/>
              </w:rPr>
              <w:t>Activity</w:t>
            </w:r>
          </w:p>
        </w:tc>
        <w:tc>
          <w:tcPr>
            <w:tcW w:type="dxa" w:w="2556"/>
            <w:vAlign w:val="top"/>
            <w:shd w:fill="D9EAF7"/>
          </w:tcPr>
          <w:p>
            <w:r>
              <w:rPr>
                <w:rFonts w:ascii="Arial" w:hAnsi="Arial"/>
                <w:b/>
                <w:sz w:val="16"/>
              </w:rPr>
              <w:t>Owner</w:t>
            </w:r>
          </w:p>
        </w:tc>
        <w:tc>
          <w:tcPr>
            <w:tcW w:type="dxa" w:w="2556"/>
            <w:vAlign w:val="top"/>
            <w:shd w:fill="D9EAF7"/>
          </w:tcPr>
          <w:p>
            <w:r>
              <w:rPr>
                <w:rFonts w:ascii="Arial" w:hAnsi="Arial"/>
                <w:b/>
                <w:sz w:val="16"/>
              </w:rPr>
              <w:t>Exit criteria</w:t>
            </w:r>
          </w:p>
        </w:tc>
      </w:tr>
      <w:tr>
        <w:tc>
          <w:tcPr>
            <w:tcW w:type="dxa" w:w="2556"/>
            <w:vAlign w:val="top"/>
          </w:tcPr>
          <w:p>
            <w:r>
              <w:rPr>
                <w:rFonts w:ascii="Arial" w:hAnsi="Arial"/>
                <w:sz w:val="16"/>
              </w:rPr>
              <w:t>8:30 to 9:00</w:t>
            </w:r>
          </w:p>
        </w:tc>
        <w:tc>
          <w:tcPr>
            <w:tcW w:type="dxa" w:w="2556"/>
            <w:vAlign w:val="top"/>
          </w:tcPr>
          <w:p>
            <w:r>
              <w:rPr>
                <w:rFonts w:ascii="Arial" w:hAnsi="Arial"/>
                <w:sz w:val="16"/>
              </w:rPr>
              <w:t>Align on intent, rules, and artifact location</w:t>
            </w:r>
          </w:p>
        </w:tc>
        <w:tc>
          <w:tcPr>
            <w:tcW w:type="dxa" w:w="2556"/>
            <w:vAlign w:val="top"/>
          </w:tcPr>
          <w:p>
            <w:r>
              <w:rPr>
                <w:rFonts w:ascii="Arial" w:hAnsi="Arial"/>
                <w:sz w:val="16"/>
              </w:rPr>
              <w:t>Guillermo, Chris, Product</w:t>
            </w:r>
          </w:p>
        </w:tc>
        <w:tc>
          <w:tcPr>
            <w:tcW w:type="dxa" w:w="2556"/>
            <w:vAlign w:val="top"/>
          </w:tcPr>
          <w:p>
            <w:r>
              <w:rPr>
                <w:rFonts w:ascii="Arial" w:hAnsi="Arial"/>
                <w:sz w:val="16"/>
              </w:rPr>
              <w:t>Everyone agrees this is Product definition first, not solutioning</w:t>
            </w:r>
          </w:p>
        </w:tc>
      </w:tr>
      <w:tr>
        <w:tc>
          <w:tcPr>
            <w:tcW w:type="dxa" w:w="2556"/>
            <w:vAlign w:val="top"/>
          </w:tcPr>
          <w:p>
            <w:r>
              <w:rPr>
                <w:rFonts w:ascii="Arial" w:hAnsi="Arial"/>
                <w:sz w:val="16"/>
              </w:rPr>
              <w:t>9:00 to 11:00</w:t>
            </w:r>
          </w:p>
        </w:tc>
        <w:tc>
          <w:tcPr>
            <w:tcW w:type="dxa" w:w="2556"/>
            <w:vAlign w:val="top"/>
          </w:tcPr>
          <w:p>
            <w:r>
              <w:rPr>
                <w:rFonts w:ascii="Arial" w:hAnsi="Arial"/>
                <w:sz w:val="16"/>
              </w:rPr>
              <w:t>Build Product outcome brief and PRD or MVP brief</w:t>
            </w:r>
          </w:p>
        </w:tc>
        <w:tc>
          <w:tcPr>
            <w:tcW w:type="dxa" w:w="2556"/>
            <w:vAlign w:val="top"/>
          </w:tcPr>
          <w:p>
            <w:r>
              <w:rPr>
                <w:rFonts w:ascii="Arial" w:hAnsi="Arial"/>
                <w:sz w:val="16"/>
              </w:rPr>
              <w:t>Product, Lauren</w:t>
            </w:r>
          </w:p>
        </w:tc>
        <w:tc>
          <w:tcPr>
            <w:tcW w:type="dxa" w:w="2556"/>
            <w:vAlign w:val="top"/>
          </w:tcPr>
          <w:p>
            <w:r>
              <w:rPr>
                <w:rFonts w:ascii="Arial" w:hAnsi="Arial"/>
                <w:sz w:val="16"/>
              </w:rPr>
              <w:t>Problem, user, outcome, MVP scope, exclusions, and success metric are written</w:t>
            </w:r>
          </w:p>
        </w:tc>
      </w:tr>
      <w:tr>
        <w:tc>
          <w:tcPr>
            <w:tcW w:type="dxa" w:w="2556"/>
            <w:vAlign w:val="top"/>
          </w:tcPr>
          <w:p>
            <w:r>
              <w:rPr>
                <w:rFonts w:ascii="Arial" w:hAnsi="Arial"/>
                <w:sz w:val="16"/>
              </w:rPr>
              <w:t>11:00 to 12:00</w:t>
            </w:r>
          </w:p>
        </w:tc>
        <w:tc>
          <w:tcPr>
            <w:tcW w:type="dxa" w:w="2556"/>
            <w:vAlign w:val="top"/>
          </w:tcPr>
          <w:p>
            <w:r>
              <w:rPr>
                <w:rFonts w:ascii="Arial" w:hAnsi="Arial"/>
                <w:sz w:val="16"/>
              </w:rPr>
              <w:t>Map workflow and known context</w:t>
            </w:r>
          </w:p>
        </w:tc>
        <w:tc>
          <w:tcPr>
            <w:tcW w:type="dxa" w:w="2556"/>
            <w:vAlign w:val="top"/>
          </w:tcPr>
          <w:p>
            <w:r>
              <w:rPr>
                <w:rFonts w:ascii="Arial" w:hAnsi="Arial"/>
                <w:sz w:val="16"/>
              </w:rPr>
              <w:t>Product</w:t>
            </w:r>
          </w:p>
        </w:tc>
        <w:tc>
          <w:tcPr>
            <w:tcW w:type="dxa" w:w="2556"/>
            <w:vAlign w:val="top"/>
          </w:tcPr>
          <w:p>
            <w:r>
              <w:rPr>
                <w:rFonts w:ascii="Arial" w:hAnsi="Arial"/>
                <w:sz w:val="16"/>
              </w:rPr>
              <w:t>Current flow, desired flow, systems, and assumptions are visible</w:t>
            </w:r>
          </w:p>
        </w:tc>
      </w:tr>
      <w:tr>
        <w:tc>
          <w:tcPr>
            <w:tcW w:type="dxa" w:w="2556"/>
            <w:vAlign w:val="top"/>
          </w:tcPr>
          <w:p>
            <w:r>
              <w:rPr>
                <w:rFonts w:ascii="Arial" w:hAnsi="Arial"/>
                <w:sz w:val="16"/>
              </w:rPr>
              <w:t>12:30 to 1:30</w:t>
            </w:r>
          </w:p>
        </w:tc>
        <w:tc>
          <w:tcPr>
            <w:tcW w:type="dxa" w:w="2556"/>
            <w:vAlign w:val="top"/>
          </w:tcPr>
          <w:p>
            <w:r>
              <w:rPr>
                <w:rFonts w:ascii="Arial" w:hAnsi="Arial"/>
                <w:sz w:val="16"/>
              </w:rPr>
              <w:t>Clean artifact pack</w:t>
            </w:r>
          </w:p>
        </w:tc>
        <w:tc>
          <w:tcPr>
            <w:tcW w:type="dxa" w:w="2556"/>
            <w:vAlign w:val="top"/>
          </w:tcPr>
          <w:p>
            <w:r>
              <w:rPr>
                <w:rFonts w:ascii="Arial" w:hAnsi="Arial"/>
                <w:sz w:val="16"/>
              </w:rPr>
              <w:t>Product, Lauren</w:t>
            </w:r>
          </w:p>
        </w:tc>
        <w:tc>
          <w:tcPr>
            <w:tcW w:type="dxa" w:w="2556"/>
            <w:vAlign w:val="top"/>
          </w:tcPr>
          <w:p>
            <w:r>
              <w:rPr>
                <w:rFonts w:ascii="Arial" w:hAnsi="Arial"/>
                <w:sz w:val="16"/>
              </w:rPr>
              <w:t>Artifacts are readable without verbal explanation</w:t>
            </w:r>
          </w:p>
        </w:tc>
      </w:tr>
      <w:tr>
        <w:tc>
          <w:tcPr>
            <w:tcW w:type="dxa" w:w="2556"/>
            <w:vAlign w:val="top"/>
          </w:tcPr>
          <w:p>
            <w:r>
              <w:rPr>
                <w:rFonts w:ascii="Arial" w:hAnsi="Arial"/>
                <w:sz w:val="16"/>
              </w:rPr>
              <w:t>1:30 to 3:00</w:t>
            </w:r>
          </w:p>
        </w:tc>
        <w:tc>
          <w:tcPr>
            <w:tcW w:type="dxa" w:w="2556"/>
            <w:vAlign w:val="top"/>
          </w:tcPr>
          <w:p>
            <w:r>
              <w:rPr>
                <w:rFonts w:ascii="Arial" w:hAnsi="Arial"/>
                <w:sz w:val="16"/>
              </w:rPr>
              <w:t>Blind Engineering validation</w:t>
            </w:r>
          </w:p>
        </w:tc>
        <w:tc>
          <w:tcPr>
            <w:tcW w:type="dxa" w:w="2556"/>
            <w:vAlign w:val="top"/>
          </w:tcPr>
          <w:p>
            <w:r>
              <w:rPr>
                <w:rFonts w:ascii="Arial" w:hAnsi="Arial"/>
                <w:sz w:val="16"/>
              </w:rPr>
              <w:t>Isaac, Andrew, Guillermo, Chris</w:t>
            </w:r>
          </w:p>
        </w:tc>
        <w:tc>
          <w:tcPr>
            <w:tcW w:type="dxa" w:w="2556"/>
            <w:vAlign w:val="top"/>
          </w:tcPr>
          <w:p>
            <w:r>
              <w:rPr>
                <w:rFonts w:ascii="Arial" w:hAnsi="Arial"/>
                <w:sz w:val="16"/>
              </w:rPr>
              <w:t>Engineering can restate the work and identify missing information</w:t>
            </w:r>
          </w:p>
        </w:tc>
      </w:tr>
      <w:tr>
        <w:tc>
          <w:tcPr>
            <w:tcW w:type="dxa" w:w="2556"/>
            <w:vAlign w:val="top"/>
          </w:tcPr>
          <w:p>
            <w:r>
              <w:rPr>
                <w:rFonts w:ascii="Arial" w:hAnsi="Arial"/>
                <w:sz w:val="16"/>
              </w:rPr>
              <w:t>3:00 to 4:00</w:t>
            </w:r>
          </w:p>
        </w:tc>
        <w:tc>
          <w:tcPr>
            <w:tcW w:type="dxa" w:w="2556"/>
            <w:vAlign w:val="top"/>
          </w:tcPr>
          <w:p>
            <w:r>
              <w:rPr>
                <w:rFonts w:ascii="Arial" w:hAnsi="Arial"/>
                <w:sz w:val="16"/>
              </w:rPr>
              <w:t>Close gaps and assign owners</w:t>
            </w:r>
          </w:p>
        </w:tc>
        <w:tc>
          <w:tcPr>
            <w:tcW w:type="dxa" w:w="2556"/>
            <w:vAlign w:val="top"/>
          </w:tcPr>
          <w:p>
            <w:r>
              <w:rPr>
                <w:rFonts w:ascii="Arial" w:hAnsi="Arial"/>
                <w:sz w:val="16"/>
              </w:rPr>
              <w:t>Product, Engineering, Architecture</w:t>
            </w:r>
          </w:p>
        </w:tc>
        <w:tc>
          <w:tcPr>
            <w:tcW w:type="dxa" w:w="2556"/>
            <w:vAlign w:val="top"/>
          </w:tcPr>
          <w:p>
            <w:r>
              <w:rPr>
                <w:rFonts w:ascii="Arial" w:hAnsi="Arial"/>
                <w:sz w:val="16"/>
              </w:rPr>
              <w:t>Critical gaps are closed or owned</w:t>
            </w:r>
          </w:p>
        </w:tc>
      </w:tr>
      <w:tr>
        <w:tc>
          <w:tcPr>
            <w:tcW w:type="dxa" w:w="2556"/>
            <w:vAlign w:val="top"/>
          </w:tcPr>
          <w:p>
            <w:r>
              <w:rPr>
                <w:rFonts w:ascii="Arial" w:hAnsi="Arial"/>
                <w:sz w:val="16"/>
              </w:rPr>
              <w:t>4:00 to 4:30</w:t>
            </w:r>
          </w:p>
        </w:tc>
        <w:tc>
          <w:tcPr>
            <w:tcW w:type="dxa" w:w="2556"/>
            <w:vAlign w:val="top"/>
          </w:tcPr>
          <w:p>
            <w:r>
              <w:rPr>
                <w:rFonts w:ascii="Arial" w:hAnsi="Arial"/>
                <w:sz w:val="16"/>
              </w:rPr>
              <w:t>Gate decision</w:t>
            </w:r>
          </w:p>
        </w:tc>
        <w:tc>
          <w:tcPr>
            <w:tcW w:type="dxa" w:w="2556"/>
            <w:vAlign w:val="top"/>
          </w:tcPr>
          <w:p>
            <w:r>
              <w:rPr>
                <w:rFonts w:ascii="Arial" w:hAnsi="Arial"/>
                <w:sz w:val="16"/>
              </w:rPr>
              <w:t>Guillermo, Chris, Product</w:t>
            </w:r>
          </w:p>
        </w:tc>
        <w:tc>
          <w:tcPr>
            <w:tcW w:type="dxa" w:w="2556"/>
            <w:vAlign w:val="top"/>
          </w:tcPr>
          <w:p>
            <w:r>
              <w:rPr>
                <w:rFonts w:ascii="Arial" w:hAnsi="Arial"/>
                <w:sz w:val="16"/>
              </w:rPr>
              <w:t>Proceed, proceed with risks, or hold</w:t>
            </w:r>
          </w:p>
        </w:tc>
      </w:tr>
    </w:tbl>
    <w:p/>
    <w:p>
      <w:pPr>
        <w:pStyle w:val="Heading1"/>
      </w:pPr>
      <w:r>
        <w:t>2-day version</w:t>
      </w:r>
    </w:p>
    <w:p>
      <w:r>
        <w:t>Use this when Product needs a full day to get the artifacts into shape.</w:t>
      </w:r>
    </w:p>
    <w:p>
      <w:pPr>
        <w:pStyle w:val="Heading2"/>
      </w:pPr>
      <w:r>
        <w:t>Wednesday, Product definition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r>
              <w:rPr>
                <w:rFonts w:ascii="Arial" w:hAnsi="Arial"/>
                <w:b/>
                <w:sz w:val="16"/>
              </w:rPr>
              <w:t>Time</w:t>
            </w:r>
          </w:p>
        </w:tc>
        <w:tc>
          <w:tcPr>
            <w:tcW w:type="dxa" w:w="2556"/>
            <w:vAlign w:val="top"/>
            <w:shd w:fill="D9EAF7"/>
          </w:tcPr>
          <w:p>
            <w:r>
              <w:rPr>
                <w:rFonts w:ascii="Arial" w:hAnsi="Arial"/>
                <w:b/>
                <w:sz w:val="16"/>
              </w:rPr>
              <w:t>Activity</w:t>
            </w:r>
          </w:p>
        </w:tc>
        <w:tc>
          <w:tcPr>
            <w:tcW w:type="dxa" w:w="2556"/>
            <w:vAlign w:val="top"/>
            <w:shd w:fill="D9EAF7"/>
          </w:tcPr>
          <w:p>
            <w:r>
              <w:rPr>
                <w:rFonts w:ascii="Arial" w:hAnsi="Arial"/>
                <w:b/>
                <w:sz w:val="16"/>
              </w:rPr>
              <w:t>Owner</w:t>
            </w:r>
          </w:p>
        </w:tc>
        <w:tc>
          <w:tcPr>
            <w:tcW w:type="dxa" w:w="2556"/>
            <w:vAlign w:val="top"/>
            <w:shd w:fill="D9EAF7"/>
          </w:tcPr>
          <w:p>
            <w:r>
              <w:rPr>
                <w:rFonts w:ascii="Arial" w:hAnsi="Arial"/>
                <w:b/>
                <w:sz w:val="16"/>
              </w:rPr>
              <w:t>Exit criteria</w:t>
            </w:r>
          </w:p>
        </w:tc>
      </w:tr>
      <w:tr>
        <w:tc>
          <w:tcPr>
            <w:tcW w:type="dxa" w:w="2556"/>
            <w:vAlign w:val="top"/>
          </w:tcPr>
          <w:p>
            <w:r>
              <w:rPr>
                <w:rFonts w:ascii="Arial" w:hAnsi="Arial"/>
                <w:sz w:val="16"/>
              </w:rPr>
              <w:t>9:00 to 9:30</w:t>
            </w:r>
          </w:p>
        </w:tc>
        <w:tc>
          <w:tcPr>
            <w:tcW w:type="dxa" w:w="2556"/>
            <w:vAlign w:val="top"/>
          </w:tcPr>
          <w:p>
            <w:r>
              <w:rPr>
                <w:rFonts w:ascii="Arial" w:hAnsi="Arial"/>
                <w:sz w:val="16"/>
              </w:rPr>
              <w:t>Confirm intent and Telehealth scope</w:t>
            </w:r>
          </w:p>
        </w:tc>
        <w:tc>
          <w:tcPr>
            <w:tcW w:type="dxa" w:w="2556"/>
            <w:vAlign w:val="top"/>
          </w:tcPr>
          <w:p>
            <w:r>
              <w:rPr>
                <w:rFonts w:ascii="Arial" w:hAnsi="Arial"/>
                <w:sz w:val="16"/>
              </w:rPr>
              <w:t>Guillermo, Chris, Product</w:t>
            </w:r>
          </w:p>
        </w:tc>
        <w:tc>
          <w:tcPr>
            <w:tcW w:type="dxa" w:w="2556"/>
            <w:vAlign w:val="top"/>
          </w:tcPr>
          <w:p>
            <w:r>
              <w:rPr>
                <w:rFonts w:ascii="Arial" w:hAnsi="Arial"/>
                <w:sz w:val="16"/>
              </w:rPr>
              <w:t>One shared objective and working location</w:t>
            </w:r>
          </w:p>
        </w:tc>
      </w:tr>
      <w:tr>
        <w:tc>
          <w:tcPr>
            <w:tcW w:type="dxa" w:w="2556"/>
            <w:vAlign w:val="top"/>
          </w:tcPr>
          <w:p>
            <w:r>
              <w:rPr>
                <w:rFonts w:ascii="Arial" w:hAnsi="Arial"/>
                <w:sz w:val="16"/>
              </w:rPr>
              <w:t>9:30 to 11:00</w:t>
            </w:r>
          </w:p>
        </w:tc>
        <w:tc>
          <w:tcPr>
            <w:tcW w:type="dxa" w:w="2556"/>
            <w:vAlign w:val="top"/>
          </w:tcPr>
          <w:p>
            <w:r>
              <w:rPr>
                <w:rFonts w:ascii="Arial" w:hAnsi="Arial"/>
                <w:sz w:val="16"/>
              </w:rPr>
              <w:t>Convert proposal into Product outcome brief</w:t>
            </w:r>
          </w:p>
        </w:tc>
        <w:tc>
          <w:tcPr>
            <w:tcW w:type="dxa" w:w="2556"/>
            <w:vAlign w:val="top"/>
          </w:tcPr>
          <w:p>
            <w:r>
              <w:rPr>
                <w:rFonts w:ascii="Arial" w:hAnsi="Arial"/>
                <w:sz w:val="16"/>
              </w:rPr>
              <w:t>Product, Lauren</w:t>
            </w:r>
          </w:p>
        </w:tc>
        <w:tc>
          <w:tcPr>
            <w:tcW w:type="dxa" w:w="2556"/>
            <w:vAlign w:val="top"/>
          </w:tcPr>
          <w:p>
            <w:r>
              <w:rPr>
                <w:rFonts w:ascii="Arial" w:hAnsi="Arial"/>
                <w:sz w:val="16"/>
              </w:rPr>
              <w:t>Problem, user, outcome, and success metric are written</w:t>
            </w:r>
          </w:p>
        </w:tc>
      </w:tr>
      <w:tr>
        <w:tc>
          <w:tcPr>
            <w:tcW w:type="dxa" w:w="2556"/>
            <w:vAlign w:val="top"/>
          </w:tcPr>
          <w:p>
            <w:r>
              <w:rPr>
                <w:rFonts w:ascii="Arial" w:hAnsi="Arial"/>
                <w:sz w:val="16"/>
              </w:rPr>
              <w:t>11:00 to 12:00</w:t>
            </w:r>
          </w:p>
        </w:tc>
        <w:tc>
          <w:tcPr>
            <w:tcW w:type="dxa" w:w="2556"/>
            <w:vAlign w:val="top"/>
          </w:tcPr>
          <w:p>
            <w:r>
              <w:rPr>
                <w:rFonts w:ascii="Arial" w:hAnsi="Arial"/>
                <w:sz w:val="16"/>
              </w:rPr>
              <w:t>Define MVP and exclusions</w:t>
            </w:r>
          </w:p>
        </w:tc>
        <w:tc>
          <w:tcPr>
            <w:tcW w:type="dxa" w:w="2556"/>
            <w:vAlign w:val="top"/>
          </w:tcPr>
          <w:p>
            <w:r>
              <w:rPr>
                <w:rFonts w:ascii="Arial" w:hAnsi="Arial"/>
                <w:sz w:val="16"/>
              </w:rPr>
              <w:t>Product</w:t>
            </w:r>
          </w:p>
        </w:tc>
        <w:tc>
          <w:tcPr>
            <w:tcW w:type="dxa" w:w="2556"/>
            <w:vAlign w:val="top"/>
          </w:tcPr>
          <w:p>
            <w:r>
              <w:rPr>
                <w:rFonts w:ascii="Arial" w:hAnsi="Arial"/>
                <w:sz w:val="16"/>
              </w:rPr>
              <w:t>MVP boundary and non-goals are explicit</w:t>
            </w:r>
          </w:p>
        </w:tc>
      </w:tr>
      <w:tr>
        <w:tc>
          <w:tcPr>
            <w:tcW w:type="dxa" w:w="2556"/>
            <w:vAlign w:val="top"/>
          </w:tcPr>
          <w:p>
            <w:r>
              <w:rPr>
                <w:rFonts w:ascii="Arial" w:hAnsi="Arial"/>
                <w:sz w:val="16"/>
              </w:rPr>
              <w:t>1:00 to 2:30</w:t>
            </w:r>
          </w:p>
        </w:tc>
        <w:tc>
          <w:tcPr>
            <w:tcW w:type="dxa" w:w="2556"/>
            <w:vAlign w:val="top"/>
          </w:tcPr>
          <w:p>
            <w:r>
              <w:rPr>
                <w:rFonts w:ascii="Arial" w:hAnsi="Arial"/>
                <w:sz w:val="16"/>
              </w:rPr>
              <w:t>Document workflow, assumptions, and known dependencies</w:t>
            </w:r>
          </w:p>
        </w:tc>
        <w:tc>
          <w:tcPr>
            <w:tcW w:type="dxa" w:w="2556"/>
            <w:vAlign w:val="top"/>
          </w:tcPr>
          <w:p>
            <w:r>
              <w:rPr>
                <w:rFonts w:ascii="Arial" w:hAnsi="Arial"/>
                <w:sz w:val="16"/>
              </w:rPr>
              <w:t>Product</w:t>
            </w:r>
          </w:p>
        </w:tc>
        <w:tc>
          <w:tcPr>
            <w:tcW w:type="dxa" w:w="2556"/>
            <w:vAlign w:val="top"/>
          </w:tcPr>
          <w:p>
            <w:r>
              <w:rPr>
                <w:rFonts w:ascii="Arial" w:hAnsi="Arial"/>
                <w:sz w:val="16"/>
              </w:rPr>
              <w:t>Current and desired flow are clear</w:t>
            </w:r>
          </w:p>
        </w:tc>
      </w:tr>
      <w:tr>
        <w:tc>
          <w:tcPr>
            <w:tcW w:type="dxa" w:w="2556"/>
            <w:vAlign w:val="top"/>
          </w:tcPr>
          <w:p>
            <w:r>
              <w:rPr>
                <w:rFonts w:ascii="Arial" w:hAnsi="Arial"/>
                <w:sz w:val="16"/>
              </w:rPr>
              <w:t>2:30 to 3:30</w:t>
            </w:r>
          </w:p>
        </w:tc>
        <w:tc>
          <w:tcPr>
            <w:tcW w:type="dxa" w:w="2556"/>
            <w:vAlign w:val="top"/>
          </w:tcPr>
          <w:p>
            <w:r>
              <w:rPr>
                <w:rFonts w:ascii="Arial" w:hAnsi="Arial"/>
                <w:sz w:val="16"/>
              </w:rPr>
              <w:t>Create candidate execution slices</w:t>
            </w:r>
          </w:p>
        </w:tc>
        <w:tc>
          <w:tcPr>
            <w:tcW w:type="dxa" w:w="2556"/>
            <w:vAlign w:val="top"/>
          </w:tcPr>
          <w:p>
            <w:r>
              <w:rPr>
                <w:rFonts w:ascii="Arial" w:hAnsi="Arial"/>
                <w:sz w:val="16"/>
              </w:rPr>
              <w:t>Product, Chris, Guillermo</w:t>
            </w:r>
          </w:p>
        </w:tc>
        <w:tc>
          <w:tcPr>
            <w:tcW w:type="dxa" w:w="2556"/>
            <w:vAlign w:val="top"/>
          </w:tcPr>
          <w:p>
            <w:r>
              <w:rPr>
                <w:rFonts w:ascii="Arial" w:hAnsi="Arial"/>
                <w:sz w:val="16"/>
              </w:rPr>
              <w:t>First slice and follow-up slices are outcome-framed</w:t>
            </w:r>
          </w:p>
        </w:tc>
      </w:tr>
      <w:tr>
        <w:tc>
          <w:tcPr>
            <w:tcW w:type="dxa" w:w="2556"/>
            <w:vAlign w:val="top"/>
          </w:tcPr>
          <w:p>
            <w:r>
              <w:rPr>
                <w:rFonts w:ascii="Arial" w:hAnsi="Arial"/>
                <w:sz w:val="16"/>
              </w:rPr>
              <w:t>3:30 to 4:30</w:t>
            </w:r>
          </w:p>
        </w:tc>
        <w:tc>
          <w:tcPr>
            <w:tcW w:type="dxa" w:w="2556"/>
            <w:vAlign w:val="top"/>
          </w:tcPr>
          <w:p>
            <w:r>
              <w:rPr>
                <w:rFonts w:ascii="Arial" w:hAnsi="Arial"/>
                <w:sz w:val="16"/>
              </w:rPr>
              <w:t>Artifact cleanup and pre-read package</w:t>
            </w:r>
          </w:p>
        </w:tc>
        <w:tc>
          <w:tcPr>
            <w:tcW w:type="dxa" w:w="2556"/>
            <w:vAlign w:val="top"/>
          </w:tcPr>
          <w:p>
            <w:r>
              <w:rPr>
                <w:rFonts w:ascii="Arial" w:hAnsi="Arial"/>
                <w:sz w:val="16"/>
              </w:rPr>
              <w:t>Product, Lauren</w:t>
            </w:r>
          </w:p>
        </w:tc>
        <w:tc>
          <w:tcPr>
            <w:tcW w:type="dxa" w:w="2556"/>
            <w:vAlign w:val="top"/>
          </w:tcPr>
          <w:p>
            <w:r>
              <w:rPr>
                <w:rFonts w:ascii="Arial" w:hAnsi="Arial"/>
                <w:sz w:val="16"/>
              </w:rPr>
              <w:t>Package is ready for blind validation</w:t>
            </w:r>
          </w:p>
        </w:tc>
      </w:tr>
    </w:tbl>
    <w:p/>
    <w:p>
      <w:pPr>
        <w:pStyle w:val="Heading2"/>
      </w:pPr>
      <w:r>
        <w:t>Thursday, Blind validation and readiness gate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F7"/>
          </w:tcPr>
          <w:p>
            <w:r>
              <w:rPr>
                <w:rFonts w:ascii="Arial" w:hAnsi="Arial"/>
                <w:b/>
                <w:sz w:val="16"/>
              </w:rPr>
              <w:t>Time</w:t>
            </w:r>
          </w:p>
        </w:tc>
        <w:tc>
          <w:tcPr>
            <w:tcW w:type="dxa" w:w="2556"/>
            <w:vAlign w:val="top"/>
            <w:shd w:fill="D9EAF7"/>
          </w:tcPr>
          <w:p>
            <w:r>
              <w:rPr>
                <w:rFonts w:ascii="Arial" w:hAnsi="Arial"/>
                <w:b/>
                <w:sz w:val="16"/>
              </w:rPr>
              <w:t>Activity</w:t>
            </w:r>
          </w:p>
        </w:tc>
        <w:tc>
          <w:tcPr>
            <w:tcW w:type="dxa" w:w="2556"/>
            <w:vAlign w:val="top"/>
            <w:shd w:fill="D9EAF7"/>
          </w:tcPr>
          <w:p>
            <w:r>
              <w:rPr>
                <w:rFonts w:ascii="Arial" w:hAnsi="Arial"/>
                <w:b/>
                <w:sz w:val="16"/>
              </w:rPr>
              <w:t>Owner</w:t>
            </w:r>
          </w:p>
        </w:tc>
        <w:tc>
          <w:tcPr>
            <w:tcW w:type="dxa" w:w="2556"/>
            <w:vAlign w:val="top"/>
            <w:shd w:fill="D9EAF7"/>
          </w:tcPr>
          <w:p>
            <w:r>
              <w:rPr>
                <w:rFonts w:ascii="Arial" w:hAnsi="Arial"/>
                <w:b/>
                <w:sz w:val="16"/>
              </w:rPr>
              <w:t>Exit criteria</w:t>
            </w:r>
          </w:p>
        </w:tc>
      </w:tr>
      <w:tr>
        <w:tc>
          <w:tcPr>
            <w:tcW w:type="dxa" w:w="2556"/>
            <w:vAlign w:val="top"/>
          </w:tcPr>
          <w:p>
            <w:r>
              <w:rPr>
                <w:rFonts w:ascii="Arial" w:hAnsi="Arial"/>
                <w:sz w:val="16"/>
              </w:rPr>
              <w:t>9:00 to 9:30</w:t>
            </w:r>
          </w:p>
        </w:tc>
        <w:tc>
          <w:tcPr>
            <w:tcW w:type="dxa" w:w="2556"/>
            <w:vAlign w:val="top"/>
          </w:tcPr>
          <w:p>
            <w:r>
              <w:rPr>
                <w:rFonts w:ascii="Arial" w:hAnsi="Arial"/>
                <w:sz w:val="16"/>
              </w:rPr>
              <w:t>Silent review by Engineering and Architecture</w:t>
            </w:r>
          </w:p>
        </w:tc>
        <w:tc>
          <w:tcPr>
            <w:tcW w:type="dxa" w:w="2556"/>
            <w:vAlign w:val="top"/>
          </w:tcPr>
          <w:p>
            <w:r>
              <w:rPr>
                <w:rFonts w:ascii="Arial" w:hAnsi="Arial"/>
                <w:sz w:val="16"/>
              </w:rPr>
              <w:t>Isaac, Andrew</w:t>
            </w:r>
          </w:p>
        </w:tc>
        <w:tc>
          <w:tcPr>
            <w:tcW w:type="dxa" w:w="2556"/>
            <w:vAlign w:val="top"/>
          </w:tcPr>
          <w:p>
            <w:r>
              <w:rPr>
                <w:rFonts w:ascii="Arial" w:hAnsi="Arial"/>
                <w:sz w:val="16"/>
              </w:rPr>
              <w:t>Reviewers consume artifacts with minimal added context</w:t>
            </w:r>
          </w:p>
        </w:tc>
      </w:tr>
      <w:tr>
        <w:tc>
          <w:tcPr>
            <w:tcW w:type="dxa" w:w="2556"/>
            <w:vAlign w:val="top"/>
          </w:tcPr>
          <w:p>
            <w:r>
              <w:rPr>
                <w:rFonts w:ascii="Arial" w:hAnsi="Arial"/>
                <w:sz w:val="16"/>
              </w:rPr>
              <w:t>9:30 to 10:30</w:t>
            </w:r>
          </w:p>
        </w:tc>
        <w:tc>
          <w:tcPr>
            <w:tcW w:type="dxa" w:w="2556"/>
            <w:vAlign w:val="top"/>
          </w:tcPr>
          <w:p>
            <w:r>
              <w:rPr>
                <w:rFonts w:ascii="Arial" w:hAnsi="Arial"/>
                <w:sz w:val="16"/>
              </w:rPr>
              <w:t>Blind readout</w:t>
            </w:r>
          </w:p>
        </w:tc>
        <w:tc>
          <w:tcPr>
            <w:tcW w:type="dxa" w:w="2556"/>
            <w:vAlign w:val="top"/>
          </w:tcPr>
          <w:p>
            <w:r>
              <w:rPr>
                <w:rFonts w:ascii="Arial" w:hAnsi="Arial"/>
                <w:sz w:val="16"/>
              </w:rPr>
              <w:t>Isaac, Andrew</w:t>
            </w:r>
          </w:p>
        </w:tc>
        <w:tc>
          <w:tcPr>
            <w:tcW w:type="dxa" w:w="2556"/>
            <w:vAlign w:val="top"/>
          </w:tcPr>
          <w:p>
            <w:r>
              <w:rPr>
                <w:rFonts w:ascii="Arial" w:hAnsi="Arial"/>
                <w:sz w:val="16"/>
              </w:rPr>
              <w:t>Reviewers restate what they think must be built</w:t>
            </w:r>
          </w:p>
        </w:tc>
      </w:tr>
      <w:tr>
        <w:tc>
          <w:tcPr>
            <w:tcW w:type="dxa" w:w="2556"/>
            <w:vAlign w:val="top"/>
          </w:tcPr>
          <w:p>
            <w:r>
              <w:rPr>
                <w:rFonts w:ascii="Arial" w:hAnsi="Arial"/>
                <w:sz w:val="16"/>
              </w:rPr>
              <w:t>10:30 to 11:30</w:t>
            </w:r>
          </w:p>
        </w:tc>
        <w:tc>
          <w:tcPr>
            <w:tcW w:type="dxa" w:w="2556"/>
            <w:vAlign w:val="top"/>
          </w:tcPr>
          <w:p>
            <w:r>
              <w:rPr>
                <w:rFonts w:ascii="Arial" w:hAnsi="Arial"/>
                <w:sz w:val="16"/>
              </w:rPr>
              <w:t>Gap capture and readiness scoring</w:t>
            </w:r>
          </w:p>
        </w:tc>
        <w:tc>
          <w:tcPr>
            <w:tcW w:type="dxa" w:w="2556"/>
            <w:vAlign w:val="top"/>
          </w:tcPr>
          <w:p>
            <w:r>
              <w:rPr>
                <w:rFonts w:ascii="Arial" w:hAnsi="Arial"/>
                <w:sz w:val="16"/>
              </w:rPr>
              <w:t>Guillermo, Chris, Product</w:t>
            </w:r>
          </w:p>
        </w:tc>
        <w:tc>
          <w:tcPr>
            <w:tcW w:type="dxa" w:w="2556"/>
            <w:vAlign w:val="top"/>
          </w:tcPr>
          <w:p>
            <w:r>
              <w:rPr>
                <w:rFonts w:ascii="Arial" w:hAnsi="Arial"/>
                <w:sz w:val="16"/>
              </w:rPr>
              <w:t>Missing context and risks are captured with owners</w:t>
            </w:r>
          </w:p>
        </w:tc>
      </w:tr>
      <w:tr>
        <w:tc>
          <w:tcPr>
            <w:tcW w:type="dxa" w:w="2556"/>
            <w:vAlign w:val="top"/>
          </w:tcPr>
          <w:p>
            <w:r>
              <w:rPr>
                <w:rFonts w:ascii="Arial" w:hAnsi="Arial"/>
                <w:sz w:val="16"/>
              </w:rPr>
              <w:t>11:30 to 12:00</w:t>
            </w:r>
          </w:p>
        </w:tc>
        <w:tc>
          <w:tcPr>
            <w:tcW w:type="dxa" w:w="2556"/>
            <w:vAlign w:val="top"/>
          </w:tcPr>
          <w:p>
            <w:r>
              <w:rPr>
                <w:rFonts w:ascii="Arial" w:hAnsi="Arial"/>
                <w:sz w:val="16"/>
              </w:rPr>
              <w:t>Gate decision</w:t>
            </w:r>
          </w:p>
        </w:tc>
        <w:tc>
          <w:tcPr>
            <w:tcW w:type="dxa" w:w="2556"/>
            <w:vAlign w:val="top"/>
          </w:tcPr>
          <w:p>
            <w:r>
              <w:rPr>
                <w:rFonts w:ascii="Arial" w:hAnsi="Arial"/>
                <w:sz w:val="16"/>
              </w:rPr>
              <w:t>Guillermo, Chris, Product</w:t>
            </w:r>
          </w:p>
        </w:tc>
        <w:tc>
          <w:tcPr>
            <w:tcW w:type="dxa" w:w="2556"/>
            <w:vAlign w:val="top"/>
          </w:tcPr>
          <w:p>
            <w:r>
              <w:rPr>
                <w:rFonts w:ascii="Arial" w:hAnsi="Arial"/>
                <w:sz w:val="16"/>
              </w:rPr>
              <w:t>Proceed, proceed with risks, or hold</w:t>
            </w:r>
          </w:p>
        </w:tc>
      </w:tr>
      <w:tr>
        <w:tc>
          <w:tcPr>
            <w:tcW w:type="dxa" w:w="2556"/>
            <w:vAlign w:val="top"/>
          </w:tcPr>
          <w:p>
            <w:r>
              <w:rPr>
                <w:rFonts w:ascii="Arial" w:hAnsi="Arial"/>
                <w:sz w:val="16"/>
              </w:rPr>
              <w:t>1:00 to 2:00</w:t>
            </w:r>
          </w:p>
        </w:tc>
        <w:tc>
          <w:tcPr>
            <w:tcW w:type="dxa" w:w="2556"/>
            <w:vAlign w:val="top"/>
          </w:tcPr>
          <w:p>
            <w:r>
              <w:rPr>
                <w:rFonts w:ascii="Arial" w:hAnsi="Arial"/>
                <w:sz w:val="16"/>
              </w:rPr>
              <w:t>Update artifacts</w:t>
            </w:r>
          </w:p>
        </w:tc>
        <w:tc>
          <w:tcPr>
            <w:tcW w:type="dxa" w:w="2556"/>
            <w:vAlign w:val="top"/>
          </w:tcPr>
          <w:p>
            <w:r>
              <w:rPr>
                <w:rFonts w:ascii="Arial" w:hAnsi="Arial"/>
                <w:sz w:val="16"/>
              </w:rPr>
              <w:t>Product, Lauren</w:t>
            </w:r>
          </w:p>
        </w:tc>
        <w:tc>
          <w:tcPr>
            <w:tcW w:type="dxa" w:w="2556"/>
            <w:vAlign w:val="top"/>
          </w:tcPr>
          <w:p>
            <w:r>
              <w:rPr>
                <w:rFonts w:ascii="Arial" w:hAnsi="Arial"/>
                <w:sz w:val="16"/>
              </w:rPr>
              <w:t>Critical gaps are addressed</w:t>
            </w:r>
          </w:p>
        </w:tc>
      </w:tr>
      <w:tr>
        <w:tc>
          <w:tcPr>
            <w:tcW w:type="dxa" w:w="2556"/>
            <w:vAlign w:val="top"/>
          </w:tcPr>
          <w:p>
            <w:r>
              <w:rPr>
                <w:rFonts w:ascii="Arial" w:hAnsi="Arial"/>
                <w:sz w:val="16"/>
              </w:rPr>
              <w:t>2:00 to 3:00</w:t>
            </w:r>
          </w:p>
        </w:tc>
        <w:tc>
          <w:tcPr>
            <w:tcW w:type="dxa" w:w="2556"/>
            <w:vAlign w:val="top"/>
          </w:tcPr>
          <w:p>
            <w:r>
              <w:rPr>
                <w:rFonts w:ascii="Arial" w:hAnsi="Arial"/>
                <w:sz w:val="16"/>
              </w:rPr>
              <w:t>Define first pod execution slice and norms</w:t>
            </w:r>
          </w:p>
        </w:tc>
        <w:tc>
          <w:tcPr>
            <w:tcW w:type="dxa" w:w="2556"/>
            <w:vAlign w:val="top"/>
          </w:tcPr>
          <w:p>
            <w:r>
              <w:rPr>
                <w:rFonts w:ascii="Arial" w:hAnsi="Arial"/>
                <w:sz w:val="16"/>
              </w:rPr>
              <w:t>Product, Engineering, Architecture, QA if available</w:t>
            </w:r>
          </w:p>
        </w:tc>
        <w:tc>
          <w:tcPr>
            <w:tcW w:type="dxa" w:w="2556"/>
            <w:vAlign w:val="top"/>
          </w:tcPr>
          <w:p>
            <w:r>
              <w:rPr>
                <w:rFonts w:ascii="Arial" w:hAnsi="Arial"/>
                <w:sz w:val="16"/>
              </w:rPr>
              <w:t>Pod can start without debating basics</w:t>
            </w:r>
          </w:p>
        </w:tc>
      </w:tr>
      <w:tr>
        <w:tc>
          <w:tcPr>
            <w:tcW w:type="dxa" w:w="2556"/>
            <w:vAlign w:val="top"/>
          </w:tcPr>
          <w:p>
            <w:r>
              <w:rPr>
                <w:rFonts w:ascii="Arial" w:hAnsi="Arial"/>
                <w:sz w:val="16"/>
              </w:rPr>
              <w:t>3:00 to 3:30</w:t>
            </w:r>
          </w:p>
        </w:tc>
        <w:tc>
          <w:tcPr>
            <w:tcW w:type="dxa" w:w="2556"/>
            <w:vAlign w:val="top"/>
          </w:tcPr>
          <w:p>
            <w:r>
              <w:rPr>
                <w:rFonts w:ascii="Arial" w:hAnsi="Arial"/>
                <w:sz w:val="16"/>
              </w:rPr>
              <w:t>Publish v1 packet</w:t>
            </w:r>
          </w:p>
        </w:tc>
        <w:tc>
          <w:tcPr>
            <w:tcW w:type="dxa" w:w="2556"/>
            <w:vAlign w:val="top"/>
          </w:tcPr>
          <w:p>
            <w:r>
              <w:rPr>
                <w:rFonts w:ascii="Arial" w:hAnsi="Arial"/>
                <w:sz w:val="16"/>
              </w:rPr>
              <w:t>Working lead</w:t>
            </w:r>
          </w:p>
        </w:tc>
        <w:tc>
          <w:tcPr>
            <w:tcW w:type="dxa" w:w="2556"/>
            <w:vAlign w:val="top"/>
          </w:tcPr>
          <w:p>
            <w:r>
              <w:rPr>
                <w:rFonts w:ascii="Arial" w:hAnsi="Arial"/>
                <w:sz w:val="16"/>
              </w:rPr>
              <w:t>Shared location and decision log are live</w:t>
            </w:r>
          </w:p>
        </w:tc>
      </w:tr>
    </w:tbl>
    <w:p/>
    <w:p>
      <w:pPr>
        <w:pStyle w:val="Heading1"/>
      </w:pPr>
      <w:r>
        <w:t>Gates</w:t>
      </w:r>
    </w:p>
    <w:p>
      <w:pPr>
        <w:pStyle w:val="Heading2"/>
      </w:pPr>
      <w:r>
        <w:t>Gate 0, Onsite ready</w:t>
      </w:r>
    </w:p>
    <w:p>
      <w:r>
        <w:t>Entry criteria:</w:t>
      </w:r>
    </w:p>
    <w:p>
      <w:pPr>
        <w:pStyle w:val="ListBullet"/>
      </w:pPr>
      <w:r>
        <w:t>Telehealth proposal or starting document exists.</w:t>
      </w:r>
    </w:p>
    <w:p>
      <w:pPr>
        <w:pStyle w:val="ListBullet"/>
      </w:pPr>
      <w:r>
        <w:t>Product attendees are named.</w:t>
      </w:r>
    </w:p>
    <w:p>
      <w:pPr>
        <w:pStyle w:val="ListBullet"/>
      </w:pPr>
      <w:r>
        <w:t>Engineering validators are named.</w:t>
      </w:r>
    </w:p>
    <w:p>
      <w:pPr>
        <w:pStyle w:val="ListBullet"/>
      </w:pPr>
      <w:r>
        <w:t>Artifact location is selected or proposed.</w:t>
      </w:r>
    </w:p>
    <w:p>
      <w:r>
        <w:t>Exit criteria:</w:t>
      </w:r>
    </w:p>
    <w:p>
      <w:pPr>
        <w:pStyle w:val="ListBullet"/>
      </w:pPr>
      <w:r>
        <w:t>Wednesday and Thursday participants know the purpose and expected outputs.</w:t>
      </w:r>
    </w:p>
    <w:p>
      <w:pPr>
        <w:pStyle w:val="Heading2"/>
      </w:pPr>
      <w:r>
        <w:t>Gate 1, Product definition complete</w:t>
      </w:r>
    </w:p>
    <w:p>
      <w:r>
        <w:t>Exit criteria:</w:t>
      </w:r>
    </w:p>
    <w:p>
      <w:pPr>
        <w:pStyle w:val="ListBullet"/>
      </w:pPr>
      <w:r>
        <w:t>Product outcome brief exists.</w:t>
      </w:r>
    </w:p>
    <w:p>
      <w:pPr>
        <w:pStyle w:val="ListBullet"/>
      </w:pPr>
      <w:r>
        <w:t>MVP scope and exclusions are explicit.</w:t>
      </w:r>
    </w:p>
    <w:p>
      <w:pPr>
        <w:pStyle w:val="ListBullet"/>
      </w:pPr>
      <w:r>
        <w:t>Success metric is defined.</w:t>
      </w:r>
    </w:p>
    <w:p>
      <w:pPr>
        <w:pStyle w:val="ListBullet"/>
      </w:pPr>
      <w:r>
        <w:t>Current and desired workflow are documented.</w:t>
      </w:r>
    </w:p>
    <w:p>
      <w:pPr>
        <w:pStyle w:val="ListBullet"/>
      </w:pPr>
      <w:r>
        <w:t>Known assumptions and open questions are captured.</w:t>
      </w:r>
    </w:p>
    <w:p>
      <w:pPr>
        <w:pStyle w:val="Heading2"/>
      </w:pPr>
      <w:r>
        <w:t>Gate 2, Blind validation complete</w:t>
      </w:r>
    </w:p>
    <w:p>
      <w:r>
        <w:t>Exit criteria:</w:t>
      </w:r>
    </w:p>
    <w:p>
      <w:pPr>
        <w:pStyle w:val="ListBullet"/>
      </w:pPr>
      <w:r>
        <w:t>Engineering and Architecture can restate what is being built and why.</w:t>
      </w:r>
    </w:p>
    <w:p>
      <w:pPr>
        <w:pStyle w:val="ListBullet"/>
      </w:pPr>
      <w:r>
        <w:t>Missing information is captured.</w:t>
      </w:r>
    </w:p>
    <w:p>
      <w:pPr>
        <w:pStyle w:val="ListBullet"/>
      </w:pPr>
      <w:r>
        <w:t>Critical gaps are either closed or assigned to owners.</w:t>
      </w:r>
    </w:p>
    <w:p>
      <w:pPr>
        <w:pStyle w:val="ListBullet"/>
      </w:pPr>
      <w:r>
        <w:t>No one is relying on hallway context or tribal knowledge to understand the work.</w:t>
      </w:r>
    </w:p>
    <w:p>
      <w:pPr>
        <w:pStyle w:val="Heading2"/>
      </w:pPr>
      <w:r>
        <w:t>Gate 3, Build readiness</w:t>
      </w:r>
    </w:p>
    <w:p>
      <w:r>
        <w:t>Exit criteria:</w:t>
      </w:r>
    </w:p>
    <w:p>
      <w:pPr>
        <w:pStyle w:val="ListBullet"/>
      </w:pPr>
      <w:r>
        <w:t>First execution slice is defined.</w:t>
      </w:r>
    </w:p>
    <w:p>
      <w:pPr>
        <w:pStyle w:val="ListBullet"/>
      </w:pPr>
      <w:r>
        <w:t>Product, Engineering, Architecture, and QA expectations are visible.</w:t>
      </w:r>
    </w:p>
    <w:p>
      <w:pPr>
        <w:pStyle w:val="ListBullet"/>
      </w:pPr>
      <w:r>
        <w:t>Decision log exists.</w:t>
      </w:r>
    </w:p>
    <w:p>
      <w:pPr>
        <w:pStyle w:val="ListBullet"/>
      </w:pPr>
      <w:r>
        <w:t>Risk and blocker log exists.</w:t>
      </w:r>
    </w:p>
    <w:p>
      <w:pPr>
        <w:pStyle w:val="ListBullet"/>
      </w:pPr>
      <w:r>
        <w:t>Pod communication norms are defined.</w:t>
      </w:r>
    </w:p>
    <w:p>
      <w:pPr>
        <w:pStyle w:val="Heading1"/>
      </w:pPr>
      <w:r>
        <w:t>Metrics of success</w:t>
      </w:r>
    </w:p>
    <w:p>
      <w:r>
        <w:t>Use these to decide whether the onsite worked.</w:t>
      </w:r>
    </w:p>
    <w:p>
      <w:pPr>
        <w:pStyle w:val="ListBullet"/>
      </w:pPr>
      <w:r>
        <w:t>Product artifact completion by end of Wednesday.</w:t>
      </w:r>
    </w:p>
    <w:p>
      <w:pPr>
        <w:pStyle w:val="ListBullet"/>
      </w:pPr>
      <w:r>
        <w:t>Engineering blind validation clarity score, target 4 out of 5 or better.</w:t>
      </w:r>
    </w:p>
    <w:p>
      <w:pPr>
        <w:pStyle w:val="ListBullet"/>
      </w:pPr>
      <w:r>
        <w:t>Number of critical gaps found during blind validation.</w:t>
      </w:r>
    </w:p>
    <w:p>
      <w:pPr>
        <w:pStyle w:val="ListBullet"/>
      </w:pPr>
      <w:r>
        <w:t>Number of gaps that could have been found by Product before validation.</w:t>
      </w:r>
    </w:p>
    <w:p>
      <w:pPr>
        <w:pStyle w:val="ListBullet"/>
      </w:pPr>
      <w:r>
        <w:t>Time from artifact handoff to Engineering restatement.</w:t>
      </w:r>
    </w:p>
    <w:p>
      <w:pPr>
        <w:pStyle w:val="ListBullet"/>
      </w:pPr>
      <w:r>
        <w:t>Percent of Engineering questions answered by artifacts without verbal explanation.</w:t>
      </w:r>
    </w:p>
    <w:p>
      <w:pPr>
        <w:pStyle w:val="ListBullet"/>
      </w:pPr>
      <w:r>
        <w:t>Build-readiness decision by Thursday noon or end of Thursday at latest.</w:t>
      </w:r>
    </w:p>
    <w:p>
      <w:pPr>
        <w:pStyle w:val="ListBullet"/>
      </w:pPr>
      <w:r>
        <w:t>Team confidence that the process is better than today, target 4 out of 5 or better.</w:t>
      </w:r>
    </w:p>
    <w:p>
      <w:pPr>
        <w:pStyle w:val="Heading1"/>
      </w:pPr>
      <w:r>
        <w:t>Definition of done</w:t>
      </w:r>
    </w:p>
    <w:p>
      <w:r>
        <w:t>This onsite is done when the team has a usable Telehealth artifact pack, a validated readiness model, a first execution slice, and a clear list of improvements for the next pod.</w:t>
      </w:r>
    </w:p>
    <w:p>
      <w:r>
        <w:t>Done does not mean the process is perfect. Done means the pod is better equipped to start than it would have been under the current approach.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AI_Enabled_Onsite_Product_to_Pod_Plan_aggressive_1to2_day</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