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Operational Notifications — Integration Layer: Design &amp; Estimation</w:t>
      </w:r>
    </w:p>
    <w:p>
      <w:pPr>
        <w:spacing w:after="200"/>
      </w:pPr>
      <w:r>
        <w:rPr>
          <w:i/>
          <w:iCs/>
          <w:color w:val="666666"/>
        </w:rPr>
        <w:t xml:space="preserve">Prepared following the STARK UK estimation template. As-of 28 October 2026.</w:t>
      </w:r>
    </w:p>
    <w:p>
      <w:pPr>
        <w:pStyle w:val="Heading1"/>
        <w:spacing w:after="120" w:before="280"/>
      </w:pPr>
      <w:r>
        <w:t xml:space="preserve">Overview</w:t>
      </w:r>
    </w:p>
    <w:p>
      <w:pPr>
        <w:spacing w:after="120"/>
      </w:pPr>
      <w:r>
        <w:rPr>
          <w:b w:val="false"/>
          <w:bCs w:val="false"/>
        </w:rPr>
        <w:t xml:space="preserve">To deliver operational notifications to Jewson customers (order, account, invoice and selected branch events), the integration layer must detect business events in the persistence layer and hand them to a third-party Notification Service that performs delivery across push, SMS and email. This document covers the integration-layer scope only: the EVENT table, how it is populated, and the Azure Function that forwards events to the Notification Service.</w:t>
      </w:r>
    </w:p>
    <w:p>
      <w:pPr>
        <w:spacing w:after="120"/>
      </w:pPr>
      <w:r>
        <w:rPr>
          <w:b w:val="false"/>
          <w:bCs w:val="false"/>
        </w:rPr>
        <w:t xml:space="preserve">The scope boundary is the hand-off from the dispatcher Function to the Notification Service. </w:t>
      </w:r>
      <w:r>
        <w:rPr>
          <w:b w:val="false"/>
          <w:bCs w:val="false"/>
        </w:rPr>
        <w:t xml:space="preserve">Delivery, channel fallback and consent sit with the vendor and are out of scope. Marketing notifications remain in Salesforce Marketing Cloud and are out of scope.</w:t>
      </w:r>
    </w:p>
    <w:p>
      <w:pPr>
        <w:spacing w:after="120"/>
      </w:pPr>
      <w:r>
        <w:rPr>
          <w:b w:val="false"/>
          <w:bCs w:val="false"/>
        </w:rPr>
        <w:t xml:space="preserve">The detailed design (schema, population approaches, dispatcher, duplicate detection, failure handling and testing) is maintained separately; this document carries the analysis and estimation.</w:t>
      </w:r>
    </w:p>
    <w:p>
      <w:pPr>
        <w:pStyle w:val="Heading1"/>
        <w:spacing w:after="120" w:before="280"/>
      </w:pPr>
      <w:r>
        <w:t xml:space="preserve">Key components</w:t>
      </w:r>
    </w:p>
    <w:p>
      <w:pPr>
        <w:spacing w:after="120"/>
      </w:pPr>
      <w:r>
        <w:rPr>
          <w:b w:val="false"/>
          <w:bCs w:val="false"/>
        </w:rPr>
        <w:t xml:space="preserve">The solution involves the following key components:</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6400"/>
      </w:tblGrid>
      <w:tr>
        <w:trPr>
          <w:tblHeader/>
        </w:trPr>
        <w:tc>
          <w:tcPr>
            <w:tcW w:type="dxa" w:w="2600"/>
            <w:shd w:fill="D9D9D9" w:color="auto" w:val="clear"/>
            <w:tcMar>
              <w:top w:type="dxa" w:w="40"/>
              <w:left w:type="dxa" w:w="90"/>
              <w:bottom w:type="dxa" w:w="40"/>
              <w:right w:type="dxa" w:w="90"/>
            </w:tcMar>
          </w:tcPr>
          <w:p>
            <w:r>
              <w:rPr>
                <w:b/>
                <w:bCs/>
              </w:rPr>
              <w:t xml:space="preserve">Component/System</w:t>
            </w:r>
          </w:p>
        </w:tc>
        <w:tc>
          <w:tcPr>
            <w:tcW w:type="dxa" w:w="6400"/>
            <w:shd w:fill="D9D9D9" w:color="auto" w:val="clear"/>
            <w:tcMar>
              <w:top w:type="dxa" w:w="40"/>
              <w:left w:type="dxa" w:w="90"/>
              <w:bottom w:type="dxa" w:w="40"/>
              <w:right w:type="dxa" w:w="90"/>
            </w:tcMar>
          </w:tcPr>
          <w:p>
            <w:r>
              <w:rPr>
                <w:b/>
                <w:bCs/>
              </w:rPr>
              <w:t xml:space="preserve">Description</w:t>
            </w:r>
          </w:p>
        </w:tc>
      </w:tr>
      <w:tr>
        <w:tc>
          <w:tcPr>
            <w:tcW w:type="dxa" w:w="2600"/>
            <w:tcMar>
              <w:top w:type="dxa" w:w="40"/>
              <w:left w:type="dxa" w:w="90"/>
              <w:bottom w:type="dxa" w:w="40"/>
              <w:right w:type="dxa" w:w="90"/>
            </w:tcMar>
          </w:tcPr>
          <w:p>
            <w:r>
              <w:rPr>
                <w:b w:val="false"/>
                <w:bCs w:val="false"/>
              </w:rPr>
              <w:t xml:space="preserve">JCA</w:t>
            </w:r>
          </w:p>
        </w:tc>
        <w:tc>
          <w:tcPr>
            <w:tcW w:type="dxa" w:w="6400"/>
            <w:tcMar>
              <w:top w:type="dxa" w:w="40"/>
              <w:left w:type="dxa" w:w="90"/>
              <w:bottom w:type="dxa" w:w="40"/>
              <w:right w:type="dxa" w:w="90"/>
            </w:tcMar>
          </w:tcPr>
          <w:p>
            <w:r>
              <w:rPr>
                <w:b w:val="false"/>
                <w:bCs w:val="false"/>
              </w:rPr>
              <w:t xml:space="preserve">The Jewson Customer App. Consumer of the in-app notification inbox, if in scope.</w:t>
            </w:r>
          </w:p>
        </w:tc>
      </w:tr>
      <w:tr>
        <w:tc>
          <w:tcPr>
            <w:tcW w:type="dxa" w:w="2600"/>
            <w:tcMar>
              <w:top w:type="dxa" w:w="40"/>
              <w:left w:type="dxa" w:w="90"/>
              <w:bottom w:type="dxa" w:w="40"/>
              <w:right w:type="dxa" w:w="90"/>
            </w:tcMar>
          </w:tcPr>
          <w:p>
            <w:r>
              <w:rPr>
                <w:b w:val="false"/>
                <w:bCs w:val="false"/>
              </w:rPr>
              <w:t xml:space="preserve">Persistence Layer DBs</w:t>
            </w:r>
          </w:p>
        </w:tc>
        <w:tc>
          <w:tcPr>
            <w:tcW w:type="dxa" w:w="6400"/>
            <w:tcMar>
              <w:top w:type="dxa" w:w="40"/>
              <w:left w:type="dxa" w:w="90"/>
              <w:bottom w:type="dxa" w:w="40"/>
              <w:right w:type="dxa" w:w="90"/>
            </w:tcMar>
          </w:tcPr>
          <w:p>
            <w:r>
              <w:rPr>
                <w:b w:val="false"/>
                <w:bCs w:val="false"/>
              </w:rPr>
              <w:t xml:space="preserve">Accounts DB and Orders DB holding the source data that events are derived from.</w:t>
            </w:r>
          </w:p>
        </w:tc>
      </w:tr>
      <w:tr>
        <w:tc>
          <w:tcPr>
            <w:tcW w:type="dxa" w:w="2600"/>
            <w:tcMar>
              <w:top w:type="dxa" w:w="40"/>
              <w:left w:type="dxa" w:w="90"/>
              <w:bottom w:type="dxa" w:w="40"/>
              <w:right w:type="dxa" w:w="90"/>
            </w:tcMar>
          </w:tcPr>
          <w:p>
            <w:r>
              <w:rPr>
                <w:b w:val="false"/>
                <w:bCs w:val="false"/>
              </w:rPr>
              <w:t xml:space="preserve">Data-lake sync (ETL)</w:t>
            </w:r>
          </w:p>
        </w:tc>
        <w:tc>
          <w:tcPr>
            <w:tcW w:type="dxa" w:w="6400"/>
            <w:tcMar>
              <w:top w:type="dxa" w:w="40"/>
              <w:left w:type="dxa" w:w="90"/>
              <w:bottom w:type="dxa" w:w="40"/>
              <w:right w:type="dxa" w:w="90"/>
            </w:tcMar>
          </w:tcPr>
          <w:p>
            <w:r>
              <w:rPr>
                <w:b w:val="false"/>
                <w:bCs w:val="false"/>
              </w:rPr>
              <w:t xml:space="preserve">Loads data back into the persistence-layer DBs and raises events as part of the load.</w:t>
            </w:r>
          </w:p>
        </w:tc>
      </w:tr>
      <w:tr>
        <w:tc>
          <w:tcPr>
            <w:tcW w:type="dxa" w:w="2600"/>
            <w:tcMar>
              <w:top w:type="dxa" w:w="40"/>
              <w:left w:type="dxa" w:w="90"/>
              <w:bottom w:type="dxa" w:w="40"/>
              <w:right w:type="dxa" w:w="90"/>
            </w:tcMar>
          </w:tcPr>
          <w:p>
            <w:r>
              <w:rPr>
                <w:b w:val="false"/>
                <w:bCs w:val="false"/>
              </w:rPr>
              <w:t xml:space="preserve">NotificationEvent (3 tables)</w:t>
            </w:r>
          </w:p>
        </w:tc>
        <w:tc>
          <w:tcPr>
            <w:tcW w:type="dxa" w:w="6400"/>
            <w:tcMar>
              <w:top w:type="dxa" w:w="40"/>
              <w:left w:type="dxa" w:w="90"/>
              <w:bottom w:type="dxa" w:w="40"/>
              <w:right w:type="dxa" w:w="90"/>
            </w:tcMar>
          </w:tcPr>
          <w:p>
            <w:r>
              <w:rPr>
                <w:b w:val="false"/>
                <w:bCs w:val="false"/>
              </w:rPr>
              <w:t xml:space="preserve">Three standalone tables per service in the notification schema — NotificationEvent (live outbox), NotificationEventAudit (delivered), NotificationEventDeadLetter (permanent failures). No foreign keys.</w:t>
            </w:r>
          </w:p>
        </w:tc>
      </w:tr>
      <w:tr>
        <w:tc>
          <w:tcPr>
            <w:tcW w:type="dxa" w:w="2600"/>
            <w:tcMar>
              <w:top w:type="dxa" w:w="40"/>
              <w:left w:type="dxa" w:w="90"/>
              <w:bottom w:type="dxa" w:w="40"/>
              <w:right w:type="dxa" w:w="90"/>
            </w:tcMar>
          </w:tcPr>
          <w:p>
            <w:r>
              <w:rPr>
                <w:b w:val="false"/>
                <w:bCs w:val="false"/>
              </w:rPr>
              <w:t xml:space="preserve">Detection SPs</w:t>
            </w:r>
          </w:p>
        </w:tc>
        <w:tc>
          <w:tcPr>
            <w:tcW w:type="dxa" w:w="6400"/>
            <w:tcMar>
              <w:top w:type="dxa" w:w="40"/>
              <w:left w:type="dxa" w:w="90"/>
              <w:bottom w:type="dxa" w:w="40"/>
              <w:right w:type="dxa" w:w="90"/>
            </w:tcMar>
          </w:tcPr>
          <w:p>
            <w:r>
              <w:rPr>
                <w:b w:val="false"/>
                <w:bCs w:val="false"/>
              </w:rPr>
              <w:t xml:space="preserve">usp_RaiseNotificationEvent and per-domain usp_RaiseOrderEvents / usp_RaiseAccountEvents.</w:t>
            </w:r>
          </w:p>
        </w:tc>
      </w:tr>
      <w:tr>
        <w:tc>
          <w:tcPr>
            <w:tcW w:type="dxa" w:w="2600"/>
            <w:tcMar>
              <w:top w:type="dxa" w:w="40"/>
              <w:left w:type="dxa" w:w="90"/>
              <w:bottom w:type="dxa" w:w="40"/>
              <w:right w:type="dxa" w:w="90"/>
            </w:tcMar>
          </w:tcPr>
          <w:p>
            <w:r>
              <w:rPr>
                <w:b w:val="false"/>
                <w:bCs w:val="false"/>
              </w:rPr>
              <w:t xml:space="preserve">DB triggers</w:t>
            </w:r>
          </w:p>
        </w:tc>
        <w:tc>
          <w:tcPr>
            <w:tcW w:type="dxa" w:w="6400"/>
            <w:tcMar>
              <w:top w:type="dxa" w:w="40"/>
              <w:left w:type="dxa" w:w="90"/>
              <w:bottom w:type="dxa" w:w="40"/>
              <w:right w:type="dxa" w:w="90"/>
            </w:tcMar>
          </w:tcPr>
          <w:p>
            <w:r>
              <w:rPr>
                <w:b w:val="false"/>
                <w:bCs w:val="false"/>
              </w:rPr>
              <w:t xml:space="preserve">Field-watching triggers for credit limit, credit status and strategic balance.</w:t>
            </w:r>
          </w:p>
        </w:tc>
      </w:tr>
      <w:tr>
        <w:tc>
          <w:tcPr>
            <w:tcW w:type="dxa" w:w="2600"/>
            <w:tcMar>
              <w:top w:type="dxa" w:w="40"/>
              <w:left w:type="dxa" w:w="90"/>
              <w:bottom w:type="dxa" w:w="40"/>
              <w:right w:type="dxa" w:w="90"/>
            </w:tcMar>
          </w:tcPr>
          <w:p>
            <w:r>
              <w:rPr>
                <w:b w:val="false"/>
                <w:bCs w:val="false"/>
              </w:rPr>
              <w:t xml:space="preserve">Dispatcher Function</w:t>
            </w:r>
          </w:p>
        </w:tc>
        <w:tc>
          <w:tcPr>
            <w:tcW w:type="dxa" w:w="6400"/>
            <w:tcMar>
              <w:top w:type="dxa" w:w="40"/>
              <w:left w:type="dxa" w:w="90"/>
              <w:bottom w:type="dxa" w:w="40"/>
              <w:right w:type="dxa" w:w="90"/>
            </w:tcMar>
          </w:tcPr>
          <w:p>
            <w:r>
              <w:rPr>
                <w:b w:val="false"/>
                <w:bCs w:val="false"/>
              </w:rPr>
              <w:t xml:space="preserve">Timer-triggered Azure Function that claims events from the table and POSTs them over HTTPS to the Notification Service. One instance per service domain. No queue or broker.</w:t>
            </w:r>
          </w:p>
        </w:tc>
      </w:tr>
      <w:tr>
        <w:tc>
          <w:tcPr>
            <w:tcW w:type="dxa" w:w="2600"/>
            <w:tcMar>
              <w:top w:type="dxa" w:w="40"/>
              <w:left w:type="dxa" w:w="90"/>
              <w:bottom w:type="dxa" w:w="40"/>
              <w:right w:type="dxa" w:w="90"/>
            </w:tcMar>
          </w:tcPr>
          <w:p>
            <w:r>
              <w:rPr>
                <w:b w:val="false"/>
                <w:bCs w:val="false"/>
              </w:rPr>
              <w:t xml:space="preserve">Notification Service</w:t>
            </w:r>
          </w:p>
        </w:tc>
        <w:tc>
          <w:tcPr>
            <w:tcW w:type="dxa" w:w="6400"/>
            <w:tcMar>
              <w:top w:type="dxa" w:w="40"/>
              <w:left w:type="dxa" w:w="90"/>
              <w:bottom w:type="dxa" w:w="40"/>
              <w:right w:type="dxa" w:w="90"/>
            </w:tcMar>
          </w:tcPr>
          <w:p>
            <w:r>
              <w:rPr>
                <w:b w:val="false"/>
                <w:bCs w:val="false"/>
              </w:rPr>
              <w:t xml:space="preserve">Third-party (vendor) platform that delivers push, SMS and email.</w:t>
            </w:r>
          </w:p>
        </w:tc>
      </w:tr>
      <w:tr>
        <w:tc>
          <w:tcPr>
            <w:tcW w:type="dxa" w:w="2600"/>
            <w:tcMar>
              <w:top w:type="dxa" w:w="40"/>
              <w:left w:type="dxa" w:w="90"/>
              <w:bottom w:type="dxa" w:w="40"/>
              <w:right w:type="dxa" w:w="90"/>
            </w:tcMar>
          </w:tcPr>
          <w:p>
            <w:r>
              <w:rPr>
                <w:b w:val="false"/>
                <w:bCs w:val="false"/>
              </w:rPr>
              <w:t xml:space="preserve">SFMC</w:t>
            </w:r>
          </w:p>
        </w:tc>
        <w:tc>
          <w:tcPr>
            <w:tcW w:type="dxa" w:w="6400"/>
            <w:tcMar>
              <w:top w:type="dxa" w:w="40"/>
              <w:left w:type="dxa" w:w="90"/>
              <w:bottom w:type="dxa" w:w="40"/>
              <w:right w:type="dxa" w:w="90"/>
            </w:tcMar>
          </w:tcPr>
          <w:p>
            <w:r>
              <w:rPr>
                <w:b w:val="false"/>
                <w:bCs w:val="false"/>
              </w:rPr>
              <w:t xml:space="preserve">Salesforce Marketing Cloud — marketing notifications, out of scope.</w:t>
            </w:r>
          </w:p>
        </w:tc>
      </w:tr>
    </w:tbl>
    <w:p>
      <w:pPr>
        <w:spacing w:after="60"/>
      </w:pPr>
      <w:r>
        <w:t xml:space="preserve"/>
      </w:r>
    </w:p>
    <w:p>
      <w:pPr>
        <w:pStyle w:val="Heading1"/>
        <w:spacing w:after="120" w:before="280"/>
      </w:pPr>
      <w:r>
        <w:t xml:space="preserve">Assumptions</w:t>
      </w:r>
    </w:p>
    <w:p>
      <w:pPr>
        <w:spacing w:after="120"/>
      </w:pPr>
      <w:r>
        <w:rPr>
          <w:b w:val="false"/>
          <w:bCs w:val="false"/>
        </w:rPr>
        <w:t xml:space="preserve">In this document the following assumptions were made:</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000"/>
        <w:gridCol w:w="6500"/>
        <w:gridCol w:w="1500"/>
      </w:tblGrid>
      <w:tr>
        <w:trPr>
          <w:tblHeader/>
        </w:trPr>
        <w:tc>
          <w:tcPr>
            <w:tcW w:type="dxa" w:w="1000"/>
            <w:shd w:fill="D9D9D9" w:color="auto" w:val="clear"/>
            <w:tcMar>
              <w:top w:type="dxa" w:w="40"/>
              <w:left w:type="dxa" w:w="90"/>
              <w:bottom w:type="dxa" w:w="40"/>
              <w:right w:type="dxa" w:w="90"/>
            </w:tcMar>
          </w:tcPr>
          <w:p>
            <w:r>
              <w:rPr>
                <w:b/>
                <w:bCs/>
              </w:rPr>
              <w:t xml:space="preserve">Assumption</w:t>
            </w:r>
          </w:p>
        </w:tc>
        <w:tc>
          <w:tcPr>
            <w:tcW w:type="dxa" w:w="6500"/>
            <w:shd w:fill="D9D9D9" w:color="auto" w:val="clear"/>
            <w:tcMar>
              <w:top w:type="dxa" w:w="40"/>
              <w:left w:type="dxa" w:w="90"/>
              <w:bottom w:type="dxa" w:w="40"/>
              <w:right w:type="dxa" w:w="90"/>
            </w:tcMar>
          </w:tcPr>
          <w:p>
            <w:r>
              <w:rPr>
                <w:b/>
                <w:bCs/>
              </w:rPr>
              <w:t xml:space="preserve">Description</w:t>
            </w:r>
          </w:p>
        </w:tc>
        <w:tc>
          <w:tcPr>
            <w:tcW w:type="dxa" w:w="1500"/>
            <w:shd w:fill="D9D9D9" w:color="auto" w:val="clear"/>
            <w:tcMar>
              <w:top w:type="dxa" w:w="40"/>
              <w:left w:type="dxa" w:w="90"/>
              <w:bottom w:type="dxa" w:w="40"/>
              <w:right w:type="dxa" w:w="90"/>
            </w:tcMar>
          </w:tcPr>
          <w:p>
            <w:r>
              <w:rPr>
                <w:b/>
                <w:bCs/>
              </w:rPr>
              <w:t xml:space="preserve">Verified</w:t>
            </w:r>
          </w:p>
        </w:tc>
      </w:tr>
      <w:tr>
        <w:tc>
          <w:tcPr>
            <w:tcW w:type="dxa" w:w="1000"/>
            <w:tcMar>
              <w:top w:type="dxa" w:w="40"/>
              <w:left w:type="dxa" w:w="90"/>
              <w:bottom w:type="dxa" w:w="40"/>
              <w:right w:type="dxa" w:w="90"/>
            </w:tcMar>
          </w:tcPr>
          <w:p>
            <w:r>
              <w:rPr>
                <w:b w:val="false"/>
                <w:bCs w:val="false"/>
              </w:rPr>
              <w:t xml:space="preserve">A01</w:t>
            </w:r>
          </w:p>
        </w:tc>
        <w:tc>
          <w:tcPr>
            <w:tcW w:type="dxa" w:w="6500"/>
            <w:tcMar>
              <w:top w:type="dxa" w:w="40"/>
              <w:left w:type="dxa" w:w="90"/>
              <w:bottom w:type="dxa" w:w="40"/>
              <w:right w:type="dxa" w:w="90"/>
            </w:tcMar>
          </w:tcPr>
          <w:p>
            <w:r>
              <w:rPr>
                <w:b w:val="false"/>
                <w:bCs w:val="false"/>
              </w:rPr>
              <w:t xml:space="preserve">It is possible to modify the data-lake sync to call detection stored procedures after each domain load.</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A02</w:t>
            </w:r>
          </w:p>
        </w:tc>
        <w:tc>
          <w:tcPr>
            <w:tcW w:type="dxa" w:w="6500"/>
            <w:tcMar>
              <w:top w:type="dxa" w:w="40"/>
              <w:left w:type="dxa" w:w="90"/>
              <w:bottom w:type="dxa" w:w="40"/>
              <w:right w:type="dxa" w:w="90"/>
            </w:tcMar>
          </w:tcPr>
          <w:p>
            <w:r>
              <w:rPr>
                <w:b w:val="false"/>
                <w:bCs w:val="false"/>
              </w:rPr>
              <w:t xml:space="preserve">Field-watching triggers can be added to ACCOUNTS and ACCOUNTS_EXTENSION_GETPAID without unacceptable bulk-load overhead (to be confirmed by load test).</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A03</w:t>
            </w:r>
          </w:p>
        </w:tc>
        <w:tc>
          <w:tcPr>
            <w:tcW w:type="dxa" w:w="6500"/>
            <w:tcMar>
              <w:top w:type="dxa" w:w="40"/>
              <w:left w:type="dxa" w:w="90"/>
              <w:bottom w:type="dxa" w:w="40"/>
              <w:right w:type="dxa" w:w="90"/>
            </w:tcMar>
          </w:tcPr>
          <w:p>
            <w:r>
              <w:rPr>
                <w:b w:val="false"/>
                <w:bCs w:val="false"/>
              </w:rPr>
              <w:t xml:space="preserve">The Notification Service exposes an HTTPS API that accepts an idempotency key per event.</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A04</w:t>
            </w:r>
          </w:p>
        </w:tc>
        <w:tc>
          <w:tcPr>
            <w:tcW w:type="dxa" w:w="6500"/>
            <w:tcMar>
              <w:top w:type="dxa" w:w="40"/>
              <w:left w:type="dxa" w:w="90"/>
              <w:bottom w:type="dxa" w:w="40"/>
              <w:right w:type="dxa" w:w="90"/>
            </w:tcMar>
          </w:tcPr>
          <w:p>
            <w:r>
              <w:rPr>
                <w:b w:val="false"/>
                <w:bCs w:val="false"/>
              </w:rPr>
              <w:t xml:space="preserve">The Notification Service deduplicates on the idempotency key, so at-least-once delivery yields no duplicate the customer sees. </w:t>
            </w:r>
            <w:r>
              <w:rPr>
                <w:b/>
                <w:bCs/>
              </w:rPr>
              <w:t xml:space="preserve">Required for the no-duplicates requirement.</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A05</w:t>
            </w:r>
          </w:p>
        </w:tc>
        <w:tc>
          <w:tcPr>
            <w:tcW w:type="dxa" w:w="6500"/>
            <w:tcMar>
              <w:top w:type="dxa" w:w="40"/>
              <w:left w:type="dxa" w:w="90"/>
              <w:bottom w:type="dxa" w:w="40"/>
              <w:right w:type="dxa" w:w="90"/>
            </w:tcMar>
          </w:tcPr>
          <w:p>
            <w:r>
              <w:rPr>
                <w:b w:val="false"/>
                <w:bCs w:val="false"/>
              </w:rPr>
              <w:t xml:space="preserve">SOS can see orders across all channels and emit order-status changes to the EVENT table via an Assistive API. </w:t>
            </w:r>
            <w:r>
              <w:rPr>
                <w:b/>
                <w:bCs/>
              </w:rPr>
              <w:t xml:space="preserve">Gates the four order-lifecycle events.</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A06</w:t>
            </w:r>
          </w:p>
        </w:tc>
        <w:tc>
          <w:tcPr>
            <w:tcW w:type="dxa" w:w="6500"/>
            <w:tcMar>
              <w:top w:type="dxa" w:w="40"/>
              <w:left w:type="dxa" w:w="90"/>
              <w:bottom w:type="dxa" w:w="40"/>
              <w:right w:type="dxa" w:w="90"/>
            </w:tcMar>
          </w:tcPr>
          <w:p>
            <w:r>
              <w:rPr>
                <w:b w:val="false"/>
                <w:bCs w:val="false"/>
              </w:rPr>
              <w:t xml:space="preserve">Branch opening hours are not fed from SAPCC back to the Store DB, so branch opening-hours notifications are out of scope in the current model.</w:t>
            </w:r>
          </w:p>
        </w:tc>
        <w:tc>
          <w:tcPr>
            <w:tcW w:type="dxa" w:w="1500"/>
            <w:tcMar>
              <w:top w:type="dxa" w:w="40"/>
              <w:left w:type="dxa" w:w="90"/>
              <w:bottom w:type="dxa" w:w="40"/>
              <w:right w:type="dxa" w:w="90"/>
            </w:tcMar>
          </w:tcPr>
          <w:p>
            <w:r>
              <w:rPr>
                <w:b w:val="false"/>
                <w:bCs w:val="false"/>
              </w:rPr>
              <w:t xml:space="preserve">NO</w:t>
            </w:r>
          </w:p>
        </w:tc>
      </w:tr>
      <w:tr>
        <w:tc>
          <w:tcPr>
            <w:tcW w:type="dxa" w:w="1000"/>
            <w:tcMar>
              <w:top w:type="dxa" w:w="40"/>
              <w:left w:type="dxa" w:w="90"/>
              <w:bottom w:type="dxa" w:w="40"/>
              <w:right w:type="dxa" w:w="90"/>
            </w:tcMar>
          </w:tcPr>
          <w:p>
            <w:r>
              <w:rPr>
                <w:b w:val="false"/>
                <w:bCs w:val="false"/>
              </w:rPr>
              <w:t xml:space="preserve">A07</w:t>
            </w:r>
          </w:p>
        </w:tc>
        <w:tc>
          <w:tcPr>
            <w:tcW w:type="dxa" w:w="6500"/>
            <w:tcMar>
              <w:top w:type="dxa" w:w="40"/>
              <w:left w:type="dxa" w:w="90"/>
              <w:bottom w:type="dxa" w:w="40"/>
              <w:right w:type="dxa" w:w="90"/>
            </w:tcMar>
          </w:tcPr>
          <w:p>
            <w:r>
              <w:rPr>
                <w:b w:val="false"/>
                <w:bCs w:val="false"/>
              </w:rPr>
              <w:t xml:space="preserve">The EVENT table resides in the same database as its source data (per domain), so the outbox write is transactional with the data change.</w:t>
            </w:r>
          </w:p>
        </w:tc>
        <w:tc>
          <w:tcPr>
            <w:tcW w:type="dxa" w:w="1500"/>
            <w:tcMar>
              <w:top w:type="dxa" w:w="40"/>
              <w:left w:type="dxa" w:w="90"/>
              <w:bottom w:type="dxa" w:w="40"/>
              <w:right w:type="dxa" w:w="90"/>
            </w:tcMar>
          </w:tcPr>
          <w:p>
            <w:r>
              <w:rPr>
                <w:b w:val="false"/>
                <w:bCs w:val="false"/>
              </w:rPr>
              <w:t xml:space="preserve">YES</w:t>
            </w:r>
          </w:p>
        </w:tc>
      </w:tr>
      <w:tr>
        <w:tc>
          <w:tcPr>
            <w:tcW w:type="dxa" w:w="1000"/>
            <w:tcMar>
              <w:top w:type="dxa" w:w="40"/>
              <w:left w:type="dxa" w:w="90"/>
              <w:bottom w:type="dxa" w:w="40"/>
              <w:right w:type="dxa" w:w="90"/>
            </w:tcMar>
          </w:tcPr>
          <w:p>
            <w:r>
              <w:rPr>
                <w:b w:val="false"/>
                <w:bCs w:val="false"/>
              </w:rPr>
              <w:t xml:space="preserve">A08</w:t>
            </w:r>
          </w:p>
        </w:tc>
        <w:tc>
          <w:tcPr>
            <w:tcW w:type="dxa" w:w="6500"/>
            <w:tcMar>
              <w:top w:type="dxa" w:w="40"/>
              <w:left w:type="dxa" w:w="90"/>
              <w:bottom w:type="dxa" w:w="40"/>
              <w:right w:type="dxa" w:w="90"/>
            </w:tcMar>
          </w:tcPr>
          <w:p>
            <w:r>
              <w:rPr>
                <w:b w:val="false"/>
                <w:bCs w:val="false"/>
              </w:rPr>
              <w:t xml:space="preserve">The dispatcher Function runs on a Premium/Dedicated plan in UK South, VNet-integrated with Private Endpoints and Managed Identity.</w:t>
            </w:r>
          </w:p>
        </w:tc>
        <w:tc>
          <w:tcPr>
            <w:tcW w:type="dxa" w:w="1500"/>
            <w:tcMar>
              <w:top w:type="dxa" w:w="40"/>
              <w:left w:type="dxa" w:w="90"/>
              <w:bottom w:type="dxa" w:w="40"/>
              <w:right w:type="dxa" w:w="90"/>
            </w:tcMar>
          </w:tcPr>
          <w:p>
            <w:r>
              <w:rPr>
                <w:b w:val="false"/>
                <w:bCs w:val="false"/>
              </w:rPr>
              <w:t xml:space="preserve">TBV</w:t>
            </w:r>
          </w:p>
        </w:tc>
      </w:tr>
      <w:tr>
        <w:tc>
          <w:tcPr>
            <w:tcW w:type="dxa" w:w="1000"/>
            <w:tcMar>
              <w:top w:type="dxa" w:w="40"/>
              <w:left w:type="dxa" w:w="90"/>
              <w:bottom w:type="dxa" w:w="40"/>
              <w:right w:type="dxa" w:w="90"/>
            </w:tcMar>
          </w:tcPr>
          <w:p>
            <w:r>
              <w:rPr>
                <w:b w:val="false"/>
                <w:bCs w:val="false"/>
              </w:rPr>
              <w:t xml:space="preserve">A09</w:t>
            </w:r>
          </w:p>
        </w:tc>
        <w:tc>
          <w:tcPr>
            <w:tcW w:type="dxa" w:w="6500"/>
            <w:tcMar>
              <w:top w:type="dxa" w:w="40"/>
              <w:left w:type="dxa" w:w="90"/>
              <w:bottom w:type="dxa" w:w="40"/>
              <w:right w:type="dxa" w:w="90"/>
            </w:tcMar>
          </w:tcPr>
          <w:p>
            <w:r>
              <w:rPr>
                <w:b w:val="false"/>
                <w:bCs w:val="false"/>
              </w:rPr>
              <w:t xml:space="preserve">Marketing notifications are delivered by SFMC and are out of scope for this integration.</w:t>
            </w:r>
          </w:p>
        </w:tc>
        <w:tc>
          <w:tcPr>
            <w:tcW w:type="dxa" w:w="1500"/>
            <w:tcMar>
              <w:top w:type="dxa" w:w="40"/>
              <w:left w:type="dxa" w:w="90"/>
              <w:bottom w:type="dxa" w:w="40"/>
              <w:right w:type="dxa" w:w="90"/>
            </w:tcMar>
          </w:tcPr>
          <w:p>
            <w:r>
              <w:rPr>
                <w:b w:val="false"/>
                <w:bCs w:val="false"/>
              </w:rPr>
              <w:t xml:space="preserve">YES</w:t>
            </w:r>
          </w:p>
        </w:tc>
      </w:tr>
    </w:tbl>
    <w:p>
      <w:pPr>
        <w:spacing w:after="60"/>
      </w:pPr>
      <w:r>
        <w:t xml:space="preserve"/>
      </w:r>
    </w:p>
    <w:p>
      <w:pPr>
        <w:pStyle w:val="Heading1"/>
        <w:spacing w:after="120" w:before="280"/>
      </w:pPr>
      <w:r>
        <w:t xml:space="preserve">Entities</w:t>
      </w:r>
    </w:p>
    <w:p>
      <w:pPr>
        <w:spacing w:after="120"/>
      </w:pPr>
      <w:r>
        <w:rPr>
          <w:b w:val="false"/>
          <w:bCs w:val="false"/>
        </w:rPr>
        <w:t xml:space="preserve">The solution uses a hot / cold split across three standalone tables in a notification schema (per service domain), so the table the dispatcher scans every run holds only live work and stays small. No foreign keys link them — they are related only by the lifecycle movement shown in the diagram.</w:t>
      </w:r>
    </w:p>
    <w:p>
      <w:pPr>
        <w:spacing w:after="120"/>
      </w:pPr>
      <w:r>
        <w:rPr>
          <w:b/>
          <w:bCs/>
        </w:rPr>
        <w:t xml:space="preserve">notification.NotificationEvent — the live outbox. </w:t>
      </w:r>
      <w:r>
        <w:rPr>
          <w:b w:val="false"/>
          <w:bCs w:val="false"/>
        </w:rPr>
        <w:t xml:space="preserve">Holds only in-flight records: Pending (not yet sent), InProgress (claimed, being sent) and Retry (transient failure, awaiting backoff). The moment a record reaches a terminal state it leaves this table, so it never accumulates history and the dispatch claim scan is always fast. One primary key (EventId) and one business key (DedupeKey).</w:t>
      </w:r>
    </w:p>
    <w:p>
      <w:pPr>
        <w:spacing w:after="120"/>
      </w:pPr>
      <w:r>
        <w:rPr>
          <w:b/>
          <w:bCs/>
        </w:rPr>
        <w:t xml:space="preserve">notification.NotificationEventAudit — the permanent record of delivered notifications. </w:t>
      </w:r>
      <w:r>
        <w:rPr>
          <w:b w:val="false"/>
          <w:bCs w:val="false"/>
        </w:rPr>
        <w:t xml:space="preserve">On a successful send the record is moved here in one transaction (inserted into Audit, deleted from the live table), carrying the full event plus the delivery time (SentAt). It is append-only, never scanned by the dispatcher, and is the natural source for audit, reconciliation and an in-app notification inbox.</w:t>
      </w:r>
    </w:p>
    <w:p>
      <w:pPr>
        <w:spacing w:after="120"/>
      </w:pPr>
      <w:r>
        <w:rPr>
          <w:b/>
          <w:bCs/>
        </w:rPr>
        <w:t xml:space="preserve">notification.NotificationEventDeadLetter — permanent failures. </w:t>
      </w:r>
      <w:r>
        <w:rPr>
          <w:b w:val="false"/>
          <w:bCs w:val="false"/>
        </w:rPr>
        <w:t xml:space="preserve">A record that fails permanently (4xx) or exhausts its retries is moved here with its failure detail (FailedAt, FailureReason, LastError). Operators triage from this table; replaying a record means moving it back to the live table as Pending.</w:t>
      </w:r>
    </w:p>
    <w:p>
      <w:pPr>
        <w:spacing w:after="40" w:before="10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9850"/>
                    </a:xfrm>
                    <a:prstGeom prst="rect">
                      <a:avLst/>
                    </a:prstGeom>
                  </pic:spPr>
                </pic:pic>
              </a:graphicData>
            </a:graphic>
          </wp:inline>
        </w:drawing>
      </w:r>
    </w:p>
    <w:p>
      <w:pPr>
        <w:spacing w:after="160"/>
        <w:jc w:val="center"/>
      </w:pPr>
      <w:r>
        <w:rPr>
          <w:i/>
          <w:iCs/>
          <w:color w:val="666666"/>
          <w:sz w:val="18"/>
          <w:szCs w:val="18"/>
        </w:rPr>
        <w:t xml:space="preserve">Figure 1 — Three-table hot / cold split: live outbox, Audit, Dead-letter.</w:t>
      </w:r>
    </w:p>
    <w:p>
      <w:pPr>
        <w:spacing w:after="120"/>
      </w:pPr>
      <w:r>
        <w:rPr>
          <w:b/>
          <w:bCs/>
        </w:rPr>
        <w:t xml:space="preserve">Note: </w:t>
      </w:r>
      <w:r>
        <w:rPr>
          <w:b w:val="false"/>
          <w:bCs w:val="false"/>
        </w:rPr>
        <w:t xml:space="preserve">the three tables share the same event envelope and carry no foreign keys. EventId is the primary key and DedupeKey the business key (enforced unique on the live table, to block duplicate in-flight inserts). EntityId and CustomerId are plain identifier columns, not foreign keys. A row moves atomically on completion — a DELETE from the live table with OUTPUT INTO the Audit or Dead-letter table — so it is never in two tables or none. Because terminal rows leave immediately, the live table needs no archive job; the Audit table instead carries the long-term retention policy. Crash recovery resets any InProgress rows to Pending at the start of the next run (the timer is singleton), and the idempotency key prevents any double send.</w:t>
      </w:r>
    </w:p>
    <w:p>
      <w:pPr>
        <w:spacing w:after="120"/>
      </w:pPr>
      <w:r>
        <w:rPr>
          <w:b w:val="false"/>
          <w:bCs w:val="false"/>
        </w:rPr>
        <w:t xml:space="preserve">The live NotificationEvent fields (the Audit and Dead-letter tables carry the same envelope plus the outcome columns shown in the diagram):</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650"/>
        <w:gridCol w:w="2450"/>
        <w:gridCol w:w="4900"/>
      </w:tblGrid>
      <w:tr>
        <w:trPr>
          <w:tblHeader/>
        </w:trPr>
        <w:tc>
          <w:tcPr>
            <w:tcW w:type="dxa" w:w="1650"/>
            <w:shd w:fill="D9D9D9" w:color="auto" w:val="clear"/>
            <w:tcMar>
              <w:top w:type="dxa" w:w="40"/>
              <w:left w:type="dxa" w:w="90"/>
              <w:bottom w:type="dxa" w:w="40"/>
              <w:right w:type="dxa" w:w="90"/>
            </w:tcMar>
          </w:tcPr>
          <w:p>
            <w:r>
              <w:rPr>
                <w:b/>
                <w:bCs/>
              </w:rPr>
              <w:t xml:space="preserve">Field</w:t>
            </w:r>
          </w:p>
        </w:tc>
        <w:tc>
          <w:tcPr>
            <w:tcW w:type="dxa" w:w="2450"/>
            <w:shd w:fill="D9D9D9" w:color="auto" w:val="clear"/>
            <w:tcMar>
              <w:top w:type="dxa" w:w="40"/>
              <w:left w:type="dxa" w:w="90"/>
              <w:bottom w:type="dxa" w:w="40"/>
              <w:right w:type="dxa" w:w="90"/>
            </w:tcMar>
          </w:tcPr>
          <w:p>
            <w:r>
              <w:rPr>
                <w:b/>
                <w:bCs/>
              </w:rPr>
              <w:t xml:space="preserve">Type</w:t>
            </w:r>
          </w:p>
        </w:tc>
        <w:tc>
          <w:tcPr>
            <w:tcW w:type="dxa" w:w="4900"/>
            <w:shd w:fill="D9D9D9" w:color="auto" w:val="clear"/>
            <w:tcMar>
              <w:top w:type="dxa" w:w="40"/>
              <w:left w:type="dxa" w:w="90"/>
              <w:bottom w:type="dxa" w:w="40"/>
              <w:right w:type="dxa" w:w="90"/>
            </w:tcMar>
          </w:tcPr>
          <w:p>
            <w:r>
              <w:rPr>
                <w:b/>
                <w:bCs/>
              </w:rPr>
              <w:t xml:space="preserve">Purpose</w:t>
            </w:r>
          </w:p>
        </w:tc>
      </w:tr>
      <w:tr>
        <w:tc>
          <w:tcPr>
            <w:tcW w:type="dxa" w:w="1650"/>
            <w:tcMar>
              <w:top w:type="dxa" w:w="40"/>
              <w:left w:type="dxa" w:w="90"/>
              <w:bottom w:type="dxa" w:w="40"/>
              <w:right w:type="dxa" w:w="90"/>
            </w:tcMar>
          </w:tcPr>
          <w:p>
            <w:r>
              <w:rPr>
                <w:b w:val="false"/>
                <w:bCs w:val="false"/>
              </w:rPr>
              <w:t xml:space="preserve">EventId</w:t>
            </w:r>
          </w:p>
        </w:tc>
        <w:tc>
          <w:tcPr>
            <w:tcW w:type="dxa" w:w="2450"/>
            <w:tcMar>
              <w:top w:type="dxa" w:w="40"/>
              <w:left w:type="dxa" w:w="90"/>
              <w:bottom w:type="dxa" w:w="40"/>
              <w:right w:type="dxa" w:w="90"/>
            </w:tcMar>
          </w:tcPr>
          <w:p>
            <w:r>
              <w:rPr>
                <w:b w:val="false"/>
                <w:bCs w:val="false"/>
              </w:rPr>
              <w:t xml:space="preserve">BIGINT IDENTITY, PK</w:t>
            </w:r>
          </w:p>
        </w:tc>
        <w:tc>
          <w:tcPr>
            <w:tcW w:type="dxa" w:w="4900"/>
            <w:tcMar>
              <w:top w:type="dxa" w:w="40"/>
              <w:left w:type="dxa" w:w="90"/>
              <w:bottom w:type="dxa" w:w="40"/>
              <w:right w:type="dxa" w:w="90"/>
            </w:tcMar>
          </w:tcPr>
          <w:p>
            <w:r>
              <w:rPr>
                <w:b w:val="false"/>
                <w:bCs w:val="false"/>
              </w:rPr>
              <w:t xml:space="preserve">Surrogate key; orders the outbox and drives the claim ordering. Internal only.</w:t>
            </w:r>
          </w:p>
        </w:tc>
      </w:tr>
      <w:tr>
        <w:tc>
          <w:tcPr>
            <w:tcW w:type="dxa" w:w="1650"/>
            <w:tcMar>
              <w:top w:type="dxa" w:w="40"/>
              <w:left w:type="dxa" w:w="90"/>
              <w:bottom w:type="dxa" w:w="40"/>
              <w:right w:type="dxa" w:w="90"/>
            </w:tcMar>
          </w:tcPr>
          <w:p>
            <w:r>
              <w:rPr>
                <w:b w:val="false"/>
                <w:bCs w:val="false"/>
              </w:rPr>
              <w:t xml:space="preserve">EventUid</w:t>
            </w:r>
          </w:p>
        </w:tc>
        <w:tc>
          <w:tcPr>
            <w:tcW w:type="dxa" w:w="2450"/>
            <w:tcMar>
              <w:top w:type="dxa" w:w="40"/>
              <w:left w:type="dxa" w:w="90"/>
              <w:bottom w:type="dxa" w:w="40"/>
              <w:right w:type="dxa" w:w="90"/>
            </w:tcMar>
          </w:tcPr>
          <w:p>
            <w:r>
              <w:rPr>
                <w:b w:val="false"/>
                <w:bCs w:val="false"/>
              </w:rPr>
              <w:t xml:space="preserve">UNIQUEIDENTIFIER</w:t>
            </w:r>
          </w:p>
        </w:tc>
        <w:tc>
          <w:tcPr>
            <w:tcW w:type="dxa" w:w="4900"/>
            <w:tcMar>
              <w:top w:type="dxa" w:w="40"/>
              <w:left w:type="dxa" w:w="90"/>
              <w:bottom w:type="dxa" w:w="40"/>
              <w:right w:type="dxa" w:w="90"/>
            </w:tcMar>
          </w:tcPr>
          <w:p>
            <w:r>
              <w:rPr>
                <w:b w:val="false"/>
                <w:bCs w:val="false"/>
              </w:rPr>
              <w:t xml:space="preserve">Message id for one physical row; the correlation id carried to the Notification Service and logs.</w:t>
            </w:r>
          </w:p>
        </w:tc>
      </w:tr>
      <w:tr>
        <w:tc>
          <w:tcPr>
            <w:tcW w:type="dxa" w:w="1650"/>
            <w:tcMar>
              <w:top w:type="dxa" w:w="40"/>
              <w:left w:type="dxa" w:w="90"/>
              <w:bottom w:type="dxa" w:w="40"/>
              <w:right w:type="dxa" w:w="90"/>
            </w:tcMar>
          </w:tcPr>
          <w:p>
            <w:r>
              <w:rPr>
                <w:b w:val="false"/>
                <w:bCs w:val="false"/>
              </w:rPr>
              <w:t xml:space="preserve">DedupeKey</w:t>
            </w:r>
          </w:p>
        </w:tc>
        <w:tc>
          <w:tcPr>
            <w:tcW w:type="dxa" w:w="2450"/>
            <w:tcMar>
              <w:top w:type="dxa" w:w="40"/>
              <w:left w:type="dxa" w:w="90"/>
              <w:bottom w:type="dxa" w:w="40"/>
              <w:right w:type="dxa" w:w="90"/>
            </w:tcMar>
          </w:tcPr>
          <w:p>
            <w:r>
              <w:rPr>
                <w:b w:val="false"/>
                <w:bCs w:val="false"/>
              </w:rPr>
              <w:t xml:space="preserve">VARCHAR(200), business key</w:t>
            </w:r>
          </w:p>
        </w:tc>
        <w:tc>
          <w:tcPr>
            <w:tcW w:type="dxa" w:w="4900"/>
            <w:tcMar>
              <w:top w:type="dxa" w:w="40"/>
              <w:left w:type="dxa" w:w="90"/>
              <w:bottom w:type="dxa" w:w="40"/>
              <w:right w:type="dxa" w:w="90"/>
            </w:tcMar>
          </w:tcPr>
          <w:p>
            <w:r>
              <w:rPr>
                <w:b w:val="false"/>
                <w:bCs w:val="false"/>
              </w:rPr>
              <w:t xml:space="preserve">Deterministic business key (EventType | EntityId | discriminator); unique, so it blocks duplicate inserts, and it is the idempotency key sent downstream.</w:t>
            </w:r>
          </w:p>
        </w:tc>
      </w:tr>
      <w:tr>
        <w:tc>
          <w:tcPr>
            <w:tcW w:type="dxa" w:w="1650"/>
            <w:tcMar>
              <w:top w:type="dxa" w:w="40"/>
              <w:left w:type="dxa" w:w="90"/>
              <w:bottom w:type="dxa" w:w="40"/>
              <w:right w:type="dxa" w:w="90"/>
            </w:tcMar>
          </w:tcPr>
          <w:p>
            <w:r>
              <w:rPr>
                <w:b w:val="false"/>
                <w:bCs w:val="false"/>
              </w:rPr>
              <w:t xml:space="preserve">EventType</w:t>
            </w:r>
          </w:p>
        </w:tc>
        <w:tc>
          <w:tcPr>
            <w:tcW w:type="dxa" w:w="2450"/>
            <w:tcMar>
              <w:top w:type="dxa" w:w="40"/>
              <w:left w:type="dxa" w:w="90"/>
              <w:bottom w:type="dxa" w:w="40"/>
              <w:right w:type="dxa" w:w="90"/>
            </w:tcMar>
          </w:tcPr>
          <w:p>
            <w:r>
              <w:rPr>
                <w:b w:val="false"/>
                <w:bCs w:val="false"/>
              </w:rPr>
              <w:t xml:space="preserve">VARCHAR(100)</w:t>
            </w:r>
          </w:p>
        </w:tc>
        <w:tc>
          <w:tcPr>
            <w:tcW w:type="dxa" w:w="4900"/>
            <w:tcMar>
              <w:top w:type="dxa" w:w="40"/>
              <w:left w:type="dxa" w:w="90"/>
              <w:bottom w:type="dxa" w:w="40"/>
              <w:right w:type="dxa" w:w="90"/>
            </w:tcMar>
          </w:tcPr>
          <w:p>
            <w:r>
              <w:rPr>
                <w:b w:val="false"/>
                <w:bCs w:val="false"/>
              </w:rPr>
              <w:t xml:space="preserve">The notification type, e.g. Account.Restricted; selects the message template.</w:t>
            </w:r>
          </w:p>
        </w:tc>
      </w:tr>
      <w:tr>
        <w:tc>
          <w:tcPr>
            <w:tcW w:type="dxa" w:w="1650"/>
            <w:tcMar>
              <w:top w:type="dxa" w:w="40"/>
              <w:left w:type="dxa" w:w="90"/>
              <w:bottom w:type="dxa" w:w="40"/>
              <w:right w:type="dxa" w:w="90"/>
            </w:tcMar>
          </w:tcPr>
          <w:p>
            <w:r>
              <w:rPr>
                <w:b w:val="false"/>
                <w:bCs w:val="false"/>
              </w:rPr>
              <w:t xml:space="preserve">SchemaVersion</w:t>
            </w:r>
          </w:p>
        </w:tc>
        <w:tc>
          <w:tcPr>
            <w:tcW w:type="dxa" w:w="2450"/>
            <w:tcMar>
              <w:top w:type="dxa" w:w="40"/>
              <w:left w:type="dxa" w:w="90"/>
              <w:bottom w:type="dxa" w:w="40"/>
              <w:right w:type="dxa" w:w="90"/>
            </w:tcMar>
          </w:tcPr>
          <w:p>
            <w:r>
              <w:rPr>
                <w:b w:val="false"/>
                <w:bCs w:val="false"/>
              </w:rPr>
              <w:t xml:space="preserve">SMALLINT</w:t>
            </w:r>
          </w:p>
        </w:tc>
        <w:tc>
          <w:tcPr>
            <w:tcW w:type="dxa" w:w="4900"/>
            <w:tcMar>
              <w:top w:type="dxa" w:w="40"/>
              <w:left w:type="dxa" w:w="90"/>
              <w:bottom w:type="dxa" w:w="40"/>
              <w:right w:type="dxa" w:w="90"/>
            </w:tcMar>
          </w:tcPr>
          <w:p>
            <w:r>
              <w:rPr>
                <w:b w:val="false"/>
                <w:bCs w:val="false"/>
              </w:rPr>
              <w:t xml:space="preserve">Version of the Payload contract, so it can evolve without schema change.</w:t>
            </w:r>
          </w:p>
        </w:tc>
      </w:tr>
      <w:tr>
        <w:tc>
          <w:tcPr>
            <w:tcW w:type="dxa" w:w="1650"/>
            <w:tcMar>
              <w:top w:type="dxa" w:w="40"/>
              <w:left w:type="dxa" w:w="90"/>
              <w:bottom w:type="dxa" w:w="40"/>
              <w:right w:type="dxa" w:w="90"/>
            </w:tcMar>
          </w:tcPr>
          <w:p>
            <w:r>
              <w:rPr>
                <w:b w:val="false"/>
                <w:bCs w:val="false"/>
              </w:rPr>
              <w:t xml:space="preserve">EntityType</w:t>
            </w:r>
          </w:p>
        </w:tc>
        <w:tc>
          <w:tcPr>
            <w:tcW w:type="dxa" w:w="2450"/>
            <w:tcMar>
              <w:top w:type="dxa" w:w="40"/>
              <w:left w:type="dxa" w:w="90"/>
              <w:bottom w:type="dxa" w:w="40"/>
              <w:right w:type="dxa" w:w="90"/>
            </w:tcMar>
          </w:tcPr>
          <w:p>
            <w:r>
              <w:rPr>
                <w:b w:val="false"/>
                <w:bCs w:val="false"/>
              </w:rPr>
              <w:t xml:space="preserve">VARCHAR(50)</w:t>
            </w:r>
          </w:p>
        </w:tc>
        <w:tc>
          <w:tcPr>
            <w:tcW w:type="dxa" w:w="4900"/>
            <w:tcMar>
              <w:top w:type="dxa" w:w="40"/>
              <w:left w:type="dxa" w:w="90"/>
              <w:bottom w:type="dxa" w:w="40"/>
              <w:right w:type="dxa" w:w="90"/>
            </w:tcMar>
          </w:tcPr>
          <w:p>
            <w:r>
              <w:rPr>
                <w:b w:val="false"/>
                <w:bCs w:val="false"/>
              </w:rPr>
              <w:t xml:space="preserve">The kind of business entity the event is about: Account, Invoice or Order.</w:t>
            </w:r>
          </w:p>
        </w:tc>
      </w:tr>
      <w:tr>
        <w:tc>
          <w:tcPr>
            <w:tcW w:type="dxa" w:w="1650"/>
            <w:tcMar>
              <w:top w:type="dxa" w:w="40"/>
              <w:left w:type="dxa" w:w="90"/>
              <w:bottom w:type="dxa" w:w="40"/>
              <w:right w:type="dxa" w:w="90"/>
            </w:tcMar>
          </w:tcPr>
          <w:p>
            <w:r>
              <w:rPr>
                <w:b w:val="false"/>
                <w:bCs w:val="false"/>
              </w:rPr>
              <w:t xml:space="preserve">EntityId</w:t>
            </w:r>
          </w:p>
        </w:tc>
        <w:tc>
          <w:tcPr>
            <w:tcW w:type="dxa" w:w="2450"/>
            <w:tcMar>
              <w:top w:type="dxa" w:w="40"/>
              <w:left w:type="dxa" w:w="90"/>
              <w:bottom w:type="dxa" w:w="40"/>
              <w:right w:type="dxa" w:w="90"/>
            </w:tcMar>
          </w:tcPr>
          <w:p>
            <w:r>
              <w:rPr>
                <w:b w:val="false"/>
                <w:bCs w:val="false"/>
              </w:rPr>
              <w:t xml:space="preserve">VARCHAR(100)</w:t>
            </w:r>
          </w:p>
        </w:tc>
        <w:tc>
          <w:tcPr>
            <w:tcW w:type="dxa" w:w="4900"/>
            <w:tcMar>
              <w:top w:type="dxa" w:w="40"/>
              <w:left w:type="dxa" w:w="90"/>
              <w:bottom w:type="dxa" w:w="40"/>
              <w:right w:type="dxa" w:w="90"/>
            </w:tcMar>
          </w:tcPr>
          <w:p>
            <w:r>
              <w:rPr>
                <w:b w:val="false"/>
                <w:bCs w:val="false"/>
              </w:rPr>
              <w:t xml:space="preserve">The identifier of the related business record (account no, invoice id, order no), carried for context. Not a foreign key.</w:t>
            </w:r>
          </w:p>
        </w:tc>
      </w:tr>
      <w:tr>
        <w:tc>
          <w:tcPr>
            <w:tcW w:type="dxa" w:w="1650"/>
            <w:tcMar>
              <w:top w:type="dxa" w:w="40"/>
              <w:left w:type="dxa" w:w="90"/>
              <w:bottom w:type="dxa" w:w="40"/>
              <w:right w:type="dxa" w:w="90"/>
            </w:tcMar>
          </w:tcPr>
          <w:p>
            <w:r>
              <w:rPr>
                <w:b w:val="false"/>
                <w:bCs w:val="false"/>
              </w:rPr>
              <w:t xml:space="preserve">CustomerId</w:t>
            </w:r>
          </w:p>
        </w:tc>
        <w:tc>
          <w:tcPr>
            <w:tcW w:type="dxa" w:w="2450"/>
            <w:tcMar>
              <w:top w:type="dxa" w:w="40"/>
              <w:left w:type="dxa" w:w="90"/>
              <w:bottom w:type="dxa" w:w="40"/>
              <w:right w:type="dxa" w:w="90"/>
            </w:tcMar>
          </w:tcPr>
          <w:p>
            <w:r>
              <w:rPr>
                <w:b w:val="false"/>
                <w:bCs w:val="false"/>
              </w:rPr>
              <w:t xml:space="preserve">VARCHAR(100)</w:t>
            </w:r>
          </w:p>
        </w:tc>
        <w:tc>
          <w:tcPr>
            <w:tcW w:type="dxa" w:w="4900"/>
            <w:tcMar>
              <w:top w:type="dxa" w:w="40"/>
              <w:left w:type="dxa" w:w="90"/>
              <w:bottom w:type="dxa" w:w="40"/>
              <w:right w:type="dxa" w:w="90"/>
            </w:tcMar>
          </w:tcPr>
          <w:p>
            <w:r>
              <w:rPr>
                <w:b w:val="false"/>
                <w:bCs w:val="false"/>
              </w:rPr>
              <w:t xml:space="preserve">The recipient key; the Notification Service resolves contact details and consent from it.</w:t>
            </w:r>
          </w:p>
        </w:tc>
      </w:tr>
      <w:tr>
        <w:tc>
          <w:tcPr>
            <w:tcW w:type="dxa" w:w="1650"/>
            <w:tcMar>
              <w:top w:type="dxa" w:w="40"/>
              <w:left w:type="dxa" w:w="90"/>
              <w:bottom w:type="dxa" w:w="40"/>
              <w:right w:type="dxa" w:w="90"/>
            </w:tcMar>
          </w:tcPr>
          <w:p>
            <w:r>
              <w:rPr>
                <w:b w:val="false"/>
                <w:bCs w:val="false"/>
              </w:rPr>
              <w:t xml:space="preserve">Tier</w:t>
            </w:r>
          </w:p>
        </w:tc>
        <w:tc>
          <w:tcPr>
            <w:tcW w:type="dxa" w:w="2450"/>
            <w:tcMar>
              <w:top w:type="dxa" w:w="40"/>
              <w:left w:type="dxa" w:w="90"/>
              <w:bottom w:type="dxa" w:w="40"/>
              <w:right w:type="dxa" w:w="90"/>
            </w:tcMar>
          </w:tcPr>
          <w:p>
            <w:r>
              <w:rPr>
                <w:b w:val="false"/>
                <w:bCs w:val="false"/>
              </w:rPr>
              <w:t xml:space="preserve">TINYINT</w:t>
            </w:r>
          </w:p>
        </w:tc>
        <w:tc>
          <w:tcPr>
            <w:tcW w:type="dxa" w:w="4900"/>
            <w:tcMar>
              <w:top w:type="dxa" w:w="40"/>
              <w:left w:type="dxa" w:w="90"/>
              <w:bottom w:type="dxa" w:w="40"/>
              <w:right w:type="dxa" w:w="90"/>
            </w:tcMar>
          </w:tcPr>
          <w:p>
            <w:r>
              <w:rPr>
                <w:b w:val="false"/>
                <w:bCs w:val="false"/>
              </w:rPr>
              <w:t xml:space="preserve">SLA lane: 1 RealTime, 2 Scheduled, 3 Batch; lets the Function fast-poll urgent events.</w:t>
            </w:r>
          </w:p>
        </w:tc>
      </w:tr>
      <w:tr>
        <w:tc>
          <w:tcPr>
            <w:tcW w:type="dxa" w:w="1650"/>
            <w:tcMar>
              <w:top w:type="dxa" w:w="40"/>
              <w:left w:type="dxa" w:w="90"/>
              <w:bottom w:type="dxa" w:w="40"/>
              <w:right w:type="dxa" w:w="90"/>
            </w:tcMar>
          </w:tcPr>
          <w:p>
            <w:r>
              <w:rPr>
                <w:b w:val="false"/>
                <w:bCs w:val="false"/>
              </w:rPr>
              <w:t xml:space="preserve">Payload</w:t>
            </w:r>
          </w:p>
        </w:tc>
        <w:tc>
          <w:tcPr>
            <w:tcW w:type="dxa" w:w="2450"/>
            <w:tcMar>
              <w:top w:type="dxa" w:w="40"/>
              <w:left w:type="dxa" w:w="90"/>
              <w:bottom w:type="dxa" w:w="40"/>
              <w:right w:type="dxa" w:w="90"/>
            </w:tcMar>
          </w:tcPr>
          <w:p>
            <w:r>
              <w:rPr>
                <w:b w:val="false"/>
                <w:bCs w:val="false"/>
              </w:rPr>
              <w:t xml:space="preserve">NVARCHAR(MAX) (JSON)</w:t>
            </w:r>
          </w:p>
        </w:tc>
        <w:tc>
          <w:tcPr>
            <w:tcW w:type="dxa" w:w="4900"/>
            <w:tcMar>
              <w:top w:type="dxa" w:w="40"/>
              <w:left w:type="dxa" w:w="90"/>
              <w:bottom w:type="dxa" w:w="40"/>
              <w:right w:type="dxa" w:w="90"/>
            </w:tcMar>
          </w:tcPr>
          <w:p>
            <w:r>
              <w:rPr>
                <w:b w:val="false"/>
                <w:bCs w:val="false"/>
              </w:rPr>
              <w:t xml:space="preserve">The business data for the message template (amounts, dates, branch, order number, etc.).</w:t>
            </w:r>
          </w:p>
        </w:tc>
      </w:tr>
      <w:tr>
        <w:tc>
          <w:tcPr>
            <w:tcW w:type="dxa" w:w="1650"/>
            <w:tcMar>
              <w:top w:type="dxa" w:w="40"/>
              <w:left w:type="dxa" w:w="90"/>
              <w:bottom w:type="dxa" w:w="40"/>
              <w:right w:type="dxa" w:w="90"/>
            </w:tcMar>
          </w:tcPr>
          <w:p>
            <w:r>
              <w:rPr>
                <w:b w:val="false"/>
                <w:bCs w:val="false"/>
              </w:rPr>
              <w:t xml:space="preserve">Source</w:t>
            </w:r>
          </w:p>
        </w:tc>
        <w:tc>
          <w:tcPr>
            <w:tcW w:type="dxa" w:w="2450"/>
            <w:tcMar>
              <w:top w:type="dxa" w:w="40"/>
              <w:left w:type="dxa" w:w="90"/>
              <w:bottom w:type="dxa" w:w="40"/>
              <w:right w:type="dxa" w:w="90"/>
            </w:tcMar>
          </w:tcPr>
          <w:p>
            <w:r>
              <w:rPr>
                <w:b w:val="false"/>
                <w:bCs w:val="false"/>
              </w:rPr>
              <w:t xml:space="preserve">VARCHAR(30)</w:t>
            </w:r>
          </w:p>
        </w:tc>
        <w:tc>
          <w:tcPr>
            <w:tcW w:type="dxa" w:w="4900"/>
            <w:tcMar>
              <w:top w:type="dxa" w:w="40"/>
              <w:left w:type="dxa" w:w="90"/>
              <w:bottom w:type="dxa" w:w="40"/>
              <w:right w:type="dxa" w:w="90"/>
            </w:tcMar>
          </w:tcPr>
          <w:p>
            <w:r>
              <w:rPr>
                <w:b w:val="false"/>
                <w:bCs w:val="false"/>
              </w:rPr>
              <w:t xml:space="preserve">Which producer wrote the row: EtlSproc, DbTrigger, ScheduledFn or AppService.</w:t>
            </w:r>
          </w:p>
        </w:tc>
      </w:tr>
      <w:tr>
        <w:tc>
          <w:tcPr>
            <w:tcW w:type="dxa" w:w="1650"/>
            <w:tcMar>
              <w:top w:type="dxa" w:w="40"/>
              <w:left w:type="dxa" w:w="90"/>
              <w:bottom w:type="dxa" w:w="40"/>
              <w:right w:type="dxa" w:w="90"/>
            </w:tcMar>
          </w:tcPr>
          <w:p>
            <w:r>
              <w:rPr>
                <w:b w:val="false"/>
                <w:bCs w:val="false"/>
              </w:rPr>
              <w:t xml:space="preserve">Status</w:t>
            </w:r>
          </w:p>
        </w:tc>
        <w:tc>
          <w:tcPr>
            <w:tcW w:type="dxa" w:w="2450"/>
            <w:tcMar>
              <w:top w:type="dxa" w:w="40"/>
              <w:left w:type="dxa" w:w="90"/>
              <w:bottom w:type="dxa" w:w="40"/>
              <w:right w:type="dxa" w:w="90"/>
            </w:tcMar>
          </w:tcPr>
          <w:p>
            <w:r>
              <w:rPr>
                <w:b w:val="false"/>
                <w:bCs w:val="false"/>
              </w:rPr>
              <w:t xml:space="preserve">TINYINT</w:t>
            </w:r>
          </w:p>
        </w:tc>
        <w:tc>
          <w:tcPr>
            <w:tcW w:type="dxa" w:w="4900"/>
            <w:tcMar>
              <w:top w:type="dxa" w:w="40"/>
              <w:left w:type="dxa" w:w="90"/>
              <w:bottom w:type="dxa" w:w="40"/>
              <w:right w:type="dxa" w:w="90"/>
            </w:tcMar>
          </w:tcPr>
          <w:p>
            <w:r>
              <w:rPr>
                <w:b w:val="false"/>
                <w:bCs w:val="false"/>
              </w:rPr>
              <w:t xml:space="preserve">In-flight state only: 0 Pending, 1 InProgress, 3 Retry. A row that reaches a terminal state (Sent or DeadLetter) leaves the table, moving to Audit or Dead-letter.</w:t>
            </w:r>
          </w:p>
        </w:tc>
      </w:tr>
      <w:tr>
        <w:tc>
          <w:tcPr>
            <w:tcW w:type="dxa" w:w="1650"/>
            <w:tcMar>
              <w:top w:type="dxa" w:w="40"/>
              <w:left w:type="dxa" w:w="90"/>
              <w:bottom w:type="dxa" w:w="40"/>
              <w:right w:type="dxa" w:w="90"/>
            </w:tcMar>
          </w:tcPr>
          <w:p>
            <w:r>
              <w:rPr>
                <w:b w:val="false"/>
                <w:bCs w:val="false"/>
              </w:rPr>
              <w:t xml:space="preserve">RetryCount</w:t>
            </w:r>
          </w:p>
        </w:tc>
        <w:tc>
          <w:tcPr>
            <w:tcW w:type="dxa" w:w="2450"/>
            <w:tcMar>
              <w:top w:type="dxa" w:w="40"/>
              <w:left w:type="dxa" w:w="90"/>
              <w:bottom w:type="dxa" w:w="40"/>
              <w:right w:type="dxa" w:w="90"/>
            </w:tcMar>
          </w:tcPr>
          <w:p>
            <w:r>
              <w:rPr>
                <w:b w:val="false"/>
                <w:bCs w:val="false"/>
              </w:rPr>
              <w:t xml:space="preserve">INT</w:t>
            </w:r>
          </w:p>
        </w:tc>
        <w:tc>
          <w:tcPr>
            <w:tcW w:type="dxa" w:w="4900"/>
            <w:tcMar>
              <w:top w:type="dxa" w:w="40"/>
              <w:left w:type="dxa" w:w="90"/>
              <w:bottom w:type="dxa" w:w="40"/>
              <w:right w:type="dxa" w:w="90"/>
            </w:tcMar>
          </w:tcPr>
          <w:p>
            <w:r>
              <w:rPr>
                <w:b w:val="false"/>
                <w:bCs w:val="false"/>
              </w:rPr>
              <w:t xml:space="preserve">Delivery attempts; drives the backoff and the dead-letter threshold.</w:t>
            </w:r>
          </w:p>
        </w:tc>
      </w:tr>
      <w:tr>
        <w:tc>
          <w:tcPr>
            <w:tcW w:type="dxa" w:w="1650"/>
            <w:tcMar>
              <w:top w:type="dxa" w:w="40"/>
              <w:left w:type="dxa" w:w="90"/>
              <w:bottom w:type="dxa" w:w="40"/>
              <w:right w:type="dxa" w:w="90"/>
            </w:tcMar>
          </w:tcPr>
          <w:p>
            <w:r>
              <w:rPr>
                <w:b w:val="false"/>
                <w:bCs w:val="false"/>
              </w:rPr>
              <w:t xml:space="preserve">AvailableAt</w:t>
            </w:r>
          </w:p>
        </w:tc>
        <w:tc>
          <w:tcPr>
            <w:tcW w:type="dxa" w:w="2450"/>
            <w:tcMar>
              <w:top w:type="dxa" w:w="40"/>
              <w:left w:type="dxa" w:w="90"/>
              <w:bottom w:type="dxa" w:w="40"/>
              <w:right w:type="dxa" w:w="90"/>
            </w:tcMar>
          </w:tcPr>
          <w:p>
            <w:r>
              <w:rPr>
                <w:b w:val="false"/>
                <w:bCs w:val="false"/>
              </w:rPr>
              <w:t xml:space="preserve">DATETIME2</w:t>
            </w:r>
          </w:p>
        </w:tc>
        <w:tc>
          <w:tcPr>
            <w:tcW w:type="dxa" w:w="4900"/>
            <w:tcMar>
              <w:top w:type="dxa" w:w="40"/>
              <w:left w:type="dxa" w:w="90"/>
              <w:bottom w:type="dxa" w:w="40"/>
              <w:right w:type="dxa" w:w="90"/>
            </w:tcMar>
          </w:tcPr>
          <w:p>
            <w:r>
              <w:rPr>
                <w:b w:val="false"/>
                <w:bCs w:val="false"/>
              </w:rPr>
              <w:t xml:space="preserve">Earliest time the row may be processed; used for backoff and scheduling.</w:t>
            </w:r>
          </w:p>
        </w:tc>
      </w:tr>
      <w:tr>
        <w:tc>
          <w:tcPr>
            <w:tcW w:type="dxa" w:w="1650"/>
            <w:tcMar>
              <w:top w:type="dxa" w:w="40"/>
              <w:left w:type="dxa" w:w="90"/>
              <w:bottom w:type="dxa" w:w="40"/>
              <w:right w:type="dxa" w:w="90"/>
            </w:tcMar>
          </w:tcPr>
          <w:p>
            <w:r>
              <w:rPr>
                <w:b w:val="false"/>
                <w:bCs w:val="false"/>
              </w:rPr>
              <w:t xml:space="preserve">LastError</w:t>
            </w:r>
          </w:p>
        </w:tc>
        <w:tc>
          <w:tcPr>
            <w:tcW w:type="dxa" w:w="2450"/>
            <w:tcMar>
              <w:top w:type="dxa" w:w="40"/>
              <w:left w:type="dxa" w:w="90"/>
              <w:bottom w:type="dxa" w:w="40"/>
              <w:right w:type="dxa" w:w="90"/>
            </w:tcMar>
          </w:tcPr>
          <w:p>
            <w:r>
              <w:rPr>
                <w:b w:val="false"/>
                <w:bCs w:val="false"/>
              </w:rPr>
              <w:t xml:space="preserve">NVARCHAR(2000)</w:t>
            </w:r>
          </w:p>
        </w:tc>
        <w:tc>
          <w:tcPr>
            <w:tcW w:type="dxa" w:w="4900"/>
            <w:tcMar>
              <w:top w:type="dxa" w:w="40"/>
              <w:left w:type="dxa" w:w="90"/>
              <w:bottom w:type="dxa" w:w="40"/>
              <w:right w:type="dxa" w:w="90"/>
            </w:tcMar>
          </w:tcPr>
          <w:p>
            <w:r>
              <w:rPr>
                <w:b w:val="false"/>
                <w:bCs w:val="false"/>
              </w:rPr>
              <w:t xml:space="preserve">The last failure detail, for triage of retried or dead-lettered rows.</w:t>
            </w:r>
          </w:p>
        </w:tc>
      </w:tr>
      <w:tr>
        <w:tc>
          <w:tcPr>
            <w:tcW w:type="dxa" w:w="1650"/>
            <w:tcMar>
              <w:top w:type="dxa" w:w="40"/>
              <w:left w:type="dxa" w:w="90"/>
              <w:bottom w:type="dxa" w:w="40"/>
              <w:right w:type="dxa" w:w="90"/>
            </w:tcMar>
          </w:tcPr>
          <w:p>
            <w:r>
              <w:rPr>
                <w:b w:val="false"/>
                <w:bCs w:val="false"/>
              </w:rPr>
              <w:t xml:space="preserve">CreatedAt</w:t>
            </w:r>
          </w:p>
        </w:tc>
        <w:tc>
          <w:tcPr>
            <w:tcW w:type="dxa" w:w="2450"/>
            <w:tcMar>
              <w:top w:type="dxa" w:w="40"/>
              <w:left w:type="dxa" w:w="90"/>
              <w:bottom w:type="dxa" w:w="40"/>
              <w:right w:type="dxa" w:w="90"/>
            </w:tcMar>
          </w:tcPr>
          <w:p>
            <w:r>
              <w:rPr>
                <w:b w:val="false"/>
                <w:bCs w:val="false"/>
              </w:rPr>
              <w:t xml:space="preserve">DATETIME2</w:t>
            </w:r>
          </w:p>
        </w:tc>
        <w:tc>
          <w:tcPr>
            <w:tcW w:type="dxa" w:w="4900"/>
            <w:tcMar>
              <w:top w:type="dxa" w:w="40"/>
              <w:left w:type="dxa" w:w="90"/>
              <w:bottom w:type="dxa" w:w="40"/>
              <w:right w:type="dxa" w:w="90"/>
            </w:tcMar>
          </w:tcPr>
          <w:p>
            <w:r>
              <w:rPr>
                <w:b w:val="false"/>
                <w:bCs w:val="false"/>
              </w:rPr>
              <w:t xml:space="preserve">When the event row was written.</w:t>
            </w:r>
          </w:p>
        </w:tc>
      </w:tr>
      <w:tr>
        <w:tc>
          <w:tcPr>
            <w:tcW w:type="dxa" w:w="1650"/>
            <w:tcMar>
              <w:top w:type="dxa" w:w="40"/>
              <w:left w:type="dxa" w:w="90"/>
              <w:bottom w:type="dxa" w:w="40"/>
              <w:right w:type="dxa" w:w="90"/>
            </w:tcMar>
          </w:tcPr>
          <w:p>
            <w:r>
              <w:rPr>
                <w:b w:val="false"/>
                <w:bCs w:val="false"/>
              </w:rPr>
              <w:t xml:space="preserve">RowVer</w:t>
            </w:r>
          </w:p>
        </w:tc>
        <w:tc>
          <w:tcPr>
            <w:tcW w:type="dxa" w:w="2450"/>
            <w:tcMar>
              <w:top w:type="dxa" w:w="40"/>
              <w:left w:type="dxa" w:w="90"/>
              <w:bottom w:type="dxa" w:w="40"/>
              <w:right w:type="dxa" w:w="90"/>
            </w:tcMar>
          </w:tcPr>
          <w:p>
            <w:r>
              <w:rPr>
                <w:b w:val="false"/>
                <w:bCs w:val="false"/>
              </w:rPr>
              <w:t xml:space="preserve">ROWVERSION</w:t>
            </w:r>
          </w:p>
        </w:tc>
        <w:tc>
          <w:tcPr>
            <w:tcW w:type="dxa" w:w="4900"/>
            <w:tcMar>
              <w:top w:type="dxa" w:w="40"/>
              <w:left w:type="dxa" w:w="90"/>
              <w:bottom w:type="dxa" w:w="40"/>
              <w:right w:type="dxa" w:w="90"/>
            </w:tcMar>
          </w:tcPr>
          <w:p>
            <w:r>
              <w:rPr>
                <w:b w:val="false"/>
                <w:bCs w:val="false"/>
              </w:rPr>
              <w:t xml:space="preserve">Optimistic-concurrency token.</w:t>
            </w:r>
          </w:p>
        </w:tc>
      </w:tr>
    </w:tbl>
    <w:p>
      <w:pPr>
        <w:spacing w:after="60"/>
      </w:pPr>
      <w:r>
        <w:t xml:space="preserve"/>
      </w:r>
    </w:p>
    <w:p>
      <w:pPr>
        <w:pStyle w:val="Heading1"/>
        <w:spacing w:after="120" w:before="280"/>
      </w:pPr>
      <w:r>
        <w:t xml:space="preserve">Analysis</w:t>
      </w:r>
    </w:p>
    <w:p>
      <w:pPr>
        <w:spacing w:after="120"/>
      </w:pPr>
      <w:r>
        <w:rPr>
          <w:b w:val="false"/>
          <w:bCs w:val="false"/>
        </w:rPr>
        <w:t xml:space="preserve">The pipeline is a transactional outbox with a polling dispatcher. The operational-flow diagram below shows the components and the numbered steps — black is existing, green is new. The scenarios that follow describe the base case and the failure / duplicate handling.</w:t>
      </w:r>
    </w:p>
    <w:p>
      <w:pPr>
        <w:spacing w:after="40" w:before="100"/>
        <w:jc w:val="center"/>
      </w:pPr>
      <w:r>
        <w:drawing>
          <wp:inline distT="0" distB="0" distL="0" distR="0">
            <wp:extent cx="50577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57775" cy="7429500"/>
                    </a:xfrm>
                    <a:prstGeom prst="rect">
                      <a:avLst/>
                    </a:prstGeom>
                  </pic:spPr>
                </pic:pic>
              </a:graphicData>
            </a:graphic>
          </wp:inline>
        </w:drawing>
      </w:r>
    </w:p>
    <w:p>
      <w:pPr>
        <w:spacing w:after="160"/>
        <w:jc w:val="center"/>
      </w:pPr>
      <w:r>
        <w:rPr>
          <w:i/>
          <w:iCs/>
          <w:color w:val="666666"/>
          <w:sz w:val="18"/>
          <w:szCs w:val="18"/>
        </w:rPr>
        <w:t xml:space="preserve">Figure 2 — Operational flow (black existing, green new).</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data-lake sync reads source data from the data lake.</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sync loads and updates the persistence databases (Accounts, Orders).</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On a watched change, a detection stored procedure (called by the sync) or a field-watching trigger writes an event row to the EVENT table, in the same transaction as the change.</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An application service (Payment at stage 2, SOS on an order status change) writes an event row to the EVENT table.</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dispatcher Function timer fires and claims Pending rows from the EVENT table using READPAST. The Function is the only component that reads or writes the table.</w:t>
            </w:r>
          </w:p>
        </w:tc>
      </w:tr>
      <w:tr>
        <w:tc>
          <w:tcPr>
            <w:tcW w:type="dxa" w:w="950"/>
            <w:tcMar>
              <w:top w:type="dxa" w:w="40"/>
              <w:left w:type="dxa" w:w="90"/>
              <w:bottom w:type="dxa" w:w="40"/>
              <w:right w:type="dxa" w:w="90"/>
            </w:tcMar>
          </w:tcPr>
          <w:p>
            <w:r>
              <w:rPr>
                <w:b w:val="false"/>
                <w:bCs w:val="false"/>
              </w:rPr>
              <w:t xml:space="preserve">6</w:t>
            </w:r>
          </w:p>
        </w:tc>
        <w:tc>
          <w:tcPr>
            <w:tcW w:type="dxa" w:w="8050"/>
            <w:tcMar>
              <w:top w:type="dxa" w:w="40"/>
              <w:left w:type="dxa" w:w="90"/>
              <w:bottom w:type="dxa" w:w="40"/>
              <w:right w:type="dxa" w:w="90"/>
            </w:tcMar>
          </w:tcPr>
          <w:p>
            <w:r>
              <w:rPr>
                <w:b w:val="false"/>
                <w:bCs w:val="false"/>
              </w:rPr>
              <w:t xml:space="preserve">The Function POSTs each event, with its idempotency key, to the Notification Service over HTTPS.</w:t>
            </w:r>
          </w:p>
        </w:tc>
      </w:tr>
      <w:tr>
        <w:tc>
          <w:tcPr>
            <w:tcW w:type="dxa" w:w="950"/>
            <w:tcMar>
              <w:top w:type="dxa" w:w="40"/>
              <w:left w:type="dxa" w:w="90"/>
              <w:bottom w:type="dxa" w:w="40"/>
              <w:right w:type="dxa" w:w="90"/>
            </w:tcMar>
          </w:tcPr>
          <w:p>
            <w:r>
              <w:rPr>
                <w:b w:val="false"/>
                <w:bCs w:val="false"/>
              </w:rPr>
              <w:t xml:space="preserve">7</w:t>
            </w:r>
          </w:p>
        </w:tc>
        <w:tc>
          <w:tcPr>
            <w:tcW w:type="dxa" w:w="8050"/>
            <w:tcMar>
              <w:top w:type="dxa" w:w="40"/>
              <w:left w:type="dxa" w:w="90"/>
              <w:bottom w:type="dxa" w:w="40"/>
              <w:right w:type="dxa" w:w="90"/>
            </w:tcMar>
          </w:tcPr>
          <w:p>
            <w:r>
              <w:rPr>
                <w:b w:val="false"/>
                <w:bCs w:val="false"/>
              </w:rPr>
              <w:t xml:space="preserve">On the Notification Service’s response, the Function settles the row — moving it to Audit on success or to Dead-letter on permanent failure. The Notification Service never writes to the table.</w:t>
            </w:r>
          </w:p>
        </w:tc>
      </w:tr>
      <w:tr>
        <w:tc>
          <w:tcPr>
            <w:tcW w:type="dxa" w:w="950"/>
            <w:tcMar>
              <w:top w:type="dxa" w:w="40"/>
              <w:left w:type="dxa" w:w="90"/>
              <w:bottom w:type="dxa" w:w="40"/>
              <w:right w:type="dxa" w:w="90"/>
            </w:tcMar>
          </w:tcPr>
          <w:p>
            <w:r>
              <w:rPr>
                <w:b w:val="false"/>
                <w:bCs w:val="false"/>
              </w:rPr>
              <w:t xml:space="preserve">8</w:t>
            </w:r>
          </w:p>
        </w:tc>
        <w:tc>
          <w:tcPr>
            <w:tcW w:type="dxa" w:w="8050"/>
            <w:tcMar>
              <w:top w:type="dxa" w:w="40"/>
              <w:left w:type="dxa" w:w="90"/>
              <w:bottom w:type="dxa" w:w="40"/>
              <w:right w:type="dxa" w:w="90"/>
            </w:tcMar>
          </w:tcPr>
          <w:p>
            <w:r>
              <w:rPr>
                <w:b w:val="false"/>
                <w:bCs w:val="false"/>
              </w:rPr>
              <w:t xml:space="preserve">The Notification Service resolves recipient, consent and channel and delivers push / SMS / email to the customer (out of scope).</w:t>
            </w:r>
          </w:p>
        </w:tc>
      </w:tr>
    </w:tbl>
    <w:p>
      <w:pPr>
        <w:spacing w:after="60"/>
      </w:pPr>
      <w:r>
        <w:t xml:space="preserve"/>
      </w:r>
    </w:p>
    <w:p>
      <w:pPr>
        <w:pStyle w:val="Heading2"/>
        <w:spacing w:after="80" w:before="200"/>
      </w:pPr>
      <w:r>
        <w:t xml:space="preserve">Dispatch sequence</w:t>
      </w:r>
    </w:p>
    <w:p>
      <w:pPr>
        <w:spacing w:after="40" w:before="100"/>
        <w:jc w:val="center"/>
      </w:pPr>
      <w:r>
        <w:drawing>
          <wp:inline distT="0" distB="0" distL="0" distR="0">
            <wp:extent cx="57150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34025"/>
                    </a:xfrm>
                    <a:prstGeom prst="rect">
                      <a:avLst/>
                    </a:prstGeom>
                  </pic:spPr>
                </pic:pic>
              </a:graphicData>
            </a:graphic>
          </wp:inline>
        </w:drawing>
      </w:r>
    </w:p>
    <w:p>
      <w:pPr>
        <w:spacing w:after="160"/>
        <w:jc w:val="center"/>
      </w:pPr>
      <w:r>
        <w:rPr>
          <w:i/>
          <w:iCs/>
          <w:color w:val="666666"/>
          <w:sz w:val="18"/>
          <w:szCs w:val="18"/>
        </w:rPr>
        <w:t xml:space="preserve">Figure 3 — Dispatch sequence: every scenario (success → Audit, retry, permanent → Dead-letter, DB-down, outage, duplicate, replay).</w:t>
      </w:r>
    </w:p>
    <w:p>
      <w:pPr>
        <w:pStyle w:val="Heading2"/>
        <w:spacing w:after="80" w:before="200"/>
      </w:pPr>
      <w:r>
        <w:t xml:space="preserve">Scenarios</w:t>
      </w:r>
    </w:p>
    <w:p>
      <w:pPr>
        <w:spacing w:after="120"/>
      </w:pPr>
      <w:r>
        <w:rPr>
          <w:b w:val="false"/>
          <w:bCs w:val="false"/>
        </w:rPr>
        <w:t xml:space="preserve">Each scenario below traces one dispatcher run, step by step. The sequence diagram above shows them together; the tables below walk each path on its own.</w:t>
      </w:r>
    </w:p>
    <w:p>
      <w:pPr>
        <w:pStyle w:val="Heading3"/>
        <w:spacing w:after="60" w:before="160"/>
      </w:pPr>
      <w:r>
        <w:t xml:space="preserve">1. Base case — all successful</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timer fires; the Function resets any stale InProgress rows to Pending (startup recovery).</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Function claims a batch of Pending rows from the EVENT table using READPAST and marks them InProgress.</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For each event, the Function builds the envelope: messageId (EventUid), idempotencyKey (DedupeKey), eventType, customerId and the JSON payload.</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The Function POSTs the event to the Notification Service with the idempotency key.</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Notification Service accepts it (2xx); the Function moves the row to the Audit table (insert + delete in one transaction) with SentAt.</w:t>
            </w:r>
          </w:p>
        </w:tc>
      </w:tr>
      <w:tr>
        <w:tc>
          <w:tcPr>
            <w:tcW w:type="dxa" w:w="950"/>
            <w:tcMar>
              <w:top w:type="dxa" w:w="40"/>
              <w:left w:type="dxa" w:w="90"/>
              <w:bottom w:type="dxa" w:w="40"/>
              <w:right w:type="dxa" w:w="90"/>
            </w:tcMar>
          </w:tcPr>
          <w:p>
            <w:r>
              <w:rPr>
                <w:b w:val="false"/>
                <w:bCs w:val="false"/>
              </w:rPr>
              <w:t xml:space="preserve">6</w:t>
            </w:r>
          </w:p>
        </w:tc>
        <w:tc>
          <w:tcPr>
            <w:tcW w:type="dxa" w:w="8050"/>
            <w:tcMar>
              <w:top w:type="dxa" w:w="40"/>
              <w:left w:type="dxa" w:w="90"/>
              <w:bottom w:type="dxa" w:w="40"/>
              <w:right w:type="dxa" w:w="90"/>
            </w:tcMar>
          </w:tcPr>
          <w:p>
            <w:r>
              <w:rPr>
                <w:b w:val="false"/>
                <w:bCs w:val="false"/>
              </w:rPr>
              <w:t xml:space="preserve">The Function repeats for the next event; when the batch is done, the run ends.</w:t>
            </w:r>
          </w:p>
        </w:tc>
      </w:tr>
      <w:tr>
        <w:tc>
          <w:tcPr>
            <w:tcW w:type="dxa" w:w="950"/>
            <w:tcMar>
              <w:top w:type="dxa" w:w="40"/>
              <w:left w:type="dxa" w:w="90"/>
              <w:bottom w:type="dxa" w:w="40"/>
              <w:right w:type="dxa" w:w="90"/>
            </w:tcMar>
          </w:tcPr>
          <w:p>
            <w:r>
              <w:rPr>
                <w:b w:val="false"/>
                <w:bCs w:val="false"/>
              </w:rPr>
              <w:t xml:space="preserve">7</w:t>
            </w:r>
          </w:p>
        </w:tc>
        <w:tc>
          <w:tcPr>
            <w:tcW w:type="dxa" w:w="8050"/>
            <w:tcMar>
              <w:top w:type="dxa" w:w="40"/>
              <w:left w:type="dxa" w:w="90"/>
              <w:bottom w:type="dxa" w:w="40"/>
              <w:right w:type="dxa" w:w="90"/>
            </w:tcMar>
          </w:tcPr>
          <w:p>
            <w:r>
              <w:rPr>
                <w:b w:val="false"/>
                <w:bCs w:val="false"/>
              </w:rPr>
              <w:t xml:space="preserve">The Notification Service resolves recipient, consent and channel and delivers push / SMS / email (out of scope).</w:t>
            </w:r>
          </w:p>
        </w:tc>
      </w:tr>
    </w:tbl>
    <w:p>
      <w:pPr>
        <w:spacing w:after="60"/>
      </w:pPr>
      <w:r>
        <w:t xml:space="preserve"/>
      </w:r>
    </w:p>
    <w:p>
      <w:pPr>
        <w:pStyle w:val="Heading3"/>
        <w:spacing w:after="60" w:before="160"/>
      </w:pPr>
      <w:r>
        <w:t xml:space="preserve">2. Notification Service down</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Function claims a batch and begins the per-event loop.</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It POSTs the first event; the Notification Service does not respond (timeout or 5xx).</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The Function marks the row Retry (RetryCount++, AvailableAt = now + backoff) and tries the next event.</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Consecutive failures exceed the breaker threshold and the circuit breaker opens.</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Function stops sending, leaves the remaining rows Pending, and ends the run — nothing is lost.</w:t>
            </w:r>
          </w:p>
        </w:tc>
      </w:tr>
      <w:tr>
        <w:tc>
          <w:tcPr>
            <w:tcW w:type="dxa" w:w="950"/>
            <w:tcMar>
              <w:top w:type="dxa" w:w="40"/>
              <w:left w:type="dxa" w:w="90"/>
              <w:bottom w:type="dxa" w:w="40"/>
              <w:right w:type="dxa" w:w="90"/>
            </w:tcMar>
          </w:tcPr>
          <w:p>
            <w:r>
              <w:rPr>
                <w:b w:val="false"/>
                <w:bCs w:val="false"/>
              </w:rPr>
              <w:t xml:space="preserve">6</w:t>
            </w:r>
          </w:p>
        </w:tc>
        <w:tc>
          <w:tcPr>
            <w:tcW w:type="dxa" w:w="8050"/>
            <w:tcMar>
              <w:top w:type="dxa" w:w="40"/>
              <w:left w:type="dxa" w:w="90"/>
              <w:bottom w:type="dxa" w:w="40"/>
              <w:right w:type="dxa" w:w="90"/>
            </w:tcMar>
          </w:tcPr>
          <w:p>
            <w:r>
              <w:rPr>
                <w:b w:val="false"/>
                <w:bCs w:val="false"/>
              </w:rPr>
              <w:t xml:space="preserve">While the breaker is open, later runs probe periodically and the backlog grows in the outbox.</w:t>
            </w:r>
          </w:p>
        </w:tc>
      </w:tr>
      <w:tr>
        <w:tc>
          <w:tcPr>
            <w:tcW w:type="dxa" w:w="950"/>
            <w:tcMar>
              <w:top w:type="dxa" w:w="40"/>
              <w:left w:type="dxa" w:w="90"/>
              <w:bottom w:type="dxa" w:w="40"/>
              <w:right w:type="dxa" w:w="90"/>
            </w:tcMar>
          </w:tcPr>
          <w:p>
            <w:r>
              <w:rPr>
                <w:b w:val="false"/>
                <w:bCs w:val="false"/>
              </w:rPr>
              <w:t xml:space="preserve">7</w:t>
            </w:r>
          </w:p>
        </w:tc>
        <w:tc>
          <w:tcPr>
            <w:tcW w:type="dxa" w:w="8050"/>
            <w:tcMar>
              <w:top w:type="dxa" w:w="40"/>
              <w:left w:type="dxa" w:w="90"/>
              <w:bottom w:type="dxa" w:w="40"/>
              <w:right w:type="dxa" w:w="90"/>
            </w:tcMar>
          </w:tcPr>
          <w:p>
            <w:r>
              <w:rPr>
                <w:b w:val="false"/>
                <w:bCs w:val="false"/>
              </w:rPr>
              <w:t xml:space="preserve">A probe succeeds; the breaker closes and the backlog drains. Urgent events breach their latency SLA during the outage but still arrive.</w:t>
            </w:r>
          </w:p>
        </w:tc>
      </w:tr>
    </w:tbl>
    <w:p>
      <w:pPr>
        <w:spacing w:after="60"/>
      </w:pPr>
      <w:r>
        <w:t xml:space="preserve"/>
      </w:r>
    </w:p>
    <w:p>
      <w:pPr>
        <w:pStyle w:val="Heading3"/>
        <w:spacing w:after="60" w:before="160"/>
      </w:pPr>
      <w:r>
        <w:t xml:space="preserve">3. Database (SQL) down</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timer fires and the Function attempts to claim a batch.</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database is unavailable; the claim query fails with a connection error or timeout.</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The Function logs the error and ends the run without sending anything.</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No rows were claimed, so every pending event remains Pending and durable in the table.</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next timer run retries the claim; once the database is back, processing resumes.</w:t>
            </w:r>
          </w:p>
        </w:tc>
      </w:tr>
      <w:tr>
        <w:tc>
          <w:tcPr>
            <w:tcW w:type="dxa" w:w="950"/>
            <w:tcMar>
              <w:top w:type="dxa" w:w="40"/>
              <w:left w:type="dxa" w:w="90"/>
              <w:bottom w:type="dxa" w:w="40"/>
              <w:right w:type="dxa" w:w="90"/>
            </w:tcMar>
          </w:tcPr>
          <w:p>
            <w:r>
              <w:rPr>
                <w:b w:val="false"/>
                <w:bCs w:val="false"/>
              </w:rPr>
              <w:t xml:space="preserve">6</w:t>
            </w:r>
          </w:p>
        </w:tc>
        <w:tc>
          <w:tcPr>
            <w:tcW w:type="dxa" w:w="8050"/>
            <w:tcMar>
              <w:top w:type="dxa" w:w="40"/>
              <w:left w:type="dxa" w:w="90"/>
              <w:bottom w:type="dxa" w:w="40"/>
              <w:right w:type="dxa" w:w="90"/>
            </w:tcMar>
          </w:tcPr>
          <w:p>
            <w:r>
              <w:rPr>
                <w:b w:val="false"/>
                <w:bCs w:val="false"/>
              </w:rPr>
              <w:t xml:space="preserve">No events are lost or duplicated — nothing left the outbox.</w:t>
            </w:r>
          </w:p>
        </w:tc>
      </w:tr>
    </w:tbl>
    <w:p>
      <w:pPr>
        <w:spacing w:after="60"/>
      </w:pPr>
      <w:r>
        <w:t xml:space="preserve"/>
      </w:r>
    </w:p>
    <w:p>
      <w:pPr>
        <w:pStyle w:val="Heading3"/>
        <w:spacing w:after="60" w:before="160"/>
      </w:pPr>
      <w:r>
        <w:t xml:space="preserve">4. Transient failure — retry</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Function POSTs an event to the Notification Service.</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service returns a transient error (timeout, 5xx or 429).</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The Function marks the row Retry: RetryCount++, AvailableAt = now + backoff (honouring Retry-After on 429).</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A later run re-claims the row once AvailableAt has passed and POSTs again — the idempotency key makes a repeat safe.</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service accepts it (2xx); the Function moves the row to the Audit table.</w:t>
            </w:r>
          </w:p>
        </w:tc>
      </w:tr>
      <w:tr>
        <w:tc>
          <w:tcPr>
            <w:tcW w:type="dxa" w:w="950"/>
            <w:tcMar>
              <w:top w:type="dxa" w:w="40"/>
              <w:left w:type="dxa" w:w="90"/>
              <w:bottom w:type="dxa" w:w="40"/>
              <w:right w:type="dxa" w:w="90"/>
            </w:tcMar>
          </w:tcPr>
          <w:p>
            <w:r>
              <w:rPr>
                <w:b w:val="false"/>
                <w:bCs w:val="false"/>
              </w:rPr>
              <w:t xml:space="preserve">6</w:t>
            </w:r>
          </w:p>
        </w:tc>
        <w:tc>
          <w:tcPr>
            <w:tcW w:type="dxa" w:w="8050"/>
            <w:tcMar>
              <w:top w:type="dxa" w:w="40"/>
              <w:left w:type="dxa" w:w="90"/>
              <w:bottom w:type="dxa" w:w="40"/>
              <w:right w:type="dxa" w:w="90"/>
            </w:tcMar>
          </w:tcPr>
          <w:p>
            <w:r>
              <w:rPr>
                <w:b w:val="false"/>
                <w:bCs w:val="false"/>
              </w:rPr>
              <w:t xml:space="preserve">If attempts reach the maximum first, the row is moved to the Dead-letter table instead (Scenario 5).</w:t>
            </w:r>
          </w:p>
        </w:tc>
      </w:tr>
    </w:tbl>
    <w:p>
      <w:pPr>
        <w:spacing w:after="60"/>
      </w:pPr>
      <w:r>
        <w:t xml:space="preserve"/>
      </w:r>
    </w:p>
    <w:p>
      <w:pPr>
        <w:pStyle w:val="Heading3"/>
        <w:spacing w:after="60" w:before="160"/>
      </w:pPr>
      <w:r>
        <w:t xml:space="preserve">5. Permanent failure — dead-letter</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Function POSTs an event to the Notification Service.</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service returns a permanent error (4xx — malformed payload, unknown recipient or bad template).</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The Function moves the row to the Dead-letter table immediately with FailureReason and LastError; retrying cannot help.</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An alert fires on Dead-letter table depth and the row is visible for triage.</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Once the cause is fixed, the row is replayed (Scenario 7).</w:t>
            </w:r>
          </w:p>
        </w:tc>
      </w:tr>
    </w:tbl>
    <w:p>
      <w:pPr>
        <w:spacing w:after="60"/>
      </w:pPr>
      <w:r>
        <w:t xml:space="preserve"/>
      </w:r>
    </w:p>
    <w:p>
      <w:pPr>
        <w:pStyle w:val="Heading3"/>
        <w:spacing w:after="60" w:before="160"/>
      </w:pPr>
      <w:r>
        <w:t xml:space="preserve">6. Duplicate event — idempotent handling</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The same logical event is raised twice — an ETL re-run, a scheduled job firing twice, or an app retry.</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The insert carries the same DedupeKey; the unique index blocks the second row (Layer 1).</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Separately, the Function may resend a row after a crash between send and mark-Sent (at-least-once).</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The resend carries the same idempotency key; the Notification Service suppresses it before delivery (Layer 2).</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The customer sees exactly one message.</w:t>
            </w:r>
          </w:p>
        </w:tc>
      </w:tr>
    </w:tbl>
    <w:p>
      <w:pPr>
        <w:spacing w:after="60"/>
      </w:pPr>
      <w:r>
        <w:t xml:space="preserve"/>
      </w:r>
    </w:p>
    <w:p>
      <w:pPr>
        <w:pStyle w:val="Heading3"/>
        <w:spacing w:after="60" w:before="160"/>
      </w:pPr>
      <w:r>
        <w:t xml:space="preserve">7. Dead-letter replay</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8050"/>
      </w:tblGrid>
      <w:tr>
        <w:trPr>
          <w:tblHeader/>
        </w:trPr>
        <w:tc>
          <w:tcPr>
            <w:tcW w:type="dxa" w:w="950"/>
            <w:shd w:fill="D9D9D9" w:color="auto" w:val="clear"/>
            <w:tcMar>
              <w:top w:type="dxa" w:w="40"/>
              <w:left w:type="dxa" w:w="90"/>
              <w:bottom w:type="dxa" w:w="40"/>
              <w:right w:type="dxa" w:w="90"/>
            </w:tcMar>
          </w:tcPr>
          <w:p>
            <w:r>
              <w:rPr>
                <w:b/>
                <w:bCs/>
              </w:rPr>
              <w:t xml:space="preserve">Step</w:t>
            </w:r>
          </w:p>
        </w:tc>
        <w:tc>
          <w:tcPr>
            <w:tcW w:type="dxa" w:w="8050"/>
            <w:shd w:fill="D9D9D9" w:color="auto" w:val="clear"/>
            <w:tcMar>
              <w:top w:type="dxa" w:w="40"/>
              <w:left w:type="dxa" w:w="90"/>
              <w:bottom w:type="dxa" w:w="40"/>
              <w:right w:type="dxa" w:w="90"/>
            </w:tcMar>
          </w:tcPr>
          <w:p>
            <w:r>
              <w:rPr>
                <w:b/>
                <w:bCs/>
              </w:rPr>
              <w:t xml:space="preserve">Description</w:t>
            </w:r>
          </w:p>
        </w:tc>
      </w:tr>
      <w:tr>
        <w:tc>
          <w:tcPr>
            <w:tcW w:type="dxa" w:w="950"/>
            <w:tcMar>
              <w:top w:type="dxa" w:w="40"/>
              <w:left w:type="dxa" w:w="90"/>
              <w:bottom w:type="dxa" w:w="40"/>
              <w:right w:type="dxa" w:w="90"/>
            </w:tcMar>
          </w:tcPr>
          <w:p>
            <w:r>
              <w:rPr>
                <w:b w:val="false"/>
                <w:bCs w:val="false"/>
              </w:rPr>
              <w:t xml:space="preserve">1</w:t>
            </w:r>
          </w:p>
        </w:tc>
        <w:tc>
          <w:tcPr>
            <w:tcW w:type="dxa" w:w="8050"/>
            <w:tcMar>
              <w:top w:type="dxa" w:w="40"/>
              <w:left w:type="dxa" w:w="90"/>
              <w:bottom w:type="dxa" w:w="40"/>
              <w:right w:type="dxa" w:w="90"/>
            </w:tcMar>
          </w:tcPr>
          <w:p>
            <w:r>
              <w:rPr>
                <w:b w:val="false"/>
                <w:bCs w:val="false"/>
              </w:rPr>
              <w:t xml:space="preserve">One or more rows are in the Dead-letter table after a permanent failure or exhausted retries.</w:t>
            </w:r>
          </w:p>
        </w:tc>
      </w:tr>
      <w:tr>
        <w:tc>
          <w:tcPr>
            <w:tcW w:type="dxa" w:w="950"/>
            <w:tcMar>
              <w:top w:type="dxa" w:w="40"/>
              <w:left w:type="dxa" w:w="90"/>
              <w:bottom w:type="dxa" w:w="40"/>
              <w:right w:type="dxa" w:w="90"/>
            </w:tcMar>
          </w:tcPr>
          <w:p>
            <w:r>
              <w:rPr>
                <w:b w:val="false"/>
                <w:bCs w:val="false"/>
              </w:rPr>
              <w:t xml:space="preserve">2</w:t>
            </w:r>
          </w:p>
        </w:tc>
        <w:tc>
          <w:tcPr>
            <w:tcW w:type="dxa" w:w="8050"/>
            <w:tcMar>
              <w:top w:type="dxa" w:w="40"/>
              <w:left w:type="dxa" w:w="90"/>
              <w:bottom w:type="dxa" w:w="40"/>
              <w:right w:type="dxa" w:w="90"/>
            </w:tcMar>
          </w:tcPr>
          <w:p>
            <w:r>
              <w:rPr>
                <w:b w:val="false"/>
                <w:bCs w:val="false"/>
              </w:rPr>
              <w:t xml:space="preserve">An operator triages the cause from LastError and fixes it.</w:t>
            </w:r>
          </w:p>
        </w:tc>
      </w:tr>
      <w:tr>
        <w:tc>
          <w:tcPr>
            <w:tcW w:type="dxa" w:w="950"/>
            <w:tcMar>
              <w:top w:type="dxa" w:w="40"/>
              <w:left w:type="dxa" w:w="90"/>
              <w:bottom w:type="dxa" w:w="40"/>
              <w:right w:type="dxa" w:w="90"/>
            </w:tcMar>
          </w:tcPr>
          <w:p>
            <w:r>
              <w:rPr>
                <w:b w:val="false"/>
                <w:bCs w:val="false"/>
              </w:rPr>
              <w:t xml:space="preserve">3</w:t>
            </w:r>
          </w:p>
        </w:tc>
        <w:tc>
          <w:tcPr>
            <w:tcW w:type="dxa" w:w="8050"/>
            <w:tcMar>
              <w:top w:type="dxa" w:w="40"/>
              <w:left w:type="dxa" w:w="90"/>
              <w:bottom w:type="dxa" w:w="40"/>
              <w:right w:type="dxa" w:w="90"/>
            </w:tcMar>
          </w:tcPr>
          <w:p>
            <w:r>
              <w:rPr>
                <w:b w:val="false"/>
                <w:bCs w:val="false"/>
              </w:rPr>
              <w:t xml:space="preserve">The rows are moved back to the live table as Pending with AvailableAt = now.</w:t>
            </w:r>
          </w:p>
        </w:tc>
      </w:tr>
      <w:tr>
        <w:tc>
          <w:tcPr>
            <w:tcW w:type="dxa" w:w="950"/>
            <w:tcMar>
              <w:top w:type="dxa" w:w="40"/>
              <w:left w:type="dxa" w:w="90"/>
              <w:bottom w:type="dxa" w:w="40"/>
              <w:right w:type="dxa" w:w="90"/>
            </w:tcMar>
          </w:tcPr>
          <w:p>
            <w:r>
              <w:rPr>
                <w:b w:val="false"/>
                <w:bCs w:val="false"/>
              </w:rPr>
              <w:t xml:space="preserve">4</w:t>
            </w:r>
          </w:p>
        </w:tc>
        <w:tc>
          <w:tcPr>
            <w:tcW w:type="dxa" w:w="8050"/>
            <w:tcMar>
              <w:top w:type="dxa" w:w="40"/>
              <w:left w:type="dxa" w:w="90"/>
              <w:bottom w:type="dxa" w:w="40"/>
              <w:right w:type="dxa" w:w="90"/>
            </w:tcMar>
          </w:tcPr>
          <w:p>
            <w:r>
              <w:rPr>
                <w:b w:val="false"/>
                <w:bCs w:val="false"/>
              </w:rPr>
              <w:t xml:space="preserve">The next run re-claims and re-sends them.</w:t>
            </w:r>
          </w:p>
        </w:tc>
      </w:tr>
      <w:tr>
        <w:tc>
          <w:tcPr>
            <w:tcW w:type="dxa" w:w="950"/>
            <w:tcMar>
              <w:top w:type="dxa" w:w="40"/>
              <w:left w:type="dxa" w:w="90"/>
              <w:bottom w:type="dxa" w:w="40"/>
              <w:right w:type="dxa" w:w="90"/>
            </w:tcMar>
          </w:tcPr>
          <w:p>
            <w:r>
              <w:rPr>
                <w:b w:val="false"/>
                <w:bCs w:val="false"/>
              </w:rPr>
              <w:t xml:space="preserve">5</w:t>
            </w:r>
          </w:p>
        </w:tc>
        <w:tc>
          <w:tcPr>
            <w:tcW w:type="dxa" w:w="8050"/>
            <w:tcMar>
              <w:top w:type="dxa" w:w="40"/>
              <w:left w:type="dxa" w:w="90"/>
              <w:bottom w:type="dxa" w:w="40"/>
              <w:right w:type="dxa" w:w="90"/>
            </w:tcMar>
          </w:tcPr>
          <w:p>
            <w:r>
              <w:rPr>
                <w:b w:val="false"/>
                <w:bCs w:val="false"/>
              </w:rPr>
              <w:t xml:space="preserve">Anything already delivered is suppressed by the idempotency key, so replay cannot double-deliver.</w:t>
            </w:r>
          </w:p>
        </w:tc>
      </w:tr>
    </w:tbl>
    <w:p>
      <w:pPr>
        <w:spacing w:after="60"/>
      </w:pPr>
      <w:r>
        <w:t xml:space="preserve"/>
      </w:r>
    </w:p>
    <w:p>
      <w:pPr>
        <w:pStyle w:val="Heading1"/>
        <w:spacing w:after="120" w:before="280"/>
      </w:pPr>
      <w:r>
        <w:t xml:space="preserve">Implementation rules</w:t>
      </w:r>
    </w:p>
    <w:p>
      <w:pPr>
        <w:pStyle w:val="Heading2"/>
        <w:spacing w:after="80" w:before="200"/>
      </w:pPr>
      <w:r>
        <w:t xml:space="preserve">Event identity and duplicate detection</w:t>
      </w:r>
    </w:p>
    <w:p>
      <w:pPr>
        <w:pStyle w:val="ListParagraph"/>
        <w:numPr>
          <w:ilvl w:val="0"/>
          <w:numId w:val="1"/>
        </w:numPr>
        <w:spacing w:after="40"/>
      </w:pPr>
      <w:r>
        <w:rPr>
          <w:b w:val="false"/>
          <w:bCs w:val="false"/>
        </w:rPr>
        <w:t xml:space="preserve">Each event carries three identifiers: </w:t>
      </w:r>
      <w:r>
        <w:rPr>
          <w:b/>
          <w:bCs/>
        </w:rPr>
        <w:t xml:space="preserve">EventId</w:t>
      </w:r>
      <w:r>
        <w:rPr>
          <w:b w:val="false"/>
          <w:bCs w:val="false"/>
        </w:rPr>
        <w:t xml:space="preserve"> (surrogate, ordering), </w:t>
      </w:r>
      <w:r>
        <w:rPr>
          <w:b/>
          <w:bCs/>
        </w:rPr>
        <w:t xml:space="preserve">EventUid</w:t>
      </w:r>
      <w:r>
        <w:rPr>
          <w:b w:val="false"/>
          <w:bCs w:val="false"/>
        </w:rPr>
        <w:t xml:space="preserve"> (message id for tracing), and </w:t>
      </w:r>
      <w:r>
        <w:rPr>
          <w:b/>
          <w:bCs/>
        </w:rPr>
        <w:t xml:space="preserve">DedupeKey</w:t>
      </w:r>
      <w:r>
        <w:rPr>
          <w:b w:val="false"/>
          <w:bCs w:val="false"/>
        </w:rPr>
        <w:t xml:space="preserve"> (the business key: EventType | EntityId | discriminator).</w:t>
      </w:r>
    </w:p>
    <w:p>
      <w:pPr>
        <w:pStyle w:val="ListParagraph"/>
        <w:numPr>
          <w:ilvl w:val="0"/>
          <w:numId w:val="1"/>
        </w:numPr>
        <w:spacing w:after="40"/>
      </w:pPr>
      <w:r>
        <w:rPr>
          <w:b w:val="false"/>
          <w:bCs w:val="false"/>
        </w:rPr>
        <w:t xml:space="preserve">Layer 1 (producer): a unique index on DedupeKey makes every insert idempotent — a re-run cannot create a second row for the same logical event.</w:t>
      </w:r>
    </w:p>
    <w:p>
      <w:pPr>
        <w:pStyle w:val="ListParagraph"/>
        <w:numPr>
          <w:ilvl w:val="0"/>
          <w:numId w:val="1"/>
        </w:numPr>
        <w:spacing w:after="40"/>
      </w:pPr>
      <w:r>
        <w:rPr>
          <w:b w:val="false"/>
          <w:bCs w:val="false"/>
        </w:rPr>
        <w:t xml:space="preserve">Layer 2 (consumer): the idempotency key (DedupeKey) is sent on every request so the Notification Service suppresses a resend before it reaches a channel. Depends on A04.</w:t>
      </w:r>
    </w:p>
    <w:p>
      <w:pPr>
        <w:pStyle w:val="Heading2"/>
        <w:spacing w:after="80" w:before="200"/>
      </w:pPr>
      <w:r>
        <w:t xml:space="preserve">Failure handling</w:t>
      </w:r>
    </w:p>
    <w:p>
      <w:pPr>
        <w:spacing w:after="120"/>
      </w:pPr>
      <w:r>
        <w:rPr>
          <w:b/>
          <w:bCs/>
        </w:rPr>
        <w:t xml:space="preserve">There is no Service Bus or queue — the live EVENT table is the durable queue. Retry is an in-table state; successful and permanently-failed records move to the Audit and Dead-letter tables, so the live table only ever holds in-flight work.</w:t>
      </w:r>
    </w:p>
    <w:p>
      <w:pPr>
        <w:pStyle w:val="ListParagraph"/>
        <w:numPr>
          <w:ilvl w:val="0"/>
          <w:numId w:val="1"/>
        </w:numPr>
        <w:spacing w:after="40"/>
      </w:pPr>
      <w:r>
        <w:rPr>
          <w:b w:val="false"/>
          <w:bCs w:val="false"/>
        </w:rPr>
        <w:t xml:space="preserve">Transient failures (timeout, 5xx, 429) are retried with exponential backoff and bounded attempts, driven by RetryCount and AvailableAt (the row’s next-visible time); honour Retry-After on 429. The row stays in the live table while retrying.</w:t>
      </w:r>
    </w:p>
    <w:p>
      <w:pPr>
        <w:pStyle w:val="ListParagraph"/>
        <w:numPr>
          <w:ilvl w:val="0"/>
          <w:numId w:val="1"/>
        </w:numPr>
        <w:spacing w:after="40"/>
      </w:pPr>
      <w:r>
        <w:rPr>
          <w:b w:val="false"/>
          <w:bCs w:val="false"/>
        </w:rPr>
        <w:t xml:space="preserve">Permanent failures (4xx), and transient failures past the max attempts, are moved to the Dead-letter table with FailureReason and LastError; retrying cannot help.</w:t>
      </w:r>
    </w:p>
    <w:p>
      <w:pPr>
        <w:pStyle w:val="ListParagraph"/>
        <w:numPr>
          <w:ilvl w:val="0"/>
          <w:numId w:val="1"/>
        </w:numPr>
        <w:spacing w:after="40"/>
      </w:pPr>
      <w:r>
        <w:rPr>
          <w:b w:val="false"/>
          <w:bCs w:val="false"/>
        </w:rPr>
        <w:t xml:space="preserve">Because dead-lettered rows live in a separate table, a poison event never touches the live outbox or the dispatch scan — the isolation a broker DLQ would give, by table separation.</w:t>
      </w:r>
    </w:p>
    <w:p>
      <w:pPr>
        <w:pStyle w:val="ListParagraph"/>
        <w:numPr>
          <w:ilvl w:val="0"/>
          <w:numId w:val="1"/>
        </w:numPr>
        <w:spacing w:after="40"/>
      </w:pPr>
      <w:r>
        <w:rPr>
          <w:b w:val="false"/>
          <w:bCs w:val="false"/>
        </w:rPr>
        <w:t xml:space="preserve">Replay moves a row from the Dead-letter table back to the live outbox as Pending; the next run re-sends it and the idempotency key prevents any double-delivery.</w:t>
      </w:r>
    </w:p>
    <w:p>
      <w:pPr>
        <w:pStyle w:val="ListParagraph"/>
        <w:numPr>
          <w:ilvl w:val="0"/>
          <w:numId w:val="1"/>
        </w:numPr>
        <w:spacing w:after="40"/>
      </w:pPr>
      <w:r>
        <w:rPr>
          <w:b w:val="false"/>
          <w:bCs w:val="false"/>
        </w:rPr>
        <w:t xml:space="preserve">A full outage opens a circuit breaker; the live table buffers the backlog so nothing is lost. The breaker matters more without a broker — it stops the Function burning retries and moving the whole backlog to Dead-letter during the outage.</w:t>
      </w:r>
    </w:p>
    <w:p>
      <w:pPr>
        <w:pStyle w:val="Heading2"/>
        <w:spacing w:after="80" w:before="200"/>
      </w:pPr>
      <w:r>
        <w:t xml:space="preserve">Database operations</w:t>
      </w:r>
    </w:p>
    <w:p>
      <w:pPr>
        <w:pStyle w:val="ListParagraph"/>
        <w:numPr>
          <w:ilvl w:val="0"/>
          <w:numId w:val="1"/>
        </w:numPr>
        <w:spacing w:after="40"/>
      </w:pPr>
      <w:r>
        <w:rPr>
          <w:b w:val="false"/>
          <w:bCs w:val="false"/>
        </w:rPr>
        <w:t xml:space="preserve">All access is via stored procedures, set-based, using async/await; reuse the connection for related operations.</w:t>
      </w:r>
    </w:p>
    <w:p>
      <w:pPr>
        <w:pStyle w:val="ListParagraph"/>
        <w:numPr>
          <w:ilvl w:val="0"/>
          <w:numId w:val="1"/>
        </w:numPr>
        <w:spacing w:after="40"/>
      </w:pPr>
      <w:r>
        <w:rPr>
          <w:b w:val="false"/>
          <w:bCs w:val="false"/>
        </w:rPr>
        <w:t xml:space="preserve">The outbox write is in the same transaction as the source change (per-domain table), guaranteeing no lost or phantom events.</w:t>
      </w:r>
    </w:p>
    <w:p>
      <w:pPr>
        <w:pStyle w:val="Heading2"/>
        <w:spacing w:after="80" w:before="200"/>
      </w:pPr>
      <w:r>
        <w:t xml:space="preserve">Residency, observability and retention</w:t>
      </w:r>
    </w:p>
    <w:p>
      <w:pPr>
        <w:pStyle w:val="ListParagraph"/>
        <w:numPr>
          <w:ilvl w:val="0"/>
          <w:numId w:val="1"/>
        </w:numPr>
        <w:spacing w:after="40"/>
      </w:pPr>
      <w:r>
        <w:rPr>
          <w:b w:val="false"/>
          <w:bCs w:val="false"/>
        </w:rPr>
        <w:t xml:space="preserve">Message content and contact details are processed in the UK/EU; the Function runs in UK South with Private Endpoints and Managed Identity (no secrets).</w:t>
      </w:r>
    </w:p>
    <w:p>
      <w:pPr>
        <w:pStyle w:val="ListParagraph"/>
        <w:numPr>
          <w:ilvl w:val="0"/>
          <w:numId w:val="1"/>
        </w:numPr>
        <w:spacing w:after="40"/>
      </w:pPr>
      <w:r>
        <w:rPr>
          <w:b w:val="false"/>
          <w:bCs w:val="false"/>
        </w:rPr>
        <w:t xml:space="preserve">Emit pending depth, oldest-pending lag against each tier SLA, send latency, retry rate, dead-letter count and breaker state; alert on lag, dead-letter count and breaker.</w:t>
      </w:r>
    </w:p>
    <w:p>
      <w:pPr>
        <w:pStyle w:val="ListParagraph"/>
        <w:numPr>
          <w:ilvl w:val="0"/>
          <w:numId w:val="1"/>
        </w:numPr>
        <w:spacing w:after="40"/>
      </w:pPr>
      <w:r>
        <w:rPr>
          <w:b w:val="false"/>
          <w:bCs w:val="false"/>
        </w:rPr>
        <w:t xml:space="preserve">The live table self-trims — rows leave on completion — so it needs no purge job; the Audit table carries the long-term retention policy (archive to cold storage after N months).</w:t>
      </w:r>
    </w:p>
    <w:p>
      <w:pPr>
        <w:pStyle w:val="Heading1"/>
        <w:spacing w:after="120" w:before="280"/>
      </w:pPr>
      <w:r>
        <w:t xml:space="preserve">Ingestion analysis</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100"/>
        <w:gridCol w:w="7900"/>
      </w:tblGrid>
      <w:tr>
        <w:trPr>
          <w:tblHeader/>
        </w:trPr>
        <w:tc>
          <w:tcPr>
            <w:tcW w:type="dxa" w:w="1100"/>
            <w:shd w:fill="D9D9D9" w:color="auto" w:val="clear"/>
            <w:tcMar>
              <w:top w:type="dxa" w:w="40"/>
              <w:left w:type="dxa" w:w="90"/>
              <w:bottom w:type="dxa" w:w="40"/>
              <w:right w:type="dxa" w:w="90"/>
            </w:tcMar>
          </w:tcPr>
          <w:p>
            <w:r>
              <w:rPr>
                <w:b/>
                <w:bCs/>
              </w:rPr>
              <w:t xml:space="preserve">Requirement</w:t>
            </w:r>
          </w:p>
        </w:tc>
        <w:tc>
          <w:tcPr>
            <w:tcW w:type="dxa" w:w="7900"/>
            <w:shd w:fill="D9D9D9" w:color="auto" w:val="clear"/>
            <w:tcMar>
              <w:top w:type="dxa" w:w="40"/>
              <w:left w:type="dxa" w:w="90"/>
              <w:bottom w:type="dxa" w:w="40"/>
              <w:right w:type="dxa" w:w="90"/>
            </w:tcMar>
          </w:tcPr>
          <w:p>
            <w:r>
              <w:rPr>
                <w:b/>
                <w:bCs/>
              </w:rPr>
              <w:t xml:space="preserve">Description</w:t>
            </w:r>
          </w:p>
        </w:tc>
      </w:tr>
      <w:tr>
        <w:tc>
          <w:tcPr>
            <w:tcW w:type="dxa" w:w="1100"/>
            <w:tcMar>
              <w:top w:type="dxa" w:w="40"/>
              <w:left w:type="dxa" w:w="90"/>
              <w:bottom w:type="dxa" w:w="40"/>
              <w:right w:type="dxa" w:w="90"/>
            </w:tcMar>
          </w:tcPr>
          <w:p>
            <w:r>
              <w:rPr>
                <w:b w:val="false"/>
                <w:bCs w:val="false"/>
              </w:rPr>
              <w:t xml:space="preserve">FR-01</w:t>
            </w:r>
          </w:p>
        </w:tc>
        <w:tc>
          <w:tcPr>
            <w:tcW w:type="dxa" w:w="7900"/>
            <w:tcMar>
              <w:top w:type="dxa" w:w="40"/>
              <w:left w:type="dxa" w:w="90"/>
              <w:bottom w:type="dxa" w:w="40"/>
              <w:right w:type="dxa" w:w="90"/>
            </w:tcMar>
          </w:tcPr>
          <w:p>
            <w:r>
              <w:rPr>
                <w:b w:val="false"/>
                <w:bCs w:val="false"/>
              </w:rPr>
              <w:t xml:space="preserve">Must capture a notification event when a watched field changes or a relevant record is loaded or changed in the persistence layer.</w:t>
            </w:r>
          </w:p>
        </w:tc>
      </w:tr>
      <w:tr>
        <w:tc>
          <w:tcPr>
            <w:tcW w:type="dxa" w:w="1100"/>
            <w:tcMar>
              <w:top w:type="dxa" w:w="40"/>
              <w:left w:type="dxa" w:w="90"/>
              <w:bottom w:type="dxa" w:w="40"/>
              <w:right w:type="dxa" w:w="90"/>
            </w:tcMar>
          </w:tcPr>
          <w:p>
            <w:r>
              <w:rPr>
                <w:b w:val="false"/>
                <w:bCs w:val="false"/>
              </w:rPr>
              <w:t xml:space="preserve">FR-02</w:t>
            </w:r>
          </w:p>
        </w:tc>
        <w:tc>
          <w:tcPr>
            <w:tcW w:type="dxa" w:w="7900"/>
            <w:tcMar>
              <w:top w:type="dxa" w:w="40"/>
              <w:left w:type="dxa" w:w="90"/>
              <w:bottom w:type="dxa" w:w="40"/>
              <w:right w:type="dxa" w:w="90"/>
            </w:tcMar>
          </w:tcPr>
          <w:p>
            <w:r>
              <w:rPr>
                <w:b w:val="false"/>
                <w:bCs w:val="false"/>
              </w:rPr>
              <w:t xml:space="preserve">Must write the event in the same transaction as the source change (transactional outbox).</w:t>
            </w:r>
          </w:p>
        </w:tc>
      </w:tr>
      <w:tr>
        <w:tc>
          <w:tcPr>
            <w:tcW w:type="dxa" w:w="1100"/>
            <w:tcMar>
              <w:top w:type="dxa" w:w="40"/>
              <w:left w:type="dxa" w:w="90"/>
              <w:bottom w:type="dxa" w:w="40"/>
              <w:right w:type="dxa" w:w="90"/>
            </w:tcMar>
          </w:tcPr>
          <w:p>
            <w:r>
              <w:rPr>
                <w:b w:val="false"/>
                <w:bCs w:val="false"/>
              </w:rPr>
              <w:t xml:space="preserve">FR-03</w:t>
            </w:r>
          </w:p>
        </w:tc>
        <w:tc>
          <w:tcPr>
            <w:tcW w:type="dxa" w:w="7900"/>
            <w:tcMar>
              <w:top w:type="dxa" w:w="40"/>
              <w:left w:type="dxa" w:w="90"/>
              <w:bottom w:type="dxa" w:w="40"/>
              <w:right w:type="dxa" w:w="90"/>
            </w:tcMar>
          </w:tcPr>
          <w:p>
            <w:r>
              <w:rPr>
                <w:b w:val="false"/>
                <w:bCs w:val="false"/>
              </w:rPr>
              <w:t xml:space="preserve">Must assign a deterministic business key (DedupeKey) so a re-run cannot create a duplicate event.</w:t>
            </w:r>
          </w:p>
        </w:tc>
      </w:tr>
      <w:tr>
        <w:tc>
          <w:tcPr>
            <w:tcW w:type="dxa" w:w="1100"/>
            <w:tcMar>
              <w:top w:type="dxa" w:w="40"/>
              <w:left w:type="dxa" w:w="90"/>
              <w:bottom w:type="dxa" w:w="40"/>
              <w:right w:type="dxa" w:w="90"/>
            </w:tcMar>
          </w:tcPr>
          <w:p>
            <w:r>
              <w:rPr>
                <w:b w:val="false"/>
                <w:bCs w:val="false"/>
              </w:rPr>
              <w:t xml:space="preserve">FR-04</w:t>
            </w:r>
          </w:p>
        </w:tc>
        <w:tc>
          <w:tcPr>
            <w:tcW w:type="dxa" w:w="7900"/>
            <w:tcMar>
              <w:top w:type="dxa" w:w="40"/>
              <w:left w:type="dxa" w:w="90"/>
              <w:bottom w:type="dxa" w:w="40"/>
              <w:right w:type="dxa" w:w="90"/>
            </w:tcMar>
          </w:tcPr>
          <w:p>
            <w:r>
              <w:rPr>
                <w:b w:val="false"/>
                <w:bCs w:val="false"/>
              </w:rPr>
              <w:t xml:space="preserve">Must tag each event with its SLA tier (real-time, scheduled or batch).</w:t>
            </w:r>
          </w:p>
        </w:tc>
      </w:tr>
      <w:tr>
        <w:tc>
          <w:tcPr>
            <w:tcW w:type="dxa" w:w="1100"/>
            <w:tcMar>
              <w:top w:type="dxa" w:w="40"/>
              <w:left w:type="dxa" w:w="90"/>
              <w:bottom w:type="dxa" w:w="40"/>
              <w:right w:type="dxa" w:w="90"/>
            </w:tcMar>
          </w:tcPr>
          <w:p>
            <w:r>
              <w:rPr>
                <w:b w:val="false"/>
                <w:bCs w:val="false"/>
              </w:rPr>
              <w:t xml:space="preserve">FR-05</w:t>
            </w:r>
          </w:p>
        </w:tc>
        <w:tc>
          <w:tcPr>
            <w:tcW w:type="dxa" w:w="7900"/>
            <w:tcMar>
              <w:top w:type="dxa" w:w="40"/>
              <w:left w:type="dxa" w:w="90"/>
              <w:bottom w:type="dxa" w:w="40"/>
              <w:right w:type="dxa" w:w="90"/>
            </w:tcMar>
          </w:tcPr>
          <w:p>
            <w:r>
              <w:rPr>
                <w:b w:val="false"/>
                <w:bCs w:val="false"/>
              </w:rPr>
              <w:t xml:space="preserve">Must carry the recipient key (CustomerId) and the business payload required by the message template, and nothing more.</w:t>
            </w:r>
          </w:p>
        </w:tc>
      </w:tr>
    </w:tbl>
    <w:p>
      <w:pPr>
        <w:spacing w:after="60"/>
      </w:pPr>
      <w:r>
        <w:t xml:space="preserve"/>
      </w:r>
    </w:p>
    <w:p>
      <w:pPr>
        <w:pStyle w:val="Heading1"/>
        <w:spacing w:after="120" w:before="280"/>
      </w:pPr>
      <w:r>
        <w:t xml:space="preserve">Dispatcher analysis</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100"/>
        <w:gridCol w:w="7900"/>
      </w:tblGrid>
      <w:tr>
        <w:trPr>
          <w:tblHeader/>
        </w:trPr>
        <w:tc>
          <w:tcPr>
            <w:tcW w:type="dxa" w:w="1100"/>
            <w:shd w:fill="D9D9D9" w:color="auto" w:val="clear"/>
            <w:tcMar>
              <w:top w:type="dxa" w:w="40"/>
              <w:left w:type="dxa" w:w="90"/>
              <w:bottom w:type="dxa" w:w="40"/>
              <w:right w:type="dxa" w:w="90"/>
            </w:tcMar>
          </w:tcPr>
          <w:p>
            <w:r>
              <w:rPr>
                <w:b/>
                <w:bCs/>
              </w:rPr>
              <w:t xml:space="preserve">Requirement</w:t>
            </w:r>
          </w:p>
        </w:tc>
        <w:tc>
          <w:tcPr>
            <w:tcW w:type="dxa" w:w="7900"/>
            <w:shd w:fill="D9D9D9" w:color="auto" w:val="clear"/>
            <w:tcMar>
              <w:top w:type="dxa" w:w="40"/>
              <w:left w:type="dxa" w:w="90"/>
              <w:bottom w:type="dxa" w:w="40"/>
              <w:right w:type="dxa" w:w="90"/>
            </w:tcMar>
          </w:tcPr>
          <w:p>
            <w:r>
              <w:rPr>
                <w:b/>
                <w:bCs/>
              </w:rPr>
              <w:t xml:space="preserve">Description</w:t>
            </w:r>
          </w:p>
        </w:tc>
      </w:tr>
      <w:tr>
        <w:tc>
          <w:tcPr>
            <w:tcW w:type="dxa" w:w="1100"/>
            <w:tcMar>
              <w:top w:type="dxa" w:w="40"/>
              <w:left w:type="dxa" w:w="90"/>
              <w:bottom w:type="dxa" w:w="40"/>
              <w:right w:type="dxa" w:w="90"/>
            </w:tcMar>
          </w:tcPr>
          <w:p>
            <w:r>
              <w:rPr>
                <w:b w:val="false"/>
                <w:bCs w:val="false"/>
              </w:rPr>
              <w:t xml:space="preserve">FR-01</w:t>
            </w:r>
          </w:p>
        </w:tc>
        <w:tc>
          <w:tcPr>
            <w:tcW w:type="dxa" w:w="7900"/>
            <w:tcMar>
              <w:top w:type="dxa" w:w="40"/>
              <w:left w:type="dxa" w:w="90"/>
              <w:bottom w:type="dxa" w:w="40"/>
              <w:right w:type="dxa" w:w="90"/>
            </w:tcMar>
          </w:tcPr>
          <w:p>
            <w:r>
              <w:rPr>
                <w:b w:val="false"/>
                <w:bCs w:val="false"/>
              </w:rPr>
              <w:t xml:space="preserve">Must claim unsent events without double-claiming across instances.</w:t>
            </w:r>
          </w:p>
        </w:tc>
      </w:tr>
      <w:tr>
        <w:tc>
          <w:tcPr>
            <w:tcW w:type="dxa" w:w="1100"/>
            <w:tcMar>
              <w:top w:type="dxa" w:w="40"/>
              <w:left w:type="dxa" w:w="90"/>
              <w:bottom w:type="dxa" w:w="40"/>
              <w:right w:type="dxa" w:w="90"/>
            </w:tcMar>
          </w:tcPr>
          <w:p>
            <w:r>
              <w:rPr>
                <w:b w:val="false"/>
                <w:bCs w:val="false"/>
              </w:rPr>
              <w:t xml:space="preserve">FR-02</w:t>
            </w:r>
          </w:p>
        </w:tc>
        <w:tc>
          <w:tcPr>
            <w:tcW w:type="dxa" w:w="7900"/>
            <w:tcMar>
              <w:top w:type="dxa" w:w="40"/>
              <w:left w:type="dxa" w:w="90"/>
              <w:bottom w:type="dxa" w:w="40"/>
              <w:right w:type="dxa" w:w="90"/>
            </w:tcMar>
          </w:tcPr>
          <w:p>
            <w:r>
              <w:rPr>
                <w:b w:val="false"/>
                <w:bCs w:val="false"/>
              </w:rPr>
              <w:t xml:space="preserve">Must forward each event to the Notification Service with an idempotency key.</w:t>
            </w:r>
          </w:p>
        </w:tc>
      </w:tr>
      <w:tr>
        <w:tc>
          <w:tcPr>
            <w:tcW w:type="dxa" w:w="1100"/>
            <w:tcMar>
              <w:top w:type="dxa" w:w="40"/>
              <w:left w:type="dxa" w:w="90"/>
              <w:bottom w:type="dxa" w:w="40"/>
              <w:right w:type="dxa" w:w="90"/>
            </w:tcMar>
          </w:tcPr>
          <w:p>
            <w:r>
              <w:rPr>
                <w:b w:val="false"/>
                <w:bCs w:val="false"/>
              </w:rPr>
              <w:t xml:space="preserve">FR-03</w:t>
            </w:r>
          </w:p>
        </w:tc>
        <w:tc>
          <w:tcPr>
            <w:tcW w:type="dxa" w:w="7900"/>
            <w:tcMar>
              <w:top w:type="dxa" w:w="40"/>
              <w:left w:type="dxa" w:w="90"/>
              <w:bottom w:type="dxa" w:w="40"/>
              <w:right w:type="dxa" w:w="90"/>
            </w:tcMar>
          </w:tcPr>
          <w:p>
            <w:r>
              <w:rPr>
                <w:b w:val="false"/>
                <w:bCs w:val="false"/>
              </w:rPr>
              <w:t xml:space="preserve">Must retry transient failures with backoff and dead-letter after a bounded number of attempts.</w:t>
            </w:r>
          </w:p>
        </w:tc>
      </w:tr>
      <w:tr>
        <w:tc>
          <w:tcPr>
            <w:tcW w:type="dxa" w:w="1100"/>
            <w:tcMar>
              <w:top w:type="dxa" w:w="40"/>
              <w:left w:type="dxa" w:w="90"/>
              <w:bottom w:type="dxa" w:w="40"/>
              <w:right w:type="dxa" w:w="90"/>
            </w:tcMar>
          </w:tcPr>
          <w:p>
            <w:r>
              <w:rPr>
                <w:b w:val="false"/>
                <w:bCs w:val="false"/>
              </w:rPr>
              <w:t xml:space="preserve">FR-04</w:t>
            </w:r>
          </w:p>
        </w:tc>
        <w:tc>
          <w:tcPr>
            <w:tcW w:type="dxa" w:w="7900"/>
            <w:tcMar>
              <w:top w:type="dxa" w:w="40"/>
              <w:left w:type="dxa" w:w="90"/>
              <w:bottom w:type="dxa" w:w="40"/>
              <w:right w:type="dxa" w:w="90"/>
            </w:tcMar>
          </w:tcPr>
          <w:p>
            <w:r>
              <w:rPr>
                <w:b w:val="false"/>
                <w:bCs w:val="false"/>
              </w:rPr>
              <w:t xml:space="preserve">Must stop sending during a full outage (circuit breaker) and resume without losing events.</w:t>
            </w:r>
          </w:p>
        </w:tc>
      </w:tr>
      <w:tr>
        <w:tc>
          <w:tcPr>
            <w:tcW w:type="dxa" w:w="1100"/>
            <w:tcMar>
              <w:top w:type="dxa" w:w="40"/>
              <w:left w:type="dxa" w:w="90"/>
              <w:bottom w:type="dxa" w:w="40"/>
              <w:right w:type="dxa" w:w="90"/>
            </w:tcMar>
          </w:tcPr>
          <w:p>
            <w:r>
              <w:rPr>
                <w:b w:val="false"/>
                <w:bCs w:val="false"/>
              </w:rPr>
              <w:t xml:space="preserve">FR-05</w:t>
            </w:r>
          </w:p>
        </w:tc>
        <w:tc>
          <w:tcPr>
            <w:tcW w:type="dxa" w:w="7900"/>
            <w:tcMar>
              <w:top w:type="dxa" w:w="40"/>
              <w:left w:type="dxa" w:w="90"/>
              <w:bottom w:type="dxa" w:w="40"/>
              <w:right w:type="dxa" w:w="90"/>
            </w:tcMar>
          </w:tcPr>
          <w:p>
            <w:r>
              <w:rPr>
                <w:b w:val="false"/>
                <w:bCs w:val="false"/>
              </w:rPr>
              <w:t xml:space="preserve">Must record the delivery outcome and expose operational metrics (lag, dead-letter count, breaker state).</w:t>
            </w:r>
          </w:p>
        </w:tc>
      </w:tr>
      <w:tr>
        <w:tc>
          <w:tcPr>
            <w:tcW w:type="dxa" w:w="1100"/>
            <w:tcMar>
              <w:top w:type="dxa" w:w="40"/>
              <w:left w:type="dxa" w:w="90"/>
              <w:bottom w:type="dxa" w:w="40"/>
              <w:right w:type="dxa" w:w="90"/>
            </w:tcMar>
          </w:tcPr>
          <w:p>
            <w:r>
              <w:rPr>
                <w:b w:val="false"/>
                <w:bCs w:val="false"/>
              </w:rPr>
              <w:t xml:space="preserve">FR-06</w:t>
            </w:r>
          </w:p>
        </w:tc>
        <w:tc>
          <w:tcPr>
            <w:tcW w:type="dxa" w:w="7900"/>
            <w:tcMar>
              <w:top w:type="dxa" w:w="40"/>
              <w:left w:type="dxa" w:w="90"/>
              <w:bottom w:type="dxa" w:w="40"/>
              <w:right w:type="dxa" w:w="90"/>
            </w:tcMar>
          </w:tcPr>
          <w:p>
            <w:r>
              <w:rPr>
                <w:b w:val="false"/>
                <w:bCs w:val="false"/>
              </w:rPr>
              <w:t xml:space="preserve">Must process real-time events within the 60-second tier and scheduled events within the 15-minute tier, subject to upstream data cadence.</w:t>
            </w:r>
          </w:p>
        </w:tc>
      </w:tr>
    </w:tbl>
    <w:p>
      <w:pPr>
        <w:spacing w:after="60"/>
      </w:pPr>
      <w:r>
        <w:t xml:space="preserve"/>
      </w:r>
    </w:p>
    <w:p>
      <w:pPr>
        <w:pStyle w:val="Heading1"/>
        <w:spacing w:after="120" w:before="280"/>
      </w:pPr>
      <w:r>
        <w:t xml:space="preserve">Adding a new notification</w:t>
      </w:r>
    </w:p>
    <w:p>
      <w:pPr>
        <w:spacing w:after="120"/>
      </w:pPr>
      <w:r>
        <w:rPr>
          <w:b w:val="false"/>
          <w:bCs w:val="false"/>
        </w:rPr>
        <w:t xml:space="preserve">A new notification is additive and does not change the dispatcher Function. The Function is notification-agnostic — it claims any Pending row and forwards any envelope — so a new notification touches only the producer side and the vendor template.</w:t>
      </w:r>
    </w:p>
    <w:p>
      <w:pPr>
        <w:spacing w:after="120"/>
      </w:pPr>
      <w:r>
        <w:rPr>
          <w:b w:val="false"/>
          <w:bCs w:val="false"/>
        </w:rPr>
        <w:t xml:space="preserve">To add one:</w:t>
      </w:r>
    </w:p>
    <w:p>
      <w:pPr>
        <w:pStyle w:val="ListParagraph"/>
        <w:numPr>
          <w:ilvl w:val="0"/>
          <w:numId w:val="1"/>
        </w:numPr>
        <w:spacing w:after="40"/>
      </w:pPr>
      <w:r>
        <w:rPr>
          <w:b w:val="false"/>
          <w:bCs w:val="false"/>
        </w:rPr>
        <w:t xml:space="preserve">Define a new EventType and its DedupeKey discriminator (what makes each occurrence unique).</w:t>
      </w:r>
    </w:p>
    <w:p>
      <w:pPr>
        <w:pStyle w:val="ListParagraph"/>
        <w:numPr>
          <w:ilvl w:val="0"/>
          <w:numId w:val="1"/>
        </w:numPr>
        <w:spacing w:after="40"/>
      </w:pPr>
      <w:r>
        <w:rPr>
          <w:b w:val="false"/>
          <w:bCs w:val="false"/>
        </w:rPr>
        <w:t xml:space="preserve">Define the Payload fields the message needs; because Payload is JSON with a SchemaVersion, no table change is required.</w:t>
      </w:r>
    </w:p>
    <w:p>
      <w:pPr>
        <w:pStyle w:val="ListParagraph"/>
        <w:numPr>
          <w:ilvl w:val="0"/>
          <w:numId w:val="1"/>
        </w:numPr>
        <w:spacing w:after="40"/>
      </w:pPr>
      <w:r>
        <w:rPr>
          <w:b w:val="false"/>
          <w:bCs w:val="false"/>
        </w:rPr>
        <w:t xml:space="preserve">Add the change-detection rule that emits the event: a new branch in the domain’s detection SP, or a new trigger predicate on the watched field — additive and set-based.</w:t>
      </w:r>
    </w:p>
    <w:p>
      <w:pPr>
        <w:pStyle w:val="ListParagraph"/>
        <w:numPr>
          <w:ilvl w:val="0"/>
          <w:numId w:val="1"/>
        </w:numPr>
        <w:spacing w:after="40"/>
      </w:pPr>
      <w:r>
        <w:rPr>
          <w:b w:val="false"/>
          <w:bCs w:val="false"/>
        </w:rPr>
        <w:t xml:space="preserve">Register the EventType in a small configuration table (tier, template key, enabled flag).</w:t>
      </w:r>
    </w:p>
    <w:p>
      <w:pPr>
        <w:pStyle w:val="ListParagraph"/>
        <w:numPr>
          <w:ilvl w:val="0"/>
          <w:numId w:val="1"/>
        </w:numPr>
        <w:spacing w:after="40"/>
      </w:pPr>
      <w:r>
        <w:rPr>
          <w:b w:val="false"/>
          <w:bCs w:val="false"/>
        </w:rPr>
        <w:t xml:space="preserve">Author the message template in the Notification Service.</w:t>
      </w:r>
    </w:p>
    <w:p>
      <w:pPr>
        <w:spacing w:after="120"/>
      </w:pPr>
      <w:r>
        <w:rPr>
          <w:b/>
          <w:bCs/>
        </w:rPr>
        <w:t xml:space="preserve">What does not change: </w:t>
      </w:r>
      <w:r>
        <w:rPr>
          <w:b w:val="false"/>
          <w:bCs w:val="false"/>
        </w:rPr>
        <w:t xml:space="preserve">the EVENT table schema, the dispatcher Function, the claim / retry / dead-letter logic, the envelope contract, or the infrastructure. A new notification is therefore a small, low-risk change — one detection rule plus a template — typically 0.5–1 day of development per notification (plus the vendor template), not a Function change.</w:t>
      </w:r>
    </w:p>
    <w:p>
      <w:pPr>
        <w:spacing w:after="120"/>
      </w:pPr>
      <w:r>
        <w:rPr>
          <w:b w:val="false"/>
          <w:bCs w:val="false"/>
        </w:rPr>
        <w:t xml:space="preserve">A metadata-driven EventType registry (a config table mapping EventType to tier, template key, required payload fields and an enabled flag) makes this cleaner still: new notifications become a config row plus a detection rule, and can be enabled or disabled without a deploy.</w:t>
      </w:r>
    </w:p>
    <w:p>
      <w:pPr>
        <w:pStyle w:val="Heading1"/>
        <w:spacing w:after="120" w:before="280"/>
      </w:pPr>
      <w:r>
        <w:t xml:space="preserve">Estimation</w:t>
      </w:r>
    </w:p>
    <w:p>
      <w:pPr>
        <w:spacing w:after="120"/>
      </w:pPr>
      <w:r>
        <w:rPr>
          <w:b w:val="false"/>
          <w:bCs w:val="false"/>
        </w:rPr>
        <w:t xml:space="preserve">The following is a pre-estimation breakdown prepared for the estimation session, which is to be scheduled. The proposed participants are:</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4500"/>
        <w:gridCol w:w="4500"/>
      </w:tblGrid>
      <w:tr>
        <w:trPr>
          <w:tblHeader/>
        </w:trPr>
        <w:tc>
          <w:tcPr>
            <w:tcW w:type="dxa" w:w="4500"/>
            <w:shd w:fill="D9D9D9" w:color="auto" w:val="clear"/>
            <w:tcMar>
              <w:top w:type="dxa" w:w="40"/>
              <w:left w:type="dxa" w:w="90"/>
              <w:bottom w:type="dxa" w:w="40"/>
              <w:right w:type="dxa" w:w="90"/>
            </w:tcMar>
          </w:tcPr>
          <w:p>
            <w:r>
              <w:rPr>
                <w:b/>
                <w:bCs/>
              </w:rPr>
              <w:t xml:space="preserve">Name</w:t>
            </w:r>
          </w:p>
        </w:tc>
        <w:tc>
          <w:tcPr>
            <w:tcW w:type="dxa" w:w="4500"/>
            <w:shd w:fill="D9D9D9" w:color="auto" w:val="clear"/>
            <w:tcMar>
              <w:top w:type="dxa" w:w="40"/>
              <w:left w:type="dxa" w:w="90"/>
              <w:bottom w:type="dxa" w:w="40"/>
              <w:right w:type="dxa" w:w="90"/>
            </w:tcMar>
          </w:tcPr>
          <w:p>
            <w:r>
              <w:rPr>
                <w:b/>
                <w:bCs/>
              </w:rPr>
              <w:t xml:space="preserve">Role</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Architect</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Architect</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Software Developer</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Software Developer</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QA Engineer</w:t>
            </w:r>
          </w:p>
        </w:tc>
      </w:tr>
      <w:tr>
        <w:tc>
          <w:tcPr>
            <w:tcW w:type="dxa" w:w="4500"/>
            <w:tcMar>
              <w:top w:type="dxa" w:w="40"/>
              <w:left w:type="dxa" w:w="90"/>
              <w:bottom w:type="dxa" w:w="40"/>
              <w:right w:type="dxa" w:w="90"/>
            </w:tcMar>
          </w:tcPr>
          <w:p>
            <w:r>
              <w:rPr>
                <w:b w:val="false"/>
                <w:bCs w:val="false"/>
              </w:rPr>
              <w:t xml:space="preserve">TBC</w:t>
            </w:r>
          </w:p>
        </w:tc>
        <w:tc>
          <w:tcPr>
            <w:tcW w:type="dxa" w:w="4500"/>
            <w:tcMar>
              <w:top w:type="dxa" w:w="40"/>
              <w:left w:type="dxa" w:w="90"/>
              <w:bottom w:type="dxa" w:w="40"/>
              <w:right w:type="dxa" w:w="90"/>
            </w:tcMar>
          </w:tcPr>
          <w:p>
            <w:r>
              <w:rPr>
                <w:b w:val="false"/>
                <w:bCs w:val="false"/>
              </w:rPr>
              <w:t xml:space="preserve">PA Engineer</w:t>
            </w:r>
          </w:p>
        </w:tc>
      </w:tr>
    </w:tbl>
    <w:p>
      <w:pPr>
        <w:spacing w:after="60"/>
      </w:pPr>
      <w:r>
        <w:t xml:space="preserve"/>
      </w:r>
    </w:p>
    <w:p>
      <w:pPr>
        <w:spacing w:after="120"/>
      </w:pPr>
      <w:r>
        <w:rPr>
          <w:b w:val="false"/>
          <w:bCs w:val="false"/>
        </w:rPr>
        <w:t xml:space="preserve">The following points are to be discussed:</w:t>
      </w:r>
    </w:p>
    <w:p>
      <w:pPr>
        <w:pStyle w:val="ListParagraph"/>
        <w:numPr>
          <w:ilvl w:val="0"/>
          <w:numId w:val="1"/>
        </w:numPr>
        <w:spacing w:after="40"/>
      </w:pPr>
      <w:r>
        <w:rPr>
          <w:b w:val="false"/>
          <w:bCs w:val="false"/>
        </w:rPr>
        <w:t xml:space="preserve">Review of the integration-layer design</w:t>
      </w:r>
    </w:p>
    <w:p>
      <w:pPr>
        <w:pStyle w:val="ListParagraph"/>
        <w:numPr>
          <w:ilvl w:val="0"/>
          <w:numId w:val="1"/>
        </w:numPr>
        <w:spacing w:after="40"/>
      </w:pPr>
      <w:r>
        <w:rPr>
          <w:b w:val="false"/>
          <w:bCs w:val="false"/>
        </w:rPr>
        <w:t xml:space="preserve">Event-source approach (SP vs trigger) per domain and field</w:t>
      </w:r>
    </w:p>
    <w:p>
      <w:pPr>
        <w:pStyle w:val="ListParagraph"/>
        <w:numPr>
          <w:ilvl w:val="0"/>
          <w:numId w:val="1"/>
        </w:numPr>
        <w:spacing w:after="40"/>
      </w:pPr>
      <w:r>
        <w:rPr>
          <w:b w:val="false"/>
          <w:bCs w:val="false"/>
        </w:rPr>
        <w:t xml:space="preserve">Duplicate detection and the idempotency contract with the vendor</w:t>
      </w:r>
    </w:p>
    <w:p>
      <w:pPr>
        <w:pStyle w:val="ListParagraph"/>
        <w:numPr>
          <w:ilvl w:val="0"/>
          <w:numId w:val="1"/>
        </w:numPr>
        <w:spacing w:after="40"/>
      </w:pPr>
      <w:r>
        <w:rPr>
          <w:b w:val="false"/>
          <w:bCs w:val="false"/>
        </w:rPr>
        <w:t xml:space="preserve">Failure handling and the circuit breaker</w:t>
      </w:r>
    </w:p>
    <w:p>
      <w:pPr>
        <w:pStyle w:val="ListParagraph"/>
        <w:numPr>
          <w:ilvl w:val="0"/>
          <w:numId w:val="1"/>
        </w:numPr>
        <w:spacing w:after="40"/>
      </w:pPr>
      <w:r>
        <w:rPr>
          <w:b w:val="false"/>
          <w:bCs w:val="false"/>
        </w:rPr>
        <w:t xml:space="preserve">SLA tiers versus upstream data cadence</w:t>
      </w:r>
    </w:p>
    <w:p>
      <w:pPr>
        <w:pStyle w:val="ListParagraph"/>
        <w:numPr>
          <w:ilvl w:val="0"/>
          <w:numId w:val="1"/>
        </w:numPr>
        <w:spacing w:after="40"/>
      </w:pPr>
      <w:r>
        <w:rPr>
          <w:b w:val="false"/>
          <w:bCs w:val="false"/>
        </w:rPr>
        <w:t xml:space="preserve">QA strategy (scenario coverage and the stub service)</w:t>
      </w:r>
    </w:p>
    <w:p>
      <w:pPr>
        <w:pStyle w:val="ListParagraph"/>
        <w:numPr>
          <w:ilvl w:val="0"/>
          <w:numId w:val="1"/>
        </w:numPr>
        <w:spacing w:after="40"/>
      </w:pPr>
      <w:r>
        <w:rPr>
          <w:b w:val="false"/>
          <w:bCs w:val="false"/>
        </w:rPr>
        <w:t xml:space="preserve">PA strategy (load at ETL volume)</w:t>
      </w:r>
    </w:p>
    <w:p>
      <w:pPr>
        <w:spacing w:after="120"/>
      </w:pPr>
      <w:r>
        <w:rPr>
          <w:b w:val="false"/>
          <w:bCs w:val="false"/>
        </w:rPr>
        <w:t xml:space="preserve">The following open points / missing aspects are identified:</w:t>
      </w:r>
    </w:p>
    <w:p>
      <w:pPr>
        <w:pStyle w:val="ListParagraph"/>
        <w:numPr>
          <w:ilvl w:val="0"/>
          <w:numId w:val="1"/>
        </w:numPr>
        <w:spacing w:after="40"/>
      </w:pPr>
      <w:r>
        <w:rPr>
          <w:b w:val="false"/>
          <w:bCs w:val="false"/>
        </w:rPr>
        <w:t xml:space="preserve">Confirm the Notification Service deduplicates on the idempotency key (A04) — </w:t>
      </w:r>
      <w:r>
        <w:rPr>
          <w:b/>
          <w:bCs/>
        </w:rPr>
        <w:t xml:space="preserve">required for the no-duplicates commitment.</w:t>
      </w:r>
    </w:p>
    <w:p>
      <w:pPr>
        <w:pStyle w:val="ListParagraph"/>
        <w:numPr>
          <w:ilvl w:val="0"/>
          <w:numId w:val="1"/>
        </w:numPr>
        <w:spacing w:after="40"/>
      </w:pPr>
      <w:r>
        <w:rPr>
          <w:b w:val="false"/>
          <w:bCs w:val="false"/>
        </w:rPr>
        <w:t xml:space="preserve">Confirm SOS cross-channel order visibility and the Assistive API (A05) — </w:t>
      </w:r>
      <w:r>
        <w:rPr>
          <w:b/>
          <w:bCs/>
        </w:rPr>
        <w:t xml:space="preserve">gates the four order events; they may move to a later phase if unresolved.</w:t>
      </w:r>
    </w:p>
    <w:p>
      <w:pPr>
        <w:pStyle w:val="ListParagraph"/>
        <w:numPr>
          <w:ilvl w:val="0"/>
          <w:numId w:val="1"/>
        </w:numPr>
        <w:spacing w:after="40"/>
      </w:pPr>
      <w:r>
        <w:rPr>
          <w:b w:val="false"/>
          <w:bCs w:val="false"/>
        </w:rPr>
        <w:t xml:space="preserve">Confirm the max retry count and backoff schedule before a row is dead-lettered — handled in the EVENT table, since there is no queue.</w:t>
      </w:r>
    </w:p>
    <w:p>
      <w:pPr>
        <w:pStyle w:val="ListParagraph"/>
        <w:numPr>
          <w:ilvl w:val="0"/>
          <w:numId w:val="1"/>
        </w:numPr>
        <w:spacing w:after="40"/>
      </w:pPr>
      <w:r>
        <w:rPr>
          <w:b w:val="false"/>
          <w:bCs w:val="false"/>
        </w:rPr>
        <w:t xml:space="preserve">Decide the scheduled run time for the invoice due/overdue reminders.</w:t>
      </w:r>
    </w:p>
    <w:p>
      <w:pPr>
        <w:pStyle w:val="ListParagraph"/>
        <w:numPr>
          <w:ilvl w:val="0"/>
          <w:numId w:val="1"/>
        </w:numPr>
        <w:spacing w:after="40"/>
      </w:pPr>
      <w:r>
        <w:rPr>
          <w:b w:val="false"/>
          <w:bCs w:val="false"/>
        </w:rPr>
        <w:t xml:space="preserve">Confirm tier assignment against real data cadence — account-status and balance events are ETL-bound and cannot be 60-second.</w:t>
      </w:r>
    </w:p>
    <w:p>
      <w:pPr>
        <w:pStyle w:val="ListParagraph"/>
        <w:numPr>
          <w:ilvl w:val="0"/>
          <w:numId w:val="1"/>
        </w:numPr>
        <w:spacing w:after="40"/>
      </w:pPr>
      <w:r>
        <w:rPr>
          <w:b w:val="false"/>
          <w:bCs w:val="false"/>
        </w:rPr>
        <w:t xml:space="preserve">Encryption / PII handling of the payload at rest and UK/EU residency sign-off.</w:t>
      </w:r>
    </w:p>
    <w:p>
      <w:pPr>
        <w:pStyle w:val="ListParagraph"/>
        <w:numPr>
          <w:ilvl w:val="0"/>
          <w:numId w:val="1"/>
        </w:numPr>
        <w:spacing w:after="40"/>
      </w:pPr>
      <w:r>
        <w:rPr>
          <w:b w:val="false"/>
          <w:bCs w:val="false"/>
        </w:rPr>
        <w:t xml:space="preserve">Whether an in-app notification inbox is in scope (adds an API endpoint and a persistence read).</w:t>
      </w:r>
    </w:p>
    <w:p>
      <w:pPr>
        <w:spacing w:after="120"/>
      </w:pPr>
      <w:r>
        <w:rPr>
          <w:b w:val="false"/>
          <w:bCs w:val="false"/>
        </w:rPr>
        <w:t xml:space="preserve">The following tasks are identified:</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950"/>
        <w:gridCol w:w="6450"/>
        <w:gridCol w:w="1600"/>
      </w:tblGrid>
      <w:tr>
        <w:trPr>
          <w:tblHeader/>
        </w:trPr>
        <w:tc>
          <w:tcPr>
            <w:tcW w:type="dxa" w:w="950"/>
            <w:shd w:fill="D9D9D9" w:color="auto" w:val="clear"/>
            <w:tcMar>
              <w:top w:type="dxa" w:w="40"/>
              <w:left w:type="dxa" w:w="90"/>
              <w:bottom w:type="dxa" w:w="40"/>
              <w:right w:type="dxa" w:w="90"/>
            </w:tcMar>
          </w:tcPr>
          <w:p>
            <w:r>
              <w:rPr>
                <w:b/>
                <w:bCs/>
              </w:rPr>
              <w:t xml:space="preserve">Task</w:t>
            </w:r>
          </w:p>
        </w:tc>
        <w:tc>
          <w:tcPr>
            <w:tcW w:type="dxa" w:w="6450"/>
            <w:shd w:fill="D9D9D9" w:color="auto" w:val="clear"/>
            <w:tcMar>
              <w:top w:type="dxa" w:w="40"/>
              <w:left w:type="dxa" w:w="90"/>
              <w:bottom w:type="dxa" w:w="40"/>
              <w:right w:type="dxa" w:w="90"/>
            </w:tcMar>
          </w:tcPr>
          <w:p>
            <w:r>
              <w:rPr>
                <w:b/>
                <w:bCs/>
              </w:rPr>
              <w:t xml:space="preserve">Description</w:t>
            </w:r>
          </w:p>
        </w:tc>
        <w:tc>
          <w:tcPr>
            <w:tcW w:type="dxa" w:w="1600"/>
            <w:shd w:fill="D9D9D9" w:color="auto" w:val="clear"/>
            <w:tcMar>
              <w:top w:type="dxa" w:w="40"/>
              <w:left w:type="dxa" w:w="90"/>
              <w:bottom w:type="dxa" w:w="40"/>
              <w:right w:type="dxa" w:w="90"/>
            </w:tcMar>
          </w:tcPr>
          <w:p>
            <w:r>
              <w:rPr>
                <w:b/>
                <w:bCs/>
              </w:rPr>
              <w:t xml:space="preserve">Owner</w:t>
            </w:r>
          </w:p>
        </w:tc>
      </w:tr>
      <w:tr>
        <w:tc>
          <w:tcPr>
            <w:tcW w:type="dxa" w:w="950"/>
            <w:tcMar>
              <w:top w:type="dxa" w:w="40"/>
              <w:left w:type="dxa" w:w="90"/>
              <w:bottom w:type="dxa" w:w="40"/>
              <w:right w:type="dxa" w:w="90"/>
            </w:tcMar>
          </w:tcPr>
          <w:p>
            <w:r>
              <w:rPr>
                <w:b w:val="false"/>
                <w:bCs w:val="false"/>
              </w:rPr>
              <w:t xml:space="preserve">T-01</w:t>
            </w:r>
          </w:p>
        </w:tc>
        <w:tc>
          <w:tcPr>
            <w:tcW w:type="dxa" w:w="6450"/>
            <w:tcMar>
              <w:top w:type="dxa" w:w="40"/>
              <w:left w:type="dxa" w:w="90"/>
              <w:bottom w:type="dxa" w:w="40"/>
              <w:right w:type="dxa" w:w="90"/>
            </w:tcMar>
          </w:tcPr>
          <w:p>
            <w:r>
              <w:rPr>
                <w:b w:val="false"/>
                <w:bCs w:val="false"/>
              </w:rPr>
              <w:t xml:space="preserve">Create the three tables (live, Audit, Dead-letter), indexes and move-on-completion logic in each service DB.</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T-02</w:t>
            </w:r>
          </w:p>
        </w:tc>
        <w:tc>
          <w:tcPr>
            <w:tcW w:type="dxa" w:w="6450"/>
            <w:tcMar>
              <w:top w:type="dxa" w:w="40"/>
              <w:left w:type="dxa" w:w="90"/>
              <w:bottom w:type="dxa" w:w="40"/>
              <w:right w:type="dxa" w:w="90"/>
            </w:tcMar>
          </w:tcPr>
          <w:p>
            <w:r>
              <w:rPr>
                <w:b w:val="false"/>
                <w:bCs w:val="false"/>
              </w:rPr>
              <w:t xml:space="preserve">Create usp_RaiseNotificationEvent and the per-domain detection SPs (usp_RaiseOrderEvents, usp_RaiseAccountEvents).</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T-03</w:t>
            </w:r>
          </w:p>
        </w:tc>
        <w:tc>
          <w:tcPr>
            <w:tcW w:type="dxa" w:w="6450"/>
            <w:tcMar>
              <w:top w:type="dxa" w:w="40"/>
              <w:left w:type="dxa" w:w="90"/>
              <w:bottom w:type="dxa" w:w="40"/>
              <w:right w:type="dxa" w:w="90"/>
            </w:tcMar>
          </w:tcPr>
          <w:p>
            <w:r>
              <w:rPr>
                <w:b w:val="false"/>
                <w:bCs w:val="false"/>
              </w:rPr>
              <w:t xml:space="preserve">Create the field-watching triggers (credit limit, credit status, strategic balance).</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T-04</w:t>
            </w:r>
          </w:p>
        </w:tc>
        <w:tc>
          <w:tcPr>
            <w:tcW w:type="dxa" w:w="6450"/>
            <w:tcMar>
              <w:top w:type="dxa" w:w="40"/>
              <w:left w:type="dxa" w:w="90"/>
              <w:bottom w:type="dxa" w:w="40"/>
              <w:right w:type="dxa" w:w="90"/>
            </w:tcMar>
          </w:tcPr>
          <w:p>
            <w:r>
              <w:rPr>
                <w:b w:val="false"/>
                <w:bCs w:val="false"/>
              </w:rPr>
              <w:t xml:space="preserve">Coordinate with the data-lake / ETL team to call the detection SPs after each domain load.</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T-05</w:t>
            </w:r>
          </w:p>
        </w:tc>
        <w:tc>
          <w:tcPr>
            <w:tcW w:type="dxa" w:w="6450"/>
            <w:tcMar>
              <w:top w:type="dxa" w:w="40"/>
              <w:left w:type="dxa" w:w="90"/>
              <w:bottom w:type="dxa" w:w="40"/>
              <w:right w:type="dxa" w:w="90"/>
            </w:tcMar>
          </w:tcPr>
          <w:p>
            <w:r>
              <w:rPr>
                <w:b w:val="false"/>
                <w:bCs w:val="false"/>
              </w:rPr>
              <w:t xml:space="preserve">Implement per-event-type change detection and payload shaping (approx. 17 buildable events).</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T-06</w:t>
            </w:r>
          </w:p>
        </w:tc>
        <w:tc>
          <w:tcPr>
            <w:tcW w:type="dxa" w:w="6450"/>
            <w:tcMar>
              <w:top w:type="dxa" w:w="40"/>
              <w:left w:type="dxa" w:w="90"/>
              <w:bottom w:type="dxa" w:w="40"/>
              <w:right w:type="dxa" w:w="90"/>
            </w:tcMar>
          </w:tcPr>
          <w:p>
            <w:r>
              <w:rPr>
                <w:b w:val="false"/>
                <w:bCs w:val="false"/>
              </w:rPr>
              <w:t xml:space="preserve">Build the dispatcher Azure Function: claim query, envelope, forward.</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T-07</w:t>
            </w:r>
          </w:p>
        </w:tc>
        <w:tc>
          <w:tcPr>
            <w:tcW w:type="dxa" w:w="6450"/>
            <w:tcMar>
              <w:top w:type="dxa" w:w="40"/>
              <w:left w:type="dxa" w:w="90"/>
              <w:bottom w:type="dxa" w:w="40"/>
              <w:right w:type="dxa" w:w="90"/>
            </w:tcMar>
          </w:tcPr>
          <w:p>
            <w:r>
              <w:rPr>
                <w:b w:val="false"/>
                <w:bCs w:val="false"/>
              </w:rPr>
              <w:t xml:space="preserve">Implement retry/backoff, dead-letter and replay.</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T-08</w:t>
            </w:r>
          </w:p>
        </w:tc>
        <w:tc>
          <w:tcPr>
            <w:tcW w:type="dxa" w:w="6450"/>
            <w:tcMar>
              <w:top w:type="dxa" w:w="40"/>
              <w:left w:type="dxa" w:w="90"/>
              <w:bottom w:type="dxa" w:w="40"/>
              <w:right w:type="dxa" w:w="90"/>
            </w:tcMar>
          </w:tcPr>
          <w:p>
            <w:r>
              <w:rPr>
                <w:b w:val="false"/>
                <w:bCs w:val="false"/>
              </w:rPr>
              <w:t xml:space="preserve">Implement the circuit breaker and the fast/standard timer split.</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T-09</w:t>
            </w:r>
          </w:p>
        </w:tc>
        <w:tc>
          <w:tcPr>
            <w:tcW w:type="dxa" w:w="6450"/>
            <w:tcMar>
              <w:top w:type="dxa" w:w="40"/>
              <w:left w:type="dxa" w:w="90"/>
              <w:bottom w:type="dxa" w:w="40"/>
              <w:right w:type="dxa" w:w="90"/>
            </w:tcMar>
          </w:tcPr>
          <w:p>
            <w:r>
              <w:rPr>
                <w:b w:val="false"/>
                <w:bCs w:val="false"/>
              </w:rPr>
              <w:t xml:space="preserve">Define the boundary contract with the Notification Service (HTTPS endpoint, envelope, idempotency header).</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T-10</w:t>
            </w:r>
          </w:p>
        </w:tc>
        <w:tc>
          <w:tcPr>
            <w:tcW w:type="dxa" w:w="6450"/>
            <w:tcMar>
              <w:top w:type="dxa" w:w="40"/>
              <w:left w:type="dxa" w:w="90"/>
              <w:bottom w:type="dxa" w:w="40"/>
              <w:right w:type="dxa" w:w="90"/>
            </w:tcMar>
          </w:tcPr>
          <w:p>
            <w:r>
              <w:rPr>
                <w:b w:val="false"/>
                <w:bCs w:val="false"/>
              </w:rPr>
              <w:t xml:space="preserve">Observability: metrics, dashboards and alerts (lag, dead-letter count, breaker).</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T-11</w:t>
            </w:r>
          </w:p>
        </w:tc>
        <w:tc>
          <w:tcPr>
            <w:tcW w:type="dxa" w:w="6450"/>
            <w:tcMar>
              <w:top w:type="dxa" w:w="40"/>
              <w:left w:type="dxa" w:w="90"/>
              <w:bottom w:type="dxa" w:w="40"/>
              <w:right w:type="dxa" w:w="90"/>
            </w:tcMar>
          </w:tcPr>
          <w:p>
            <w:r>
              <w:rPr>
                <w:b w:val="false"/>
                <w:bCs w:val="false"/>
              </w:rPr>
              <w:t xml:space="preserve">Infrastructure: Premium plan, VNet, Private Endpoints, Managed Identity, UK South.</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T-12</w:t>
            </w:r>
          </w:p>
        </w:tc>
        <w:tc>
          <w:tcPr>
            <w:tcW w:type="dxa" w:w="6450"/>
            <w:tcMar>
              <w:top w:type="dxa" w:w="40"/>
              <w:left w:type="dxa" w:w="90"/>
              <w:bottom w:type="dxa" w:w="40"/>
              <w:right w:type="dxa" w:w="90"/>
            </w:tcMar>
          </w:tcPr>
          <w:p>
            <w:r>
              <w:rPr>
                <w:b w:val="false"/>
                <w:bCs w:val="false"/>
              </w:rPr>
              <w:t xml:space="preserve">Build the Notification Service stub / surrogate for testing.</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T-13</w:t>
            </w:r>
          </w:p>
        </w:tc>
        <w:tc>
          <w:tcPr>
            <w:tcW w:type="dxa" w:w="6450"/>
            <w:tcMar>
              <w:top w:type="dxa" w:w="40"/>
              <w:left w:type="dxa" w:w="90"/>
              <w:bottom w:type="dxa" w:w="40"/>
              <w:right w:type="dxa" w:w="90"/>
            </w:tcMar>
          </w:tcPr>
          <w:p>
            <w:r>
              <w:rPr>
                <w:b w:val="false"/>
                <w:bCs w:val="false"/>
              </w:rPr>
              <w:t xml:space="preserve">CI/CD pipeline for the Function and the stub.</w:t>
            </w:r>
          </w:p>
        </w:tc>
        <w:tc>
          <w:tcPr>
            <w:tcW w:type="dxa" w:w="1600"/>
            <w:tcMar>
              <w:top w:type="dxa" w:w="40"/>
              <w:left w:type="dxa" w:w="90"/>
              <w:bottom w:type="dxa" w:w="40"/>
              <w:right w:type="dxa" w:w="90"/>
            </w:tcMar>
          </w:tcPr>
          <w:p>
            <w:r>
              <w:rPr>
                <w:b w:val="false"/>
                <w:bCs w:val="false"/>
              </w:rPr>
              <w:t xml:space="preserve">Developers</w:t>
            </w:r>
          </w:p>
        </w:tc>
      </w:tr>
      <w:tr>
        <w:tc>
          <w:tcPr>
            <w:tcW w:type="dxa" w:w="950"/>
            <w:tcMar>
              <w:top w:type="dxa" w:w="40"/>
              <w:left w:type="dxa" w:w="90"/>
              <w:bottom w:type="dxa" w:w="40"/>
              <w:right w:type="dxa" w:w="90"/>
            </w:tcMar>
          </w:tcPr>
          <w:p>
            <w:r>
              <w:rPr>
                <w:b w:val="false"/>
                <w:bCs w:val="false"/>
              </w:rPr>
              <w:t xml:space="preserve">T-14</w:t>
            </w:r>
          </w:p>
        </w:tc>
        <w:tc>
          <w:tcPr>
            <w:tcW w:type="dxa" w:w="6450"/>
            <w:tcMar>
              <w:top w:type="dxa" w:w="40"/>
              <w:left w:type="dxa" w:w="90"/>
              <w:bottom w:type="dxa" w:w="40"/>
              <w:right w:type="dxa" w:w="90"/>
            </w:tcMar>
          </w:tcPr>
          <w:p>
            <w:r>
              <w:rPr>
                <w:b w:val="false"/>
                <w:bCs w:val="false"/>
              </w:rPr>
              <w:t xml:space="preserve">Create test cases from the scenarios (dedup, idempotent resend, retry, permanent failure, outage, dead-letter replay, concurrency).</w:t>
            </w:r>
          </w:p>
        </w:tc>
        <w:tc>
          <w:tcPr>
            <w:tcW w:type="dxa" w:w="1600"/>
            <w:tcMar>
              <w:top w:type="dxa" w:w="40"/>
              <w:left w:type="dxa" w:w="90"/>
              <w:bottom w:type="dxa" w:w="40"/>
              <w:right w:type="dxa" w:w="90"/>
            </w:tcMar>
          </w:tcPr>
          <w:p>
            <w:r>
              <w:rPr>
                <w:b w:val="false"/>
                <w:bCs w:val="false"/>
              </w:rPr>
              <w:t xml:space="preserve">QA Engineers</w:t>
            </w:r>
          </w:p>
        </w:tc>
      </w:tr>
      <w:tr>
        <w:tc>
          <w:tcPr>
            <w:tcW w:type="dxa" w:w="950"/>
            <w:tcMar>
              <w:top w:type="dxa" w:w="40"/>
              <w:left w:type="dxa" w:w="90"/>
              <w:bottom w:type="dxa" w:w="40"/>
              <w:right w:type="dxa" w:w="90"/>
            </w:tcMar>
          </w:tcPr>
          <w:p>
            <w:r>
              <w:rPr>
                <w:b w:val="false"/>
                <w:bCs w:val="false"/>
              </w:rPr>
              <w:t xml:space="preserve">T-15</w:t>
            </w:r>
          </w:p>
        </w:tc>
        <w:tc>
          <w:tcPr>
            <w:tcW w:type="dxa" w:w="6450"/>
            <w:tcMar>
              <w:top w:type="dxa" w:w="40"/>
              <w:left w:type="dxa" w:w="90"/>
              <w:bottom w:type="dxa" w:w="40"/>
              <w:right w:type="dxa" w:w="90"/>
            </w:tcMar>
          </w:tcPr>
          <w:p>
            <w:r>
              <w:rPr>
                <w:b w:val="false"/>
                <w:bCs w:val="false"/>
              </w:rPr>
              <w:t xml:space="preserve">Execute test cases.</w:t>
            </w:r>
          </w:p>
        </w:tc>
        <w:tc>
          <w:tcPr>
            <w:tcW w:type="dxa" w:w="1600"/>
            <w:tcMar>
              <w:top w:type="dxa" w:w="40"/>
              <w:left w:type="dxa" w:w="90"/>
              <w:bottom w:type="dxa" w:w="40"/>
              <w:right w:type="dxa" w:w="90"/>
            </w:tcMar>
          </w:tcPr>
          <w:p>
            <w:r>
              <w:rPr>
                <w:b w:val="false"/>
                <w:bCs w:val="false"/>
              </w:rPr>
              <w:t xml:space="preserve">QA Engineers</w:t>
            </w:r>
          </w:p>
        </w:tc>
      </w:tr>
      <w:tr>
        <w:tc>
          <w:tcPr>
            <w:tcW w:type="dxa" w:w="950"/>
            <w:tcMar>
              <w:top w:type="dxa" w:w="40"/>
              <w:left w:type="dxa" w:w="90"/>
              <w:bottom w:type="dxa" w:w="40"/>
              <w:right w:type="dxa" w:w="90"/>
            </w:tcMar>
          </w:tcPr>
          <w:p>
            <w:r>
              <w:rPr>
                <w:b w:val="false"/>
                <w:bCs w:val="false"/>
              </w:rPr>
              <w:t xml:space="preserve">T-16</w:t>
            </w:r>
          </w:p>
        </w:tc>
        <w:tc>
          <w:tcPr>
            <w:tcW w:type="dxa" w:w="6450"/>
            <w:tcMar>
              <w:top w:type="dxa" w:w="40"/>
              <w:left w:type="dxa" w:w="90"/>
              <w:bottom w:type="dxa" w:w="40"/>
              <w:right w:type="dxa" w:w="90"/>
            </w:tcMar>
          </w:tcPr>
          <w:p>
            <w:r>
              <w:rPr>
                <w:b w:val="false"/>
                <w:bCs w:val="false"/>
              </w:rPr>
              <w:t xml:space="preserve">Execute performance / load tests at ETL volume (trigger and claim under contention; dispatch latency).</w:t>
            </w:r>
          </w:p>
        </w:tc>
        <w:tc>
          <w:tcPr>
            <w:tcW w:type="dxa" w:w="1600"/>
            <w:tcMar>
              <w:top w:type="dxa" w:w="40"/>
              <w:left w:type="dxa" w:w="90"/>
              <w:bottom w:type="dxa" w:w="40"/>
              <w:right w:type="dxa" w:w="90"/>
            </w:tcMar>
          </w:tcPr>
          <w:p>
            <w:r>
              <w:rPr>
                <w:b w:val="false"/>
                <w:bCs w:val="false"/>
              </w:rPr>
              <w:t xml:space="preserve">PA Engineers</w:t>
            </w:r>
          </w:p>
        </w:tc>
      </w:tr>
    </w:tbl>
    <w:p>
      <w:pPr>
        <w:spacing w:after="60"/>
      </w:pPr>
      <w:r>
        <w:t xml:space="preserve"/>
      </w:r>
    </w:p>
    <w:p>
      <w:pPr>
        <w:spacing w:after="120"/>
      </w:pPr>
      <w:r>
        <w:rPr>
          <w:b/>
          <w:bCs/>
        </w:rPr>
        <w:t xml:space="preserve">Scope of the estimate: </w:t>
      </w:r>
      <w:r>
        <w:rPr>
          <w:b w:val="false"/>
          <w:bCs w:val="false"/>
        </w:rPr>
        <w:t xml:space="preserve">the first service carries the full build — the one-time shared framework plus that service’s event population. Every service after that is a copy-paste of the same machine (the three tables and the dispatcher Function come straight from the templates and library); the only real per-service work is populating the EVENT table for that domain’s events, which scales with how many notifications the domain has.</w:t>
      </w:r>
    </w:p>
    <w:p>
      <w:pPr>
        <w:pStyle w:val="Heading2"/>
        <w:spacing w:after="80" w:before="200"/>
      </w:pPr>
      <w:r>
        <w:t xml:space="preserve">Shared (one-time)</w:t>
      </w:r>
    </w:p>
    <w:p>
      <w:pPr>
        <w:spacing w:after="120"/>
      </w:pPr>
      <w:r>
        <w:rPr>
          <w:b w:val="false"/>
          <w:bCs w:val="false"/>
        </w:rPr>
        <w:t xml:space="preserve">Built once and reused by every service domain:</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4200"/>
        <w:gridCol w:w="1600"/>
        <w:gridCol w:w="1600"/>
        <w:gridCol w:w="1600"/>
      </w:tblGrid>
      <w:tr>
        <w:trPr>
          <w:tblHeader/>
        </w:trPr>
        <w:tc>
          <w:tcPr>
            <w:tcW w:type="dxa" w:w="4200"/>
            <w:shd w:fill="D9D9D9" w:color="auto" w:val="clear"/>
            <w:tcMar>
              <w:top w:type="dxa" w:w="40"/>
              <w:left w:type="dxa" w:w="90"/>
              <w:bottom w:type="dxa" w:w="40"/>
              <w:right w:type="dxa" w:w="90"/>
            </w:tcMar>
          </w:tcPr>
          <w:p>
            <w:r>
              <w:rPr>
                <w:b/>
                <w:bCs/>
              </w:rPr>
              <w:t xml:space="preserve">Activity</w:t>
            </w:r>
          </w:p>
        </w:tc>
        <w:tc>
          <w:tcPr>
            <w:tcW w:type="dxa" w:w="1600"/>
            <w:shd w:fill="D9D9D9" w:color="auto" w:val="clear"/>
            <w:tcMar>
              <w:top w:type="dxa" w:w="40"/>
              <w:left w:type="dxa" w:w="90"/>
              <w:bottom w:type="dxa" w:w="40"/>
              <w:right w:type="dxa" w:w="90"/>
            </w:tcMar>
          </w:tcPr>
          <w:p>
            <w:r>
              <w:rPr>
                <w:b/>
                <w:bCs/>
              </w:rPr>
              <w:t xml:space="preserve">Dev (days)</w:t>
            </w:r>
          </w:p>
        </w:tc>
        <w:tc>
          <w:tcPr>
            <w:tcW w:type="dxa" w:w="1600"/>
            <w:shd w:fill="D9D9D9" w:color="auto" w:val="clear"/>
            <w:tcMar>
              <w:top w:type="dxa" w:w="40"/>
              <w:left w:type="dxa" w:w="90"/>
              <w:bottom w:type="dxa" w:w="40"/>
              <w:right w:type="dxa" w:w="90"/>
            </w:tcMar>
          </w:tcPr>
          <w:p>
            <w:r>
              <w:rPr>
                <w:b/>
                <w:bCs/>
              </w:rPr>
              <w:t xml:space="preserve">QA (days)</w:t>
            </w:r>
          </w:p>
        </w:tc>
        <w:tc>
          <w:tcPr>
            <w:tcW w:type="dxa" w:w="1600"/>
            <w:shd w:fill="D9D9D9" w:color="auto" w:val="clear"/>
            <w:tcMar>
              <w:top w:type="dxa" w:w="40"/>
              <w:left w:type="dxa" w:w="90"/>
              <w:bottom w:type="dxa" w:w="40"/>
              <w:right w:type="dxa" w:w="90"/>
            </w:tcMar>
          </w:tcPr>
          <w:p>
            <w:r>
              <w:rPr>
                <w:b/>
                <w:bCs/>
              </w:rPr>
              <w:t xml:space="preserve">PA (days)</w:t>
            </w:r>
          </w:p>
        </w:tc>
      </w:tr>
      <w:tr>
        <w:tc>
          <w:tcPr>
            <w:tcW w:type="dxa" w:w="4200"/>
            <w:tcMar>
              <w:top w:type="dxa" w:w="40"/>
              <w:left w:type="dxa" w:w="90"/>
              <w:bottom w:type="dxa" w:w="40"/>
              <w:right w:type="dxa" w:w="90"/>
            </w:tcMar>
          </w:tcPr>
          <w:p>
            <w:r>
              <w:rPr>
                <w:b w:val="false"/>
                <w:bCs w:val="false"/>
              </w:rPr>
              <w:t xml:space="preserve">Shared dispatcher-Function library (claim, forward, settle, retry / dead-letter / replay, circuit breaker, timers)</w:t>
            </w:r>
          </w:p>
        </w:tc>
        <w:tc>
          <w:tcPr>
            <w:tcW w:type="dxa" w:w="1600"/>
            <w:tcMar>
              <w:top w:type="dxa" w:w="40"/>
              <w:left w:type="dxa" w:w="90"/>
              <w:bottom w:type="dxa" w:w="40"/>
              <w:right w:type="dxa" w:w="90"/>
            </w:tcMar>
          </w:tcPr>
          <w:p>
            <w:r>
              <w:rPr>
                <w:b w:val="false"/>
                <w:bCs w:val="false"/>
              </w:rPr>
              <w:t xml:space="preserve">6</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Boundary contract + envelope (HTTPS)</w:t>
            </w:r>
          </w:p>
        </w:tc>
        <w:tc>
          <w:tcPr>
            <w:tcW w:type="dxa" w:w="1600"/>
            <w:tcMar>
              <w:top w:type="dxa" w:w="40"/>
              <w:left w:type="dxa" w:w="90"/>
              <w:bottom w:type="dxa" w:w="40"/>
              <w:right w:type="dxa" w:w="90"/>
            </w:tcMar>
          </w:tcPr>
          <w:p>
            <w:r>
              <w:rPr>
                <w:b w:val="false"/>
                <w:bCs w:val="false"/>
              </w:rPr>
              <w:t xml:space="preserve">2</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Object + CI/CD templates (3 tables, SPs, pipeline)</w:t>
            </w:r>
          </w:p>
        </w:tc>
        <w:tc>
          <w:tcPr>
            <w:tcW w:type="dxa" w:w="1600"/>
            <w:tcMar>
              <w:top w:type="dxa" w:w="40"/>
              <w:left w:type="dxa" w:w="90"/>
              <w:bottom w:type="dxa" w:w="40"/>
              <w:right w:type="dxa" w:w="90"/>
            </w:tcMar>
          </w:tcPr>
          <w:p>
            <w:r>
              <w:rPr>
                <w:b w:val="false"/>
                <w:bCs w:val="false"/>
              </w:rPr>
              <w:t xml:space="preserve">2</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Infrastructure pattern (plan, VNet, Private Endpoints, Managed Identity)</w:t>
            </w:r>
          </w:p>
        </w:tc>
        <w:tc>
          <w:tcPr>
            <w:tcW w:type="dxa" w:w="1600"/>
            <w:tcMar>
              <w:top w:type="dxa" w:w="40"/>
              <w:left w:type="dxa" w:w="90"/>
              <w:bottom w:type="dxa" w:w="40"/>
              <w:right w:type="dxa" w:w="90"/>
            </w:tcMar>
          </w:tcPr>
          <w:p>
            <w:r>
              <w:rPr>
                <w:b w:val="false"/>
                <w:bCs w:val="false"/>
              </w:rPr>
              <w:t xml:space="preserve">2</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Observability dashboards + alert templates</w:t>
            </w:r>
          </w:p>
        </w:tc>
        <w:tc>
          <w:tcPr>
            <w:tcW w:type="dxa" w:w="1600"/>
            <w:tcMar>
              <w:top w:type="dxa" w:w="40"/>
              <w:left w:type="dxa" w:w="90"/>
              <w:bottom w:type="dxa" w:w="40"/>
              <w:right w:type="dxa" w:w="90"/>
            </w:tcMar>
          </w:tcPr>
          <w:p>
            <w:r>
              <w:rPr>
                <w:b w:val="false"/>
                <w:bCs w:val="false"/>
              </w:rPr>
              <w:t xml:space="preserve">2</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Notification Service stub / surrogate</w:t>
            </w:r>
          </w:p>
        </w:tc>
        <w:tc>
          <w:tcPr>
            <w:tcW w:type="dxa" w:w="1600"/>
            <w:tcMar>
              <w:top w:type="dxa" w:w="40"/>
              <w:left w:type="dxa" w:w="90"/>
              <w:bottom w:type="dxa" w:w="40"/>
              <w:right w:type="dxa" w:w="90"/>
            </w:tcMar>
          </w:tcPr>
          <w:p>
            <w:r>
              <w:rPr>
                <w:b w:val="false"/>
                <w:bCs w:val="false"/>
              </w:rPr>
              <w:t xml:space="preserve">2</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Reusable scenario test pack</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4</w:t>
            </w:r>
          </w:p>
        </w:tc>
        <w:tc>
          <w:tcPr>
            <w:tcW w:type="dxa" w:w="1600"/>
            <w:tcMar>
              <w:top w:type="dxa" w:w="40"/>
              <w:left w:type="dxa" w:w="90"/>
              <w:bottom w:type="dxa" w:w="40"/>
              <w:right w:type="dxa" w:w="90"/>
            </w:tcMar>
          </w:tcPr>
          <w:p>
            <w:r>
              <w:rPr>
                <w:b w:val="false"/>
                <w:bCs w:val="false"/>
              </w:rPr>
              <w:t xml:space="preserve"/>
            </w:r>
          </w:p>
        </w:tc>
      </w:tr>
      <w:tr>
        <w:tc>
          <w:tcPr>
            <w:tcW w:type="dxa" w:w="4200"/>
            <w:tcMar>
              <w:top w:type="dxa" w:w="40"/>
              <w:left w:type="dxa" w:w="90"/>
              <w:bottom w:type="dxa" w:w="40"/>
              <w:right w:type="dxa" w:w="90"/>
            </w:tcMar>
          </w:tcPr>
          <w:p>
            <w:r>
              <w:rPr>
                <w:b w:val="false"/>
                <w:bCs w:val="false"/>
              </w:rPr>
              <w:t xml:space="preserve">Load-test harness + prove the pattern</w:t>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
            </w:r>
          </w:p>
        </w:tc>
        <w:tc>
          <w:tcPr>
            <w:tcW w:type="dxa" w:w="1600"/>
            <w:tcMar>
              <w:top w:type="dxa" w:w="40"/>
              <w:left w:type="dxa" w:w="90"/>
              <w:bottom w:type="dxa" w:w="40"/>
              <w:right w:type="dxa" w:w="90"/>
            </w:tcMar>
          </w:tcPr>
          <w:p>
            <w:r>
              <w:rPr>
                <w:b w:val="false"/>
                <w:bCs w:val="false"/>
              </w:rPr>
              <w:t xml:space="preserve">2</w:t>
            </w:r>
          </w:p>
        </w:tc>
      </w:tr>
      <w:tr>
        <w:tc>
          <w:tcPr>
            <w:tcW w:type="dxa" w:w="4200"/>
            <w:tcMar>
              <w:top w:type="dxa" w:w="40"/>
              <w:left w:type="dxa" w:w="90"/>
              <w:bottom w:type="dxa" w:w="40"/>
              <w:right w:type="dxa" w:w="90"/>
            </w:tcMar>
          </w:tcPr>
          <w:p>
            <w:r>
              <w:rPr>
                <w:b/>
                <w:bCs/>
              </w:rPr>
              <w:t xml:space="preserve">Subtotal — shared</w:t>
            </w:r>
          </w:p>
        </w:tc>
        <w:tc>
          <w:tcPr>
            <w:tcW w:type="dxa" w:w="1600"/>
            <w:tcMar>
              <w:top w:type="dxa" w:w="40"/>
              <w:left w:type="dxa" w:w="90"/>
              <w:bottom w:type="dxa" w:w="40"/>
              <w:right w:type="dxa" w:w="90"/>
            </w:tcMar>
          </w:tcPr>
          <w:p>
            <w:r>
              <w:rPr>
                <w:b/>
                <w:bCs/>
              </w:rPr>
              <w:t xml:space="preserve">16</w:t>
            </w:r>
          </w:p>
        </w:tc>
        <w:tc>
          <w:tcPr>
            <w:tcW w:type="dxa" w:w="1600"/>
            <w:tcMar>
              <w:top w:type="dxa" w:w="40"/>
              <w:left w:type="dxa" w:w="90"/>
              <w:bottom w:type="dxa" w:w="40"/>
              <w:right w:type="dxa" w:w="90"/>
            </w:tcMar>
          </w:tcPr>
          <w:p>
            <w:r>
              <w:rPr>
                <w:b/>
                <w:bCs/>
              </w:rPr>
              <w:t xml:space="preserve">4</w:t>
            </w:r>
          </w:p>
        </w:tc>
        <w:tc>
          <w:tcPr>
            <w:tcW w:type="dxa" w:w="1600"/>
            <w:tcMar>
              <w:top w:type="dxa" w:w="40"/>
              <w:left w:type="dxa" w:w="90"/>
              <w:bottom w:type="dxa" w:w="40"/>
              <w:right w:type="dxa" w:w="90"/>
            </w:tcMar>
          </w:tcPr>
          <w:p>
            <w:r>
              <w:rPr>
                <w:b/>
                <w:bCs/>
              </w:rPr>
              <w:t xml:space="preserve">2</w:t>
            </w:r>
          </w:p>
        </w:tc>
      </w:tr>
    </w:tbl>
    <w:p>
      <w:pPr>
        <w:spacing w:after="60"/>
      </w:pPr>
      <w:r>
        <w:t xml:space="preserve"/>
      </w:r>
    </w:p>
    <w:p>
      <w:pPr>
        <w:pStyle w:val="Heading2"/>
        <w:spacing w:after="80" w:before="200"/>
      </w:pPr>
      <w:r>
        <w:t xml:space="preserve">Per service</w:t>
      </w:r>
    </w:p>
    <w:p>
      <w:pPr>
        <w:spacing w:after="120"/>
      </w:pPr>
      <w:r>
        <w:rPr>
          <w:b w:val="false"/>
          <w:bCs w:val="false"/>
        </w:rPr>
        <w:t xml:space="preserve">The shared framework is paid once (with the first service). After that, each service is a copy-paste stamp-out — deploy the three tables from the template, instantiate the dispatcher Function from the library, wire its pipeline and smoke-test — plus the event-population work (detection SPs / triggers, DedupeKey, payload and tests) for that domain’s events. Event population is the dominant cost and scales with the domain’s event count.</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1650"/>
        <w:gridCol w:w="1150"/>
        <w:gridCol w:w="2150"/>
        <w:gridCol w:w="2150"/>
        <w:gridCol w:w="950"/>
        <w:gridCol w:w="950"/>
      </w:tblGrid>
      <w:tr>
        <w:trPr>
          <w:tblHeader/>
        </w:trPr>
        <w:tc>
          <w:tcPr>
            <w:tcW w:type="dxa" w:w="1650"/>
            <w:shd w:fill="D9D9D9" w:color="auto" w:val="clear"/>
            <w:tcMar>
              <w:top w:type="dxa" w:w="40"/>
              <w:left w:type="dxa" w:w="90"/>
              <w:bottom w:type="dxa" w:w="40"/>
              <w:right w:type="dxa" w:w="90"/>
            </w:tcMar>
          </w:tcPr>
          <w:p>
            <w:r>
              <w:rPr>
                <w:b/>
                <w:bCs/>
              </w:rPr>
              <w:t xml:space="preserve">Service</w:t>
            </w:r>
          </w:p>
        </w:tc>
        <w:tc>
          <w:tcPr>
            <w:tcW w:type="dxa" w:w="1150"/>
            <w:shd w:fill="D9D9D9" w:color="auto" w:val="clear"/>
            <w:tcMar>
              <w:top w:type="dxa" w:w="40"/>
              <w:left w:type="dxa" w:w="90"/>
              <w:bottom w:type="dxa" w:w="40"/>
              <w:right w:type="dxa" w:w="90"/>
            </w:tcMar>
          </w:tcPr>
          <w:p>
            <w:r>
              <w:rPr>
                <w:b/>
                <w:bCs/>
              </w:rPr>
              <w:t xml:space="preserve">Events (~)</w:t>
            </w:r>
          </w:p>
        </w:tc>
        <w:tc>
          <w:tcPr>
            <w:tcW w:type="dxa" w:w="2150"/>
            <w:shd w:fill="D9D9D9" w:color="auto" w:val="clear"/>
            <w:tcMar>
              <w:top w:type="dxa" w:w="40"/>
              <w:left w:type="dxa" w:w="90"/>
              <w:bottom w:type="dxa" w:w="40"/>
              <w:right w:type="dxa" w:w="90"/>
            </w:tcMar>
          </w:tcPr>
          <w:p>
            <w:r>
              <w:rPr>
                <w:b/>
                <w:bCs/>
              </w:rPr>
              <w:t xml:space="preserve">Copy-paste stamp-out (Dev)</w:t>
            </w:r>
          </w:p>
        </w:tc>
        <w:tc>
          <w:tcPr>
            <w:tcW w:type="dxa" w:w="2150"/>
            <w:shd w:fill="D9D9D9" w:color="auto" w:val="clear"/>
            <w:tcMar>
              <w:top w:type="dxa" w:w="40"/>
              <w:left w:type="dxa" w:w="90"/>
              <w:bottom w:type="dxa" w:w="40"/>
              <w:right w:type="dxa" w:w="90"/>
            </w:tcMar>
          </w:tcPr>
          <w:p>
            <w:r>
              <w:rPr>
                <w:b/>
                <w:bCs/>
              </w:rPr>
              <w:t xml:space="preserve">Event population (Dev)</w:t>
            </w:r>
          </w:p>
        </w:tc>
        <w:tc>
          <w:tcPr>
            <w:tcW w:type="dxa" w:w="950"/>
            <w:shd w:fill="D9D9D9" w:color="auto" w:val="clear"/>
            <w:tcMar>
              <w:top w:type="dxa" w:w="40"/>
              <w:left w:type="dxa" w:w="90"/>
              <w:bottom w:type="dxa" w:w="40"/>
              <w:right w:type="dxa" w:w="90"/>
            </w:tcMar>
          </w:tcPr>
          <w:p>
            <w:r>
              <w:rPr>
                <w:b/>
                <w:bCs/>
              </w:rPr>
              <w:t xml:space="preserve">QA</w:t>
            </w:r>
          </w:p>
        </w:tc>
        <w:tc>
          <w:tcPr>
            <w:tcW w:type="dxa" w:w="950"/>
            <w:shd w:fill="D9D9D9" w:color="auto" w:val="clear"/>
            <w:tcMar>
              <w:top w:type="dxa" w:w="40"/>
              <w:left w:type="dxa" w:w="90"/>
              <w:bottom w:type="dxa" w:w="40"/>
              <w:right w:type="dxa" w:w="90"/>
            </w:tcMar>
          </w:tcPr>
          <w:p>
            <w:r>
              <w:rPr>
                <w:b/>
                <w:bCs/>
              </w:rPr>
              <w:t xml:space="preserve">PA</w:t>
            </w:r>
          </w:p>
        </w:tc>
      </w:tr>
      <w:tr>
        <w:tc>
          <w:tcPr>
            <w:tcW w:type="dxa" w:w="1650"/>
            <w:tcMar>
              <w:top w:type="dxa" w:w="40"/>
              <w:left w:type="dxa" w:w="90"/>
              <w:bottom w:type="dxa" w:w="40"/>
              <w:right w:type="dxa" w:w="90"/>
            </w:tcMar>
          </w:tcPr>
          <w:p>
            <w:r>
              <w:rPr>
                <w:b w:val="false"/>
                <w:bCs w:val="false"/>
              </w:rPr>
              <w:t xml:space="preserve">Account</w:t>
            </w:r>
          </w:p>
        </w:tc>
        <w:tc>
          <w:tcPr>
            <w:tcW w:type="dxa" w:w="1150"/>
            <w:tcMar>
              <w:top w:type="dxa" w:w="40"/>
              <w:left w:type="dxa" w:w="90"/>
              <w:bottom w:type="dxa" w:w="40"/>
              <w:right w:type="dxa" w:w="90"/>
            </w:tcMar>
          </w:tcPr>
          <w:p>
            <w:r>
              <w:rPr>
                <w:b w:val="false"/>
                <w:bCs w:val="false"/>
              </w:rPr>
              <w:t xml:space="preserve">13</w:t>
            </w:r>
          </w:p>
        </w:tc>
        <w:tc>
          <w:tcPr>
            <w:tcW w:type="dxa" w:w="2150"/>
            <w:tcMar>
              <w:top w:type="dxa" w:w="40"/>
              <w:left w:type="dxa" w:w="90"/>
              <w:bottom w:type="dxa" w:w="40"/>
              <w:right w:type="dxa" w:w="90"/>
            </w:tcMar>
          </w:tcPr>
          <w:p>
            <w:r>
              <w:rPr>
                <w:b w:val="false"/>
                <w:bCs w:val="false"/>
              </w:rPr>
              <w:t xml:space="preserve">1</w:t>
            </w:r>
          </w:p>
        </w:tc>
        <w:tc>
          <w:tcPr>
            <w:tcW w:type="dxa" w:w="2150"/>
            <w:tcMar>
              <w:top w:type="dxa" w:w="40"/>
              <w:left w:type="dxa" w:w="90"/>
              <w:bottom w:type="dxa" w:w="40"/>
              <w:right w:type="dxa" w:w="90"/>
            </w:tcMar>
          </w:tcPr>
          <w:p>
            <w:r>
              <w:rPr>
                <w:b w:val="false"/>
                <w:bCs w:val="false"/>
              </w:rPr>
              <w:t xml:space="preserve">6</w:t>
            </w:r>
          </w:p>
        </w:tc>
        <w:tc>
          <w:tcPr>
            <w:tcW w:type="dxa" w:w="950"/>
            <w:tcMar>
              <w:top w:type="dxa" w:w="40"/>
              <w:left w:type="dxa" w:w="90"/>
              <w:bottom w:type="dxa" w:w="40"/>
              <w:right w:type="dxa" w:w="90"/>
            </w:tcMar>
          </w:tcPr>
          <w:p>
            <w:r>
              <w:rPr>
                <w:b w:val="false"/>
                <w:bCs w:val="false"/>
              </w:rPr>
              <w:t xml:space="preserve">4</w:t>
            </w:r>
          </w:p>
        </w:tc>
        <w:tc>
          <w:tcPr>
            <w:tcW w:type="dxa" w:w="950"/>
            <w:tcMar>
              <w:top w:type="dxa" w:w="40"/>
              <w:left w:type="dxa" w:w="90"/>
              <w:bottom w:type="dxa" w:w="40"/>
              <w:right w:type="dxa" w:w="90"/>
            </w:tcMar>
          </w:tcPr>
          <w:p>
            <w:r>
              <w:rPr>
                <w:b w:val="false"/>
                <w:bCs w:val="false"/>
              </w:rPr>
              <w:t xml:space="preserve">1</w:t>
            </w:r>
          </w:p>
        </w:tc>
      </w:tr>
      <w:tr>
        <w:tc>
          <w:tcPr>
            <w:tcW w:type="dxa" w:w="1650"/>
            <w:tcMar>
              <w:top w:type="dxa" w:w="40"/>
              <w:left w:type="dxa" w:w="90"/>
              <w:bottom w:type="dxa" w:w="40"/>
              <w:right w:type="dxa" w:w="90"/>
            </w:tcMar>
          </w:tcPr>
          <w:p>
            <w:r>
              <w:rPr>
                <w:b w:val="false"/>
                <w:bCs w:val="false"/>
              </w:rPr>
              <w:t xml:space="preserve">Order</w:t>
            </w:r>
          </w:p>
        </w:tc>
        <w:tc>
          <w:tcPr>
            <w:tcW w:type="dxa" w:w="1150"/>
            <w:tcMar>
              <w:top w:type="dxa" w:w="40"/>
              <w:left w:type="dxa" w:w="90"/>
              <w:bottom w:type="dxa" w:w="40"/>
              <w:right w:type="dxa" w:w="90"/>
            </w:tcMar>
          </w:tcPr>
          <w:p>
            <w:r>
              <w:rPr>
                <w:b w:val="false"/>
                <w:bCs w:val="false"/>
              </w:rPr>
              <w:t xml:space="preserve">4</w:t>
            </w:r>
          </w:p>
        </w:tc>
        <w:tc>
          <w:tcPr>
            <w:tcW w:type="dxa" w:w="2150"/>
            <w:tcMar>
              <w:top w:type="dxa" w:w="40"/>
              <w:left w:type="dxa" w:w="90"/>
              <w:bottom w:type="dxa" w:w="40"/>
              <w:right w:type="dxa" w:w="90"/>
            </w:tcMar>
          </w:tcPr>
          <w:p>
            <w:r>
              <w:rPr>
                <w:b w:val="false"/>
                <w:bCs w:val="false"/>
              </w:rPr>
              <w:t xml:space="preserve">1</w:t>
            </w:r>
          </w:p>
        </w:tc>
        <w:tc>
          <w:tcPr>
            <w:tcW w:type="dxa" w:w="2150"/>
            <w:tcMar>
              <w:top w:type="dxa" w:w="40"/>
              <w:left w:type="dxa" w:w="90"/>
              <w:bottom w:type="dxa" w:w="40"/>
              <w:right w:type="dxa" w:w="90"/>
            </w:tcMar>
          </w:tcPr>
          <w:p>
            <w:r>
              <w:rPr>
                <w:b w:val="false"/>
                <w:bCs w:val="false"/>
              </w:rPr>
              <w:t xml:space="preserve">2</w:t>
            </w:r>
          </w:p>
        </w:tc>
        <w:tc>
          <w:tcPr>
            <w:tcW w:type="dxa" w:w="950"/>
            <w:tcMar>
              <w:top w:type="dxa" w:w="40"/>
              <w:left w:type="dxa" w:w="90"/>
              <w:bottom w:type="dxa" w:w="40"/>
              <w:right w:type="dxa" w:w="90"/>
            </w:tcMar>
          </w:tcPr>
          <w:p>
            <w:r>
              <w:rPr>
                <w:b w:val="false"/>
                <w:bCs w:val="false"/>
              </w:rPr>
              <w:t xml:space="preserve">2</w:t>
            </w:r>
          </w:p>
        </w:tc>
        <w:tc>
          <w:tcPr>
            <w:tcW w:type="dxa" w:w="950"/>
            <w:tcMar>
              <w:top w:type="dxa" w:w="40"/>
              <w:left w:type="dxa" w:w="90"/>
              <w:bottom w:type="dxa" w:w="40"/>
              <w:right w:type="dxa" w:w="90"/>
            </w:tcMar>
          </w:tcPr>
          <w:p>
            <w:r>
              <w:rPr>
                <w:b w:val="false"/>
                <w:bCs w:val="false"/>
              </w:rPr>
              <w:t xml:space="preserve">1</w:t>
            </w:r>
          </w:p>
        </w:tc>
      </w:tr>
      <w:tr>
        <w:tc>
          <w:tcPr>
            <w:tcW w:type="dxa" w:w="1650"/>
            <w:tcMar>
              <w:top w:type="dxa" w:w="40"/>
              <w:left w:type="dxa" w:w="90"/>
              <w:bottom w:type="dxa" w:w="40"/>
              <w:right w:type="dxa" w:w="90"/>
            </w:tcMar>
          </w:tcPr>
          <w:p>
            <w:r>
              <w:rPr>
                <w:b w:val="false"/>
                <w:bCs w:val="false"/>
              </w:rPr>
              <w:t xml:space="preserve">Each further service</w:t>
            </w:r>
          </w:p>
        </w:tc>
        <w:tc>
          <w:tcPr>
            <w:tcW w:type="dxa" w:w="1150"/>
            <w:tcMar>
              <w:top w:type="dxa" w:w="40"/>
              <w:left w:type="dxa" w:w="90"/>
              <w:bottom w:type="dxa" w:w="40"/>
              <w:right w:type="dxa" w:w="90"/>
            </w:tcMar>
          </w:tcPr>
          <w:p>
            <w:r>
              <w:rPr>
                <w:b w:val="false"/>
                <w:bCs w:val="false"/>
              </w:rPr>
              <w:t xml:space="preserve">n</w:t>
            </w:r>
          </w:p>
        </w:tc>
        <w:tc>
          <w:tcPr>
            <w:tcW w:type="dxa" w:w="2150"/>
            <w:tcMar>
              <w:top w:type="dxa" w:w="40"/>
              <w:left w:type="dxa" w:w="90"/>
              <w:bottom w:type="dxa" w:w="40"/>
              <w:right w:type="dxa" w:w="90"/>
            </w:tcMar>
          </w:tcPr>
          <w:p>
            <w:r>
              <w:rPr>
                <w:b w:val="false"/>
                <w:bCs w:val="false"/>
              </w:rPr>
              <w:t xml:space="preserve">1</w:t>
            </w:r>
          </w:p>
        </w:tc>
        <w:tc>
          <w:tcPr>
            <w:tcW w:type="dxa" w:w="2150"/>
            <w:tcMar>
              <w:top w:type="dxa" w:w="40"/>
              <w:left w:type="dxa" w:w="90"/>
              <w:bottom w:type="dxa" w:w="40"/>
              <w:right w:type="dxa" w:w="90"/>
            </w:tcMar>
          </w:tcPr>
          <w:p>
            <w:r>
              <w:rPr>
                <w:b w:val="false"/>
                <w:bCs w:val="false"/>
              </w:rPr>
              <w:t xml:space="preserve">~0.4n</w:t>
            </w:r>
          </w:p>
        </w:tc>
        <w:tc>
          <w:tcPr>
            <w:tcW w:type="dxa" w:w="950"/>
            <w:tcMar>
              <w:top w:type="dxa" w:w="40"/>
              <w:left w:type="dxa" w:w="90"/>
              <w:bottom w:type="dxa" w:w="40"/>
              <w:right w:type="dxa" w:w="90"/>
            </w:tcMar>
          </w:tcPr>
          <w:p>
            <w:r>
              <w:rPr>
                <w:b w:val="false"/>
                <w:bCs w:val="false"/>
              </w:rPr>
              <w:t xml:space="preserve">~0.3n</w:t>
            </w:r>
          </w:p>
        </w:tc>
        <w:tc>
          <w:tcPr>
            <w:tcW w:type="dxa" w:w="950"/>
            <w:tcMar>
              <w:top w:type="dxa" w:w="40"/>
              <w:left w:type="dxa" w:w="90"/>
              <w:bottom w:type="dxa" w:w="40"/>
              <w:right w:type="dxa" w:w="90"/>
            </w:tcMar>
          </w:tcPr>
          <w:p>
            <w:r>
              <w:rPr>
                <w:b w:val="false"/>
                <w:bCs w:val="false"/>
              </w:rPr>
              <w:t xml:space="preserve">1</w:t>
            </w:r>
          </w:p>
        </w:tc>
      </w:tr>
    </w:tbl>
    <w:p>
      <w:pPr>
        <w:spacing w:after="60"/>
      </w:pPr>
      <w:r>
        <w:t xml:space="preserve"/>
      </w:r>
    </w:p>
    <w:p>
      <w:pPr>
        <w:pStyle w:val="Heading2"/>
        <w:spacing w:after="80" w:before="200"/>
      </w:pPr>
      <w:r>
        <w:t xml:space="preserve">Worked total</w:t>
      </w:r>
    </w:p>
    <w:p>
      <w:pPr>
        <w:spacing w:after="120"/>
      </w:pPr>
      <w:r>
        <w:rPr>
          <w:b w:val="false"/>
          <w:bCs w:val="false"/>
        </w:rPr>
        <w:t xml:space="preserve">Shared once, plus each service in scope. Example for Account (built first) and Order:</w:t>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3600"/>
        <w:gridCol w:w="1800"/>
        <w:gridCol w:w="1800"/>
        <w:gridCol w:w="1800"/>
      </w:tblGrid>
      <w:tr>
        <w:trPr>
          <w:tblHeader/>
        </w:trPr>
        <w:tc>
          <w:tcPr>
            <w:tcW w:type="dxa" w:w="3600"/>
            <w:shd w:fill="D9D9D9" w:color="auto" w:val="clear"/>
            <w:tcMar>
              <w:top w:type="dxa" w:w="40"/>
              <w:left w:type="dxa" w:w="90"/>
              <w:bottom w:type="dxa" w:w="40"/>
              <w:right w:type="dxa" w:w="90"/>
            </w:tcMar>
          </w:tcPr>
          <w:p>
            <w:r>
              <w:rPr>
                <w:b/>
                <w:bCs/>
              </w:rPr>
              <w:t xml:space="preserve">Build</w:t>
            </w:r>
          </w:p>
        </w:tc>
        <w:tc>
          <w:tcPr>
            <w:tcW w:type="dxa" w:w="1800"/>
            <w:shd w:fill="D9D9D9" w:color="auto" w:val="clear"/>
            <w:tcMar>
              <w:top w:type="dxa" w:w="40"/>
              <w:left w:type="dxa" w:w="90"/>
              <w:bottom w:type="dxa" w:w="40"/>
              <w:right w:type="dxa" w:w="90"/>
            </w:tcMar>
          </w:tcPr>
          <w:p>
            <w:r>
              <w:rPr>
                <w:b/>
                <w:bCs/>
              </w:rPr>
              <w:t xml:space="preserve">Dev (days)</w:t>
            </w:r>
          </w:p>
        </w:tc>
        <w:tc>
          <w:tcPr>
            <w:tcW w:type="dxa" w:w="1800"/>
            <w:shd w:fill="D9D9D9" w:color="auto" w:val="clear"/>
            <w:tcMar>
              <w:top w:type="dxa" w:w="40"/>
              <w:left w:type="dxa" w:w="90"/>
              <w:bottom w:type="dxa" w:w="40"/>
              <w:right w:type="dxa" w:w="90"/>
            </w:tcMar>
          </w:tcPr>
          <w:p>
            <w:r>
              <w:rPr>
                <w:b/>
                <w:bCs/>
              </w:rPr>
              <w:t xml:space="preserve">QA (days)</w:t>
            </w:r>
          </w:p>
        </w:tc>
        <w:tc>
          <w:tcPr>
            <w:tcW w:type="dxa" w:w="1800"/>
            <w:shd w:fill="D9D9D9" w:color="auto" w:val="clear"/>
            <w:tcMar>
              <w:top w:type="dxa" w:w="40"/>
              <w:left w:type="dxa" w:w="90"/>
              <w:bottom w:type="dxa" w:w="40"/>
              <w:right w:type="dxa" w:w="90"/>
            </w:tcMar>
          </w:tcPr>
          <w:p>
            <w:r>
              <w:rPr>
                <w:b/>
                <w:bCs/>
              </w:rPr>
              <w:t xml:space="preserve">PA (days)</w:t>
            </w:r>
          </w:p>
        </w:tc>
      </w:tr>
      <w:tr>
        <w:tc>
          <w:tcPr>
            <w:tcW w:type="dxa" w:w="3600"/>
            <w:tcMar>
              <w:top w:type="dxa" w:w="40"/>
              <w:left w:type="dxa" w:w="90"/>
              <w:bottom w:type="dxa" w:w="40"/>
              <w:right w:type="dxa" w:w="90"/>
            </w:tcMar>
          </w:tcPr>
          <w:p>
            <w:r>
              <w:rPr>
                <w:b w:val="false"/>
                <w:bCs w:val="false"/>
              </w:rPr>
              <w:t xml:space="preserve">Shared (one-time)</w:t>
            </w:r>
          </w:p>
        </w:tc>
        <w:tc>
          <w:tcPr>
            <w:tcW w:type="dxa" w:w="1800"/>
            <w:tcMar>
              <w:top w:type="dxa" w:w="40"/>
              <w:left w:type="dxa" w:w="90"/>
              <w:bottom w:type="dxa" w:w="40"/>
              <w:right w:type="dxa" w:w="90"/>
            </w:tcMar>
          </w:tcPr>
          <w:p>
            <w:r>
              <w:rPr>
                <w:b w:val="false"/>
                <w:bCs w:val="false"/>
              </w:rPr>
              <w:t xml:space="preserve">16</w:t>
            </w:r>
          </w:p>
        </w:tc>
        <w:tc>
          <w:tcPr>
            <w:tcW w:type="dxa" w:w="1800"/>
            <w:tcMar>
              <w:top w:type="dxa" w:w="40"/>
              <w:left w:type="dxa" w:w="90"/>
              <w:bottom w:type="dxa" w:w="40"/>
              <w:right w:type="dxa" w:w="90"/>
            </w:tcMar>
          </w:tcPr>
          <w:p>
            <w:r>
              <w:rPr>
                <w:b w:val="false"/>
                <w:bCs w:val="false"/>
              </w:rPr>
              <w:t xml:space="preserve">4</w:t>
            </w:r>
          </w:p>
        </w:tc>
        <w:tc>
          <w:tcPr>
            <w:tcW w:type="dxa" w:w="1800"/>
            <w:tcMar>
              <w:top w:type="dxa" w:w="40"/>
              <w:left w:type="dxa" w:w="90"/>
              <w:bottom w:type="dxa" w:w="40"/>
              <w:right w:type="dxa" w:w="90"/>
            </w:tcMar>
          </w:tcPr>
          <w:p>
            <w:r>
              <w:rPr>
                <w:b w:val="false"/>
                <w:bCs w:val="false"/>
              </w:rPr>
              <w:t xml:space="preserve">2</w:t>
            </w:r>
          </w:p>
        </w:tc>
      </w:tr>
      <w:tr>
        <w:tc>
          <w:tcPr>
            <w:tcW w:type="dxa" w:w="3600"/>
            <w:tcMar>
              <w:top w:type="dxa" w:w="40"/>
              <w:left w:type="dxa" w:w="90"/>
              <w:bottom w:type="dxa" w:w="40"/>
              <w:right w:type="dxa" w:w="90"/>
            </w:tcMar>
          </w:tcPr>
          <w:p>
            <w:r>
              <w:rPr>
                <w:b w:val="false"/>
                <w:bCs w:val="false"/>
              </w:rPr>
              <w:t xml:space="preserve">+ Account (13 events)</w:t>
            </w:r>
          </w:p>
        </w:tc>
        <w:tc>
          <w:tcPr>
            <w:tcW w:type="dxa" w:w="1800"/>
            <w:tcMar>
              <w:top w:type="dxa" w:w="40"/>
              <w:left w:type="dxa" w:w="90"/>
              <w:bottom w:type="dxa" w:w="40"/>
              <w:right w:type="dxa" w:w="90"/>
            </w:tcMar>
          </w:tcPr>
          <w:p>
            <w:r>
              <w:rPr>
                <w:b w:val="false"/>
                <w:bCs w:val="false"/>
              </w:rPr>
              <w:t xml:space="preserve">7</w:t>
            </w:r>
          </w:p>
        </w:tc>
        <w:tc>
          <w:tcPr>
            <w:tcW w:type="dxa" w:w="1800"/>
            <w:tcMar>
              <w:top w:type="dxa" w:w="40"/>
              <w:left w:type="dxa" w:w="90"/>
              <w:bottom w:type="dxa" w:w="40"/>
              <w:right w:type="dxa" w:w="90"/>
            </w:tcMar>
          </w:tcPr>
          <w:p>
            <w:r>
              <w:rPr>
                <w:b w:val="false"/>
                <w:bCs w:val="false"/>
              </w:rPr>
              <w:t xml:space="preserve">4</w:t>
            </w:r>
          </w:p>
        </w:tc>
        <w:tc>
          <w:tcPr>
            <w:tcW w:type="dxa" w:w="1800"/>
            <w:tcMar>
              <w:top w:type="dxa" w:w="40"/>
              <w:left w:type="dxa" w:w="90"/>
              <w:bottom w:type="dxa" w:w="40"/>
              <w:right w:type="dxa" w:w="90"/>
            </w:tcMar>
          </w:tcPr>
          <w:p>
            <w:r>
              <w:rPr>
                <w:b w:val="false"/>
                <w:bCs w:val="false"/>
              </w:rPr>
              <w:t xml:space="preserve">1</w:t>
            </w:r>
          </w:p>
        </w:tc>
      </w:tr>
      <w:tr>
        <w:tc>
          <w:tcPr>
            <w:tcW w:type="dxa" w:w="3600"/>
            <w:tcMar>
              <w:top w:type="dxa" w:w="40"/>
              <w:left w:type="dxa" w:w="90"/>
              <w:bottom w:type="dxa" w:w="40"/>
              <w:right w:type="dxa" w:w="90"/>
            </w:tcMar>
          </w:tcPr>
          <w:p>
            <w:r>
              <w:rPr>
                <w:b w:val="false"/>
                <w:bCs w:val="false"/>
              </w:rPr>
              <w:t xml:space="preserve">+ Order (4 events)</w:t>
            </w:r>
          </w:p>
        </w:tc>
        <w:tc>
          <w:tcPr>
            <w:tcW w:type="dxa" w:w="1800"/>
            <w:tcMar>
              <w:top w:type="dxa" w:w="40"/>
              <w:left w:type="dxa" w:w="90"/>
              <w:bottom w:type="dxa" w:w="40"/>
              <w:right w:type="dxa" w:w="90"/>
            </w:tcMar>
          </w:tcPr>
          <w:p>
            <w:r>
              <w:rPr>
                <w:b w:val="false"/>
                <w:bCs w:val="false"/>
              </w:rPr>
              <w:t xml:space="preserve">3</w:t>
            </w:r>
          </w:p>
        </w:tc>
        <w:tc>
          <w:tcPr>
            <w:tcW w:type="dxa" w:w="1800"/>
            <w:tcMar>
              <w:top w:type="dxa" w:w="40"/>
              <w:left w:type="dxa" w:w="90"/>
              <w:bottom w:type="dxa" w:w="40"/>
              <w:right w:type="dxa" w:w="90"/>
            </w:tcMar>
          </w:tcPr>
          <w:p>
            <w:r>
              <w:rPr>
                <w:b w:val="false"/>
                <w:bCs w:val="false"/>
              </w:rPr>
              <w:t xml:space="preserve">2</w:t>
            </w:r>
          </w:p>
        </w:tc>
        <w:tc>
          <w:tcPr>
            <w:tcW w:type="dxa" w:w="1800"/>
            <w:tcMar>
              <w:top w:type="dxa" w:w="40"/>
              <w:left w:type="dxa" w:w="90"/>
              <w:bottom w:type="dxa" w:w="40"/>
              <w:right w:type="dxa" w:w="90"/>
            </w:tcMar>
          </w:tcPr>
          <w:p>
            <w:r>
              <w:rPr>
                <w:b w:val="false"/>
                <w:bCs w:val="false"/>
              </w:rPr>
              <w:t xml:space="preserve">1</w:t>
            </w:r>
          </w:p>
        </w:tc>
      </w:tr>
      <w:tr>
        <w:tc>
          <w:tcPr>
            <w:tcW w:type="dxa" w:w="3600"/>
            <w:tcMar>
              <w:top w:type="dxa" w:w="40"/>
              <w:left w:type="dxa" w:w="90"/>
              <w:bottom w:type="dxa" w:w="40"/>
              <w:right w:type="dxa" w:w="90"/>
            </w:tcMar>
          </w:tcPr>
          <w:p>
            <w:r>
              <w:rPr>
                <w:b/>
                <w:bCs/>
              </w:rPr>
              <w:t xml:space="preserve">Total — shared + Account + Order</w:t>
            </w:r>
          </w:p>
        </w:tc>
        <w:tc>
          <w:tcPr>
            <w:tcW w:type="dxa" w:w="1800"/>
            <w:tcMar>
              <w:top w:type="dxa" w:w="40"/>
              <w:left w:type="dxa" w:w="90"/>
              <w:bottom w:type="dxa" w:w="40"/>
              <w:right w:type="dxa" w:w="90"/>
            </w:tcMar>
          </w:tcPr>
          <w:p>
            <w:r>
              <w:rPr>
                <w:b/>
                <w:bCs/>
              </w:rPr>
              <w:t xml:space="preserve">26</w:t>
            </w:r>
          </w:p>
        </w:tc>
        <w:tc>
          <w:tcPr>
            <w:tcW w:type="dxa" w:w="1800"/>
            <w:tcMar>
              <w:top w:type="dxa" w:w="40"/>
              <w:left w:type="dxa" w:w="90"/>
              <w:bottom w:type="dxa" w:w="40"/>
              <w:right w:type="dxa" w:w="90"/>
            </w:tcMar>
          </w:tcPr>
          <w:p>
            <w:r>
              <w:rPr>
                <w:b/>
                <w:bCs/>
              </w:rPr>
              <w:t xml:space="preserve">10</w:t>
            </w:r>
          </w:p>
        </w:tc>
        <w:tc>
          <w:tcPr>
            <w:tcW w:type="dxa" w:w="1800"/>
            <w:tcMar>
              <w:top w:type="dxa" w:w="40"/>
              <w:left w:type="dxa" w:w="90"/>
              <w:bottom w:type="dxa" w:w="40"/>
              <w:right w:type="dxa" w:w="90"/>
            </w:tcMar>
          </w:tcPr>
          <w:p>
            <w:r>
              <w:rPr>
                <w:b/>
                <w:bCs/>
              </w:rPr>
              <w:t xml:space="preserve">4</w:t>
            </w:r>
          </w:p>
        </w:tc>
      </w:tr>
    </w:tbl>
    <w:p>
      <w:pPr>
        <w:spacing w:after="60"/>
      </w:pPr>
      <w:r>
        <w:t xml:space="preserve"/>
      </w:r>
    </w:p>
    <w:p>
      <w:pPr>
        <w:spacing w:after="120"/>
      </w:pPr>
      <w:r>
        <w:rPr>
          <w:b/>
          <w:bCs/>
        </w:rPr>
        <w:t xml:space="preserve">Notes: </w:t>
      </w:r>
      <w:r>
        <w:rPr>
          <w:b w:val="false"/>
          <w:bCs w:val="false"/>
        </w:rPr>
        <w:t xml:space="preserve">figures are a pre-estimation proposal to be confirmed in the session. The shared framework is built once (with the first service) and never repeated; every service after that is copy-paste plus its event population. Event counts are approximate and drive each service’s event-population line — Account carries the bulk, Order is light. Excludes the two blocked branch opening-hours notifications (A06) and all marketing (A09); assumes the vendor provides idempotency on the key (A04). Order’s events depend on SOS cross-channel visibility and the Assistive API (A05); if unresolved, Order moves to a later phase.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e9d3c155e7a4f80c7ee87e581e6222dadd2e71.png"/><Relationship Id="rId8" Type="http://schemas.openxmlformats.org/officeDocument/2006/relationships/image" Target="media/3cb92627a9e80c9691a23b2240ca0ea51fa1c4e8.png"/><Relationship Id="rId9" Type="http://schemas.openxmlformats.org/officeDocument/2006/relationships/image" Target="media/924ed7bb1b5754a9478d8866987297a90a7272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2026-10-30T11:03:16.304Z</dcterms:created>
  <dcterms:modified xsi:type="dcterms:W3CDTF">2026-10-30T11:03:16.312Z</dcterms:modified>
</cp:coreProperties>
</file>

<file path=docProps/custom.xml><?xml version="1.0" encoding="utf-8"?>
<Properties xmlns="http://schemas.openxmlformats.org/officeDocument/2006/custom-properties" xmlns:vt="http://schemas.openxmlformats.org/officeDocument/2006/docPropsVTypes"/>
</file>