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pacing w:val="40"/>
          <w:sz w:val="36"/>
          <w:szCs w:val="36"/>
        </w:rPr>
        <w:t xml:space="preserve">CHAUCER</w:t>
      </w:r>
    </w:p>
    <w:p>
      <w:pPr>
        <w:spacing w:after="700"/>
        <w:jc w:val="center"/>
      </w:pPr>
      <w:r>
        <w:rPr>
          <w:color w:val="5A6470"/>
          <w:sz w:val="21"/>
          <w:szCs w:val="21"/>
        </w:rPr>
        <w:t xml:space="preserve">Technology &amp; Architecture</w:t>
      </w:r>
    </w:p>
    <w:p>
      <w:pPr>
        <w:spacing w:after="60"/>
        <w:jc w:val="center"/>
      </w:pPr>
      <w:r>
        <w:rPr>
          <w:b/>
          <w:bCs/>
          <w:color w:val="2E5496"/>
          <w:sz w:val="48"/>
          <w:szCs w:val="48"/>
        </w:rPr>
        <w:t xml:space="preserve">Systems Integration Framework</w:t>
      </w:r>
    </w:p>
    <w:p>
      <w:pPr>
        <w:spacing w:after="40"/>
        <w:jc w:val="center"/>
      </w:pPr>
      <w:r>
        <w:rPr>
          <w:color w:val="5A6470"/>
          <w:sz w:val="24"/>
          <w:szCs w:val="24"/>
        </w:rPr>
        <w:t xml:space="preserve">A service-oriented framework for building integrations on Azure</w:t>
      </w:r>
    </w:p>
    <w:p>
      <w:pPr>
        <w:pBdr>
          <w:bottom w:val="single" w:color="2E5496" w:sz="6"/>
        </w:pBdr>
        <w:spacing w:after="40" w:before="10"/>
      </w:pPr>
    </w:p>
    <w:p>
      <w:pPr>
        <w:spacing w:before="400"/>
        <w:jc w:val="center"/>
      </w:pPr>
      <w:r>
        <w:rPr>
          <w:b/>
          <w:bCs/>
          <w:color w:val="1F3864"/>
          <w:sz w:val="21"/>
          <w:szCs w:val="21"/>
        </w:rPr>
        <w:t xml:space="preserve">Version 1.1  ·  Draft for TDA review</w:t>
      </w:r>
    </w:p>
    <w:p>
      <w:pPr>
        <w:spacing w:before="40"/>
        <w:jc w:val="center"/>
      </w:pPr>
      <w:r>
        <w:rPr>
          <w:color w:val="5A6470"/>
          <w:sz w:val="19"/>
          <w:szCs w:val="19"/>
        </w:rPr>
        <w:t xml:space="preserve">Prepared by the supporting integration SME with Chaucer Integration Architecture</w:t>
      </w:r>
    </w:p>
    <w:p>
      <w:r>
        <w:br w:type="page"/>
      </w:r>
    </w:p>
    <w:p>
      <w:pPr>
        <w:pStyle w:val="Heading1"/>
        <w:spacing w:after="130" w:before="260"/>
      </w:pPr>
      <w:r>
        <w:rPr>
          <w:b/>
          <w:bCs/>
          <w:color w:val="1F3864"/>
          <w:sz w:val="30"/>
          <w:szCs w:val="30"/>
        </w:rPr>
        <w:t xml:space="preserve">Document control</w:t>
      </w:r>
    </w:p>
    <w:p>
      <w:pPr>
        <w:spacing w:after="120" w:before="0" w:line="276"/>
      </w:pPr>
      <w:r>
        <w:rPr>
          <w:color w:val="222831"/>
          <w:sz w:val="21"/>
          <w:szCs w:val="21"/>
        </w:rPr>
        <w:t xml:space="preserve">This is a working draft, produced jointly by Chaucer's lead integration architect and the supporting SME, for review and approval by the Technical Design Authority. It supersedes v0.22013v0.4. Reference-architecture diagrams are embedded inline rather than supplied separately.</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900"/>
        <w:gridCol w:w="7460"/>
      </w:tblGrid>
      <w:tr>
        <w:trPr>
          <w:tblHeader/>
        </w:trPr>
        <w:tc>
          <w:tcPr>
            <w:tcW w:type="dxa" w:w="1900"/>
            <w:shd w:fill="24446E" w:color="auto" w:val="clear"/>
            <w:tcMar>
              <w:top w:type="dxa" w:w="70"/>
              <w:left w:type="dxa" w:w="110"/>
              <w:bottom w:type="dxa" w:w="70"/>
              <w:right w:type="dxa" w:w="110"/>
            </w:tcMar>
          </w:tcPr>
          <w:p>
            <w:r>
              <w:rPr>
                <w:b/>
                <w:bCs/>
                <w:color w:val="FFFFFF"/>
                <w:sz w:val="18"/>
                <w:szCs w:val="18"/>
              </w:rPr>
              <w:t xml:space="preserve"/>
            </w:r>
          </w:p>
        </w:tc>
        <w:tc>
          <w:tcPr>
            <w:tcW w:type="dxa" w:w="7460"/>
            <w:shd w:fill="24446E" w:color="auto" w:val="clear"/>
            <w:tcMar>
              <w:top w:type="dxa" w:w="70"/>
              <w:left w:type="dxa" w:w="110"/>
              <w:bottom w:type="dxa" w:w="70"/>
              <w:right w:type="dxa" w:w="110"/>
            </w:tcMar>
          </w:tcPr>
          <w:p>
            <w:r>
              <w:rPr>
                <w:b/>
                <w:bCs/>
                <w:color w:val="FFFFFF"/>
                <w:sz w:val="18"/>
                <w:szCs w:val="18"/>
              </w:rPr>
              <w:t xml:space="preserve"/>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Status</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Draft v1.1, for TDA review</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Architecture style</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Service-Oriented Architecture (SOA). Microservices are explicitly out of scope.</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Sits under</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Chaucer's Global EA, Integration, Application, Data, Technology and Security principles, and the Cloud Engineering Standards. This framework applies them; it does not restate or change them.</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Target platform</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Azure integration PaaS, API Management, Logic Apps (Standard), Service Bus, Event Grid, Event Hubs, Functions, with Snowflake as the data platform across a defined boundary.</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Change control</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Managed on a service lifecycle, versioned; patterns and reusable services are published to the asset catalogue.</w:t>
            </w:r>
          </w:p>
        </w:tc>
      </w:tr>
    </w:tbl>
    <w:p>
      <w:r>
        <w:br w:type="page"/>
      </w:r>
    </w:p>
    <w:p>
      <w:pPr>
        <w:pStyle w:val="Heading1"/>
        <w:spacing w:after="130" w:before="2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rPr>
          <w:b/>
          <w:bCs/>
          <w:color w:val="1F3864"/>
          <w:sz w:val="30"/>
          <w:szCs w:val="30"/>
        </w:rPr>
        <w:t xml:space="preserve">1. Introduction</w:t>
      </w:r>
    </w:p>
    <w:p>
      <w:pPr>
        <w:pStyle w:val="Heading2"/>
        <w:spacing w:after="100" w:before="220"/>
      </w:pPr>
      <w:r>
        <w:rPr>
          <w:b/>
          <w:bCs/>
          <w:color w:val="2E5496"/>
          <w:sz w:val="25"/>
          <w:szCs w:val="25"/>
        </w:rPr>
        <w:t xml:space="preserve">1.1 Why this framework exists</w:t>
      </w:r>
    </w:p>
    <w:p>
      <w:pPr>
        <w:spacing w:after="120" w:before="0" w:line="276"/>
      </w:pPr>
      <w:r>
        <w:rPr>
          <w:color w:val="222831"/>
          <w:sz w:val="21"/>
          <w:szCs w:val="21"/>
        </w:rPr>
        <w:t xml:space="preserve">Integration at Chaucer works today, but it has grown one project at a time. Each new interface gets solved on its own terms: a direct call in one place, a file drop in another. What you end up with is a web of point-to-point connections that is expensive to change, hard to monitor and impossible to reuse, and every tactical fix makes the next change harder.</w:t>
      </w:r>
    </w:p>
    <w:p>
      <w:pPr>
        <w:spacing w:after="120" w:before="0" w:line="276"/>
      </w:pPr>
      <w:r>
        <w:rPr>
          <w:color w:val="222831"/>
          <w:sz w:val="21"/>
          <w:szCs w:val="21"/>
        </w:rPr>
        <w:t xml:space="preserve">This framework replaces that with one agreed way to build integrations, so the same problem gets solved the same way each time. It is opinionated on purpose: a set of patterns, the Azure services we have standardised on, and the guardrails a team needs so it can build the right thing without re-arguing the architecture every time. What I am after is practical, not academic: fewer point-to-point interfaces, more reuse, loose coupling as the default, and enough consistency that any team or supplier can pick this up and build to the same shape.</w:t>
      </w:r>
    </w:p>
    <w:p>
      <w:pPr>
        <w:pStyle w:val="Heading2"/>
        <w:spacing w:after="100" w:before="220"/>
      </w:pPr>
      <w:r>
        <w:rPr>
          <w:b/>
          <w:bCs/>
          <w:color w:val="2E5496"/>
          <w:sz w:val="25"/>
          <w:szCs w:val="25"/>
        </w:rPr>
        <w:t xml:space="preserve">1.2 How to use it</w:t>
      </w:r>
    </w:p>
    <w:p>
      <w:pPr>
        <w:spacing w:after="120" w:before="0" w:line="276"/>
      </w:pPr>
      <w:r>
        <w:rPr>
          <w:color w:val="222831"/>
          <w:sz w:val="21"/>
          <w:szCs w:val="21"/>
        </w:rPr>
        <w:t xml:space="preserve">If you are about to build an integration, start at the decision tree in Section 4. A few questions take you to the right pattern. Section 5 then gives you that pattern in full: the problem it solves, a diagram of how it fits together, the Azure services involved, the risks to plan for and the mistakes to avoid. Before you build, check your design against the guardrails in Section 6, because those are what a reviewer will look for. If you need to deviate, that is fine, but it goes through the exception process rather than quietly into the code.</w:t>
      </w:r>
    </w:p>
    <w:p>
      <w:pPr>
        <w:spacing w:after="120" w:before="0" w:line="276"/>
      </w:pPr>
      <w:r>
        <w:rPr>
          <w:color w:val="222831"/>
          <w:sz w:val="21"/>
          <w:szCs w:val="21"/>
        </w:rPr>
        <w:t xml:space="preserve">Two rules sit above the rest. Reuse before you build: check the catalogue for an existing service or API before you create a new one, and prefer integrating a system that already exists over standing up a new one. And everything goes through the platform: there is no approved pattern for a direct, unmediated link between two systems.</w:t>
      </w:r>
    </w:p>
    <w:p>
      <w:pPr>
        <w:pStyle w:val="Heading2"/>
        <w:spacing w:after="100" w:before="220"/>
      </w:pPr>
      <w:r>
        <w:rPr>
          <w:b/>
          <w:bCs/>
          <w:color w:val="2E5496"/>
          <w:sz w:val="25"/>
          <w:szCs w:val="25"/>
        </w:rPr>
        <w:t xml:space="preserve">1.3 How this framework relates to Chaucer's principles</w:t>
      </w:r>
    </w:p>
    <w:p>
      <w:pPr>
        <w:spacing w:after="120" w:before="0" w:line="276"/>
      </w:pPr>
      <w:r>
        <w:rPr>
          <w:color w:val="222831"/>
          <w:sz w:val="21"/>
          <w:szCs w:val="21"/>
        </w:rPr>
        <w:t xml:space="preserve">The SIF does not introduce a new belief system. It inherits Chaucer's existing principles and turns them into concrete integration choices. The stack below shows what it draws from and where those principles are actually enforced in this document.</w:t>
      </w:r>
    </w:p>
    <w:p>
      <w:pPr>
        <w:spacing w:after="130" w:before="90"/>
        <w:jc w:val="center"/>
      </w:pPr>
      <w:r>
        <w:drawing>
          <wp:inline distT="0" distB="0" distL="0" distR="0">
            <wp:extent cx="51911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2676525"/>
                    </a:xfrm>
                    <a:prstGeom prst="rect">
                      <a:avLst/>
                    </a:prstGeom>
                  </pic:spPr>
                </pic:pic>
              </a:graphicData>
            </a:graphic>
          </wp:inline>
        </w:drawing>
      </w:r>
    </w:p>
    <w:p>
      <w:pPr>
        <w:spacing w:after="120" w:before="0" w:line="276"/>
      </w:pPr>
      <w:r>
        <w:rPr>
          <w:color w:val="222831"/>
          <w:sz w:val="21"/>
          <w:szCs w:val="21"/>
        </w:rPr>
        <w:t xml:space="preserve">The mapping is worth making explicit, because "aligned to our principles" is easy to assert and harder to evidence. The table below is the traceability a reviewer can check.</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650"/>
        <w:gridCol w:w="4110"/>
        <w:gridCol w:w="2600"/>
      </w:tblGrid>
      <w:tr>
        <w:trPr>
          <w:tblHeader/>
        </w:trPr>
        <w:tc>
          <w:tcPr>
            <w:tcW w:type="dxa" w:w="2650"/>
            <w:shd w:fill="24446E" w:color="auto" w:val="clear"/>
            <w:tcMar>
              <w:top w:type="dxa" w:w="70"/>
              <w:left w:type="dxa" w:w="110"/>
              <w:bottom w:type="dxa" w:w="70"/>
              <w:right w:type="dxa" w:w="110"/>
            </w:tcMar>
          </w:tcPr>
          <w:p>
            <w:r>
              <w:rPr>
                <w:b/>
                <w:bCs/>
                <w:color w:val="FFFFFF"/>
                <w:sz w:val="18"/>
                <w:szCs w:val="18"/>
              </w:rPr>
              <w:t xml:space="preserve">Principle (source)</w:t>
            </w:r>
          </w:p>
        </w:tc>
        <w:tc>
          <w:tcPr>
            <w:tcW w:type="dxa" w:w="4110"/>
            <w:shd w:fill="24446E" w:color="auto" w:val="clear"/>
            <w:tcMar>
              <w:top w:type="dxa" w:w="70"/>
              <w:left w:type="dxa" w:w="110"/>
              <w:bottom w:type="dxa" w:w="70"/>
              <w:right w:type="dxa" w:w="110"/>
            </w:tcMar>
          </w:tcPr>
          <w:p>
            <w:r>
              <w:rPr>
                <w:b/>
                <w:bCs/>
                <w:color w:val="FFFFFF"/>
                <w:sz w:val="18"/>
                <w:szCs w:val="18"/>
              </w:rPr>
              <w:t xml:space="preserve">How the SIF embeds it</w:t>
            </w:r>
          </w:p>
        </w:tc>
        <w:tc>
          <w:tcPr>
            <w:tcW w:type="dxa" w:w="2600"/>
            <w:shd w:fill="24446E" w:color="auto" w:val="clear"/>
            <w:tcMar>
              <w:top w:type="dxa" w:w="70"/>
              <w:left w:type="dxa" w:w="110"/>
              <w:bottom w:type="dxa" w:w="70"/>
              <w:right w:type="dxa" w:w="110"/>
            </w:tcMar>
          </w:tcPr>
          <w:p>
            <w:r>
              <w:rPr>
                <w:b/>
                <w:bCs/>
                <w:color w:val="FFFFFF"/>
                <w:sz w:val="18"/>
                <w:szCs w:val="18"/>
              </w:rPr>
              <w:t xml:space="preserve">Where it is enforced</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API-first, reuse-first, enterprise-first (Global EA; Application)</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Capabilities are exposed as coarse-grained, reusable APIs and events through the platform; new build only after reuse is ruled out.</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SOA service model (§2.2); catalogue (App. A); TDA design gate (§6.3)</w:t>
            </w:r>
          </w:p>
        </w:tc>
      </w:tr>
      <w:tr>
        <w:tc>
          <w:tcPr>
            <w:tcW w:type="dxa" w:w="2650"/>
            <w:shd w:fill="F4F6FA" w:color="auto" w:val="clear"/>
            <w:tcMar>
              <w:top w:type="dxa" w:w="70"/>
              <w:left w:type="dxa" w:w="110"/>
              <w:bottom w:type="dxa" w:w="70"/>
              <w:right w:type="dxa" w:w="110"/>
            </w:tcMar>
            <w:vAlign w:val="center"/>
          </w:tcPr>
          <w:p>
            <w:pPr>
              <w:spacing w:after="10" w:line="258"/>
            </w:pPr>
            <w:r>
              <w:rPr>
                <w:sz w:val="18"/>
                <w:szCs w:val="18"/>
              </w:rPr>
              <w:t xml:space="preserve">All integration mediated through a single central platform (Integration)</w:t>
            </w:r>
          </w:p>
        </w:tc>
        <w:tc>
          <w:tcPr>
            <w:tcW w:type="dxa" w:w="4110"/>
            <w:shd w:fill="F4F6FA" w:color="auto" w:val="clear"/>
            <w:tcMar>
              <w:top w:type="dxa" w:w="70"/>
              <w:left w:type="dxa" w:w="110"/>
              <w:bottom w:type="dxa" w:w="70"/>
              <w:right w:type="dxa" w:w="110"/>
            </w:tcMar>
            <w:vAlign w:val="center"/>
          </w:tcPr>
          <w:p>
            <w:pPr>
              <w:spacing w:after="10" w:line="258"/>
            </w:pPr>
            <w:r>
              <w:rPr>
                <w:sz w:val="18"/>
                <w:szCs w:val="18"/>
              </w:rPr>
              <w:t xml:space="preserve">One shared, centrally-operated platform; no direct point-to-point pattern exists.</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Reference architecture (§3); anti-patterns (§5, App. B)</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Loose coupling; asynchronous where availability/latency matters (Integration)</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Messaging and events are the default for anything that can tolerate deferral; APIs are contract-bound.</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Decision tree (§4); patterns (§5)</w:t>
            </w:r>
          </w:p>
        </w:tc>
      </w:tr>
      <w:tr>
        <w:tc>
          <w:tcPr>
            <w:tcW w:type="dxa" w:w="2650"/>
            <w:shd w:fill="F4F6FA" w:color="auto" w:val="clear"/>
            <w:tcMar>
              <w:top w:type="dxa" w:w="70"/>
              <w:left w:type="dxa" w:w="110"/>
              <w:bottom w:type="dxa" w:w="70"/>
              <w:right w:type="dxa" w:w="110"/>
            </w:tcMar>
            <w:vAlign w:val="center"/>
          </w:tcPr>
          <w:p>
            <w:pPr>
              <w:spacing w:after="10" w:line="258"/>
            </w:pPr>
            <w:r>
              <w:rPr>
                <w:sz w:val="18"/>
                <w:szCs w:val="18"/>
              </w:rPr>
              <w:t xml:space="preserve">Secure by design, Zero Trust, least privilege (Security)</w:t>
            </w:r>
          </w:p>
        </w:tc>
        <w:tc>
          <w:tcPr>
            <w:tcW w:type="dxa" w:w="4110"/>
            <w:shd w:fill="F4F6FA" w:color="auto" w:val="clear"/>
            <w:tcMar>
              <w:top w:type="dxa" w:w="70"/>
              <w:left w:type="dxa" w:w="110"/>
              <w:bottom w:type="dxa" w:w="70"/>
              <w:right w:type="dxa" w:w="110"/>
            </w:tcMar>
            <w:vAlign w:val="center"/>
          </w:tcPr>
          <w:p>
            <w:pPr>
              <w:spacing w:after="10" w:line="258"/>
            </w:pPr>
            <w:r>
              <w:rPr>
                <w:sz w:val="18"/>
                <w:szCs w:val="18"/>
              </w:rPr>
              <w:t xml:space="preserve">Every pattern carries a security position; identity is Entra + Managed Identity, no keys; ingress is gated.</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Per-pattern risks (§5); guardrails (§6.1)</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Managed Identity, Private Endpoints, WAF/DDoS, IaC (Engineering Standards)</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Baked into the reference architecture and the non-negotiable guardrails.</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Reference architecture (§3.3); guardrails (§6.1)</w:t>
            </w:r>
          </w:p>
        </w:tc>
      </w:tr>
      <w:tr>
        <w:tc>
          <w:tcPr>
            <w:tcW w:type="dxa" w:w="2650"/>
            <w:shd w:fill="F4F6FA" w:color="auto" w:val="clear"/>
            <w:tcMar>
              <w:top w:type="dxa" w:w="70"/>
              <w:left w:type="dxa" w:w="110"/>
              <w:bottom w:type="dxa" w:w="70"/>
              <w:right w:type="dxa" w:w="110"/>
            </w:tcMar>
            <w:vAlign w:val="center"/>
          </w:tcPr>
          <w:p>
            <w:pPr>
              <w:spacing w:after="10" w:line="258"/>
            </w:pPr>
            <w:r>
              <w:rPr>
                <w:sz w:val="18"/>
                <w:szCs w:val="18"/>
              </w:rPr>
              <w:t xml:space="preserve">Mission-critical resilience; design for failure (Integration; Resilience)</w:t>
            </w:r>
          </w:p>
        </w:tc>
        <w:tc>
          <w:tcPr>
            <w:tcW w:type="dxa" w:w="4110"/>
            <w:shd w:fill="F4F6FA" w:color="auto" w:val="clear"/>
            <w:tcMar>
              <w:top w:type="dxa" w:w="70"/>
              <w:left w:type="dxa" w:w="110"/>
              <w:bottom w:type="dxa" w:w="70"/>
              <w:right w:type="dxa" w:w="110"/>
            </w:tcMar>
            <w:vAlign w:val="center"/>
          </w:tcPr>
          <w:p>
            <w:pPr>
              <w:spacing w:after="10" w:line="258"/>
            </w:pPr>
            <w:r>
              <w:rPr>
                <w:sz w:val="18"/>
                <w:szCs w:val="18"/>
              </w:rPr>
              <w:t xml:space="preserve">Tiered multi-region posture and zone-redundancy by default.</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Deployment &amp; resilience (§3.4)</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Data is platform-owned; FAIR (Data)</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Bulk and analytics stay on Snowflake; the SIF exchanges with it across a defined boundary.</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Data platform exchange (§5.6); boundary (§3.1)</w:t>
            </w:r>
          </w:p>
        </w:tc>
      </w:tr>
    </w:tbl>
    <w:p>
      <w:pPr>
        <w:pStyle w:val="Heading2"/>
        <w:spacing w:after="100" w:before="220"/>
      </w:pPr>
      <w:r>
        <w:rPr>
          <w:b/>
          <w:bCs/>
          <w:color w:val="2E5496"/>
          <w:sz w:val="25"/>
          <w:szCs w:val="25"/>
        </w:rPr>
        <w:t xml:space="preserve">1.4 Integration in a Lloyd's context</w:t>
      </w:r>
    </w:p>
    <w:p>
      <w:pPr>
        <w:spacing w:after="120" w:before="0" w:line="276"/>
      </w:pPr>
      <w:r>
        <w:rPr>
          <w:color w:val="222831"/>
          <w:sz w:val="21"/>
          <w:szCs w:val="21"/>
        </w:rPr>
        <w:t xml:space="preserve">This is a framework for a specialty insurer operating in the Lloyd's and London markets, and that shapes what "good" looks like. Insurance integration has a particular character: we exchange data with a large and shifting population of external parties, brokers, coverholders and MGAs, delegated claims administrators, reinsurers, and the market's central processing bureau, and each brings its own format and its own standards, from ACORD messages to delegated-authority bordereaux to the market's Core Data Record. A great deal of the work is turning that heterogeneity into clean, canonical, once-keyed data, which is exactly the manual re-keying and workaround problem this programme was set up to remove.</w:t>
      </w:r>
    </w:p>
    <w:p>
      <w:pPr>
        <w:spacing w:after="120" w:before="0" w:line="276"/>
      </w:pPr>
      <w:r>
        <w:rPr>
          <w:color w:val="222831"/>
          <w:sz w:val="21"/>
          <w:szCs w:val="21"/>
        </w:rPr>
        <w:t xml:space="preserve">Three domain forces run through the rest of this document. First, heterogeneity of partners and standards, which is why a canonical data model and translation (Section 5.7.1) is not an optional nicety here but a essential pattern. Second, the market's central processing: the London market clears risk, premium, accounting, settlement and claims through the bureau operated by Velonetic, on heritage systems that are being modernised incrementally, the broader Blueprint Two vision was retired in 2026, so integrations should align to common data standards and the bureau's services while assuming the roadmap will keep evolving, rather than hard-wiring to any single programme milestone. Third, a heavy regulatory and tax reporting obligation (Solvency II, Lloyd's returns, coverholder reporting standards) that pulls the data platform into many flows. Section 5.8 shows how the patterns compose to meet these; the specifics of any market service should always be checked against current Lloyd's and Velonetic guidance, since that landscape moves.</w:t>
      </w:r>
    </w:p>
    <w:p>
      <w:r>
        <w:br w:type="page"/>
      </w:r>
    </w:p>
    <w:p>
      <w:pPr>
        <w:pStyle w:val="Heading1"/>
        <w:spacing w:after="130" w:before="260"/>
      </w:pPr>
      <w:r>
        <w:rPr>
          <w:b/>
          <w:bCs/>
          <w:color w:val="1F3864"/>
          <w:sz w:val="30"/>
          <w:szCs w:val="30"/>
        </w:rPr>
        <w:t xml:space="preserve">2. Architectural position</w:t>
      </w:r>
    </w:p>
    <w:p>
      <w:pPr>
        <w:pStyle w:val="Heading2"/>
        <w:spacing w:after="100" w:before="220"/>
      </w:pPr>
      <w:r>
        <w:rPr>
          <w:b/>
          <w:bCs/>
          <w:color w:val="2E5496"/>
          <w:sz w:val="25"/>
          <w:szCs w:val="25"/>
        </w:rPr>
        <w:t xml:space="preserve">2.1 SOA, not microservices</w:t>
      </w:r>
    </w:p>
    <w:p>
      <w:pPr>
        <w:spacing w:after="120" w:before="0" w:line="276"/>
      </w:pPr>
      <w:r>
        <w:rPr>
          <w:color w:val="222831"/>
          <w:sz w:val="21"/>
          <w:szCs w:val="21"/>
        </w:rPr>
        <w:t xml:space="preserve">Chaucer's model is service-oriented, and the framework is built around that choice rather than drifting toward microservices because they are fashionable. The distinction matters in practice. A service here is a coarse-grained, business-capability-aligned unit, "Policy", "Claims", "Client", with a clear contract and a named owner, exposed through the platform. It is not an entity- or table-level endpoint, and it is not one of dozens of fine-grained services chattering over a mesh.</w:t>
      </w:r>
    </w:p>
    <w:p>
      <w:pPr>
        <w:spacing w:after="120" w:before="0" w:line="276"/>
      </w:pPr>
      <w:r>
        <w:rPr>
          <w:color w:val="222831"/>
          <w:sz w:val="21"/>
          <w:szCs w:val="21"/>
        </w:rPr>
        <w:t xml:space="preserve">This shapes the whole catalogue. Orchestration is centralised and process-owned, not choreographed across services. Consistency across systems is handled with orchestrated compensation, not distributed sagas or two-phase commits. Composition assembles a coarse business object from a few reads, and if a design finds itself fanning out to many fine-grained calls, that is treated as a granularity problem to fix, not a pattern to build around. Where the two models would diverge, this framework takes the SOA path every time.</w:t>
      </w:r>
    </w:p>
    <w:p>
      <w:pPr>
        <w:pStyle w:val="Heading2"/>
        <w:spacing w:after="100" w:before="220"/>
      </w:pPr>
      <w:r>
        <w:rPr>
          <w:b/>
          <w:bCs/>
          <w:color w:val="2E5496"/>
          <w:sz w:val="25"/>
          <w:szCs w:val="25"/>
        </w:rPr>
        <w:t xml:space="preserve">2.2 What counts as a service</w:t>
      </w:r>
    </w:p>
    <w:p>
      <w:pPr>
        <w:spacing w:after="120" w:before="0" w:line="276"/>
      </w:pPr>
      <w:r>
        <w:rPr>
          <w:color w:val="222831"/>
          <w:sz w:val="21"/>
          <w:szCs w:val="21"/>
        </w:rPr>
        <w:t xml:space="preserve">Because reuse is the point, it helps to be precise about the unit we are reusing. A service in this framework has four properties, and a design that is missing any of them is not yet a service.</w:t>
      </w:r>
    </w:p>
    <w:p>
      <w:pPr>
        <w:pStyle w:val="ListParagraph"/>
        <w:numPr>
          <w:ilvl w:val="0"/>
          <w:numId w:val="2"/>
        </w:numPr>
        <w:spacing w:after="50" w:line="268"/>
      </w:pPr>
      <w:r>
        <w:rPr>
          <w:color w:val="222831"/>
          <w:sz w:val="21"/>
          <w:szCs w:val="21"/>
        </w:rPr>
        <w:t xml:space="preserve">It is business-capability aligned and coarse-grained, it means something to the business, not just to a database.</w:t>
      </w:r>
    </w:p>
    <w:p>
      <w:pPr>
        <w:pStyle w:val="ListParagraph"/>
        <w:numPr>
          <w:ilvl w:val="0"/>
          <w:numId w:val="2"/>
        </w:numPr>
        <w:spacing w:after="50" w:line="268"/>
      </w:pPr>
      <w:r>
        <w:rPr>
          <w:color w:val="222831"/>
          <w:sz w:val="21"/>
          <w:szCs w:val="21"/>
        </w:rPr>
        <w:t xml:space="preserve">It has a versioned contract, an API definition or a published event schema, that consumers bind to, and that can evolve without breaking them.</w:t>
      </w:r>
    </w:p>
    <w:p>
      <w:pPr>
        <w:pStyle w:val="ListParagraph"/>
        <w:numPr>
          <w:ilvl w:val="0"/>
          <w:numId w:val="2"/>
        </w:numPr>
        <w:spacing w:after="50" w:line="268"/>
      </w:pPr>
      <w:r>
        <w:rPr>
          <w:color w:val="222831"/>
          <w:sz w:val="21"/>
          <w:szCs w:val="21"/>
        </w:rPr>
        <w:t xml:space="preserve">It has a named owner accountable for its behaviour, its SLA and its lifecycle, and it is managed on a service lifecycle rather than being abandoned at the end of a project.</w:t>
      </w:r>
    </w:p>
    <w:p>
      <w:pPr>
        <w:pStyle w:val="ListParagraph"/>
        <w:numPr>
          <w:ilvl w:val="0"/>
          <w:numId w:val="2"/>
        </w:numPr>
        <w:spacing w:after="50" w:line="268"/>
      </w:pPr>
      <w:r>
        <w:rPr>
          <w:color w:val="222831"/>
          <w:sz w:val="21"/>
          <w:szCs w:val="21"/>
        </w:rPr>
        <w:t xml:space="preserve">It is published and discoverable in the asset catalogue, so the next team finds it before building their own.</w:t>
      </w:r>
    </w:p>
    <w:p>
      <w:pPr>
        <w:spacing w:after="120" w:before="0" w:line="276"/>
      </w:pPr>
      <w:r>
        <w:rPr>
          <w:color w:val="222831"/>
          <w:sz w:val="21"/>
          <w:szCs w:val="21"/>
        </w:rPr>
        <w:t xml:space="preserve">The corollary is the integrate-before-build stance: a new requirement should first try to reuse or extend an existing service, then integrate an existing system, and only then justify building something new. That justification is a TDA conversation, not a default.</w:t>
      </w:r>
    </w:p>
    <w:p>
      <w:pPr>
        <w:pStyle w:val="Heading2"/>
        <w:spacing w:after="100" w:before="220"/>
      </w:pPr>
      <w:r>
        <w:rPr>
          <w:b/>
          <w:bCs/>
          <w:color w:val="2E5496"/>
          <w:sz w:val="25"/>
          <w:szCs w:val="25"/>
        </w:rPr>
        <w:t xml:space="preserve">2.3 Design tenets</w:t>
      </w:r>
    </w:p>
    <w:p>
      <w:pPr>
        <w:spacing w:after="120" w:before="0" w:line="276"/>
      </w:pPr>
      <w:r>
        <w:rPr>
          <w:color w:val="222831"/>
          <w:sz w:val="21"/>
          <w:szCs w:val="21"/>
        </w:rPr>
        <w:t xml:space="preserve">Everything in the catalogue is an expression of a small number of tenets. They are stated here in plain terms so the reasoning behind a pattern is never a mystery: mediate everything through the platform; couple loosely and lean asynchronous where you can; keep process control (Logic Apps) separate from business logic (Functions); expose just enough capability and never internal data models; secure every hop by design; make the platform resilient because it is mission-critical; and tie every integration to a real business outcome so we are not building interfaces for their own sake.</w:t>
      </w:r>
    </w:p>
    <w:p>
      <w:r>
        <w:br w:type="page"/>
      </w:r>
    </w:p>
    <w:p>
      <w:pPr>
        <w:pStyle w:val="Heading1"/>
        <w:spacing w:after="130" w:before="260"/>
      </w:pPr>
      <w:r>
        <w:rPr>
          <w:b/>
          <w:bCs/>
          <w:color w:val="1F3864"/>
          <w:sz w:val="30"/>
          <w:szCs w:val="30"/>
        </w:rPr>
        <w:t xml:space="preserve">3. Reference architecture</w:t>
      </w:r>
    </w:p>
    <w:p>
      <w:pPr>
        <w:pStyle w:val="Heading2"/>
        <w:spacing w:after="100" w:before="220"/>
      </w:pPr>
      <w:r>
        <w:rPr>
          <w:b/>
          <w:bCs/>
          <w:color w:val="2E5496"/>
          <w:sz w:val="25"/>
          <w:szCs w:val="25"/>
        </w:rPr>
        <w:t xml:space="preserve">3.1 The layered model</w:t>
      </w:r>
    </w:p>
    <w:p>
      <w:pPr>
        <w:spacing w:after="120" w:before="0" w:line="276"/>
      </w:pPr>
      <w:r>
        <w:rPr>
          <w:color w:val="222831"/>
          <w:sz w:val="21"/>
          <w:szCs w:val="21"/>
        </w:rPr>
        <w:t xml:space="preserve">The platform is organised into four layers plus a governed boundary to the data platform. Each layer has one job and maps to one set of Azure services, which is what keeps responsibilities, and the scope boundary, clear.</w:t>
      </w:r>
    </w:p>
    <w:p>
      <w:pPr>
        <w:spacing w:after="130" w:before="90"/>
        <w:jc w:val="center"/>
      </w:pPr>
      <w:r>
        <w:drawing>
          <wp:inline distT="0" distB="0" distL="0" distR="0">
            <wp:extent cx="51911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209925"/>
                    </a:xfrm>
                    <a:prstGeom prst="rect">
                      <a:avLst/>
                    </a:prstGeom>
                  </pic:spPr>
                </pic:pic>
              </a:graphicData>
            </a:graphic>
          </wp:inline>
        </w:drawing>
      </w:r>
    </w:p>
    <w:p>
      <w:pPr>
        <w:spacing w:after="120" w:before="0" w:line="276"/>
      </w:pPr>
      <w:r>
        <w:rPr>
          <w:color w:val="222831"/>
          <w:sz w:val="21"/>
          <w:szCs w:val="21"/>
        </w:rPr>
        <w:t xml:space="preserve">Requests enter only through the exposure layer. API Management is the single front door and is a shared, internal service; it is not internet-facing, so anything that must be reached from outside is fronted by Front Door with a WAF and DDoS protection first. Orchestration, when a process needs it, sits in Logic Apps (Standard) and holds control flow only. Asynchronous work, events and streams run through the messaging and eventing layer. Actual computation, transformation, validation, custom logic, lives in Functions. And bulk or analytical data does not belong in any of these layers; it crosses a defined boundary to Snowflake, in both directions, using the exchange patterns in Section 5.6.</w:t>
      </w:r>
    </w:p>
    <w:p>
      <w:pPr>
        <w:pStyle w:val="Heading2"/>
        <w:spacing w:after="100" w:before="220"/>
      </w:pPr>
      <w:r>
        <w:rPr>
          <w:b/>
          <w:bCs/>
          <w:color w:val="2E5496"/>
          <w:sz w:val="25"/>
          <w:szCs w:val="25"/>
        </w:rPr>
        <w:t xml:space="preserve">3.2 Choosing the messaging backbone: Service Bus, Event Grid or Event Hubs</w:t>
      </w:r>
    </w:p>
    <w:p>
      <w:pPr>
        <w:spacing w:after="120" w:before="0" w:line="276"/>
      </w:pPr>
      <w:r>
        <w:rPr>
          <w:color w:val="222831"/>
          <w:sz w:val="21"/>
          <w:szCs w:val="21"/>
        </w:rPr>
        <w:t xml:space="preserve">Three services cover asynchronous and event-driven integration, and picking the wrong one is one of the more common and costly mistakes. They are not interchangeable. The rationale for each, and where the lines fall, is below.</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700"/>
        <w:gridCol w:w="2620"/>
        <w:gridCol w:w="2520"/>
        <w:gridCol w:w="2520"/>
      </w:tblGrid>
      <w:tr>
        <w:trPr>
          <w:tblHeader/>
        </w:trPr>
        <w:tc>
          <w:tcPr>
            <w:tcW w:type="dxa" w:w="1700"/>
            <w:shd w:fill="24446E" w:color="auto" w:val="clear"/>
            <w:tcMar>
              <w:top w:type="dxa" w:w="70"/>
              <w:left w:type="dxa" w:w="110"/>
              <w:bottom w:type="dxa" w:w="70"/>
              <w:right w:type="dxa" w:w="110"/>
            </w:tcMar>
          </w:tcPr>
          <w:p>
            <w:r>
              <w:rPr>
                <w:b/>
                <w:bCs/>
                <w:color w:val="FFFFFF"/>
                <w:sz w:val="18"/>
                <w:szCs w:val="18"/>
              </w:rPr>
              <w:t xml:space="preserve">Aspect</w:t>
            </w:r>
          </w:p>
        </w:tc>
        <w:tc>
          <w:tcPr>
            <w:tcW w:type="dxa" w:w="2620"/>
            <w:shd w:fill="24446E" w:color="auto" w:val="clear"/>
            <w:tcMar>
              <w:top w:type="dxa" w:w="70"/>
              <w:left w:type="dxa" w:w="110"/>
              <w:bottom w:type="dxa" w:w="70"/>
              <w:right w:type="dxa" w:w="110"/>
            </w:tcMar>
          </w:tcPr>
          <w:p>
            <w:r>
              <w:rPr>
                <w:b/>
                <w:bCs/>
                <w:color w:val="FFFFFF"/>
                <w:sz w:val="18"/>
                <w:szCs w:val="18"/>
              </w:rPr>
              <w:t xml:space="preserve">Service Bus</w:t>
            </w:r>
          </w:p>
        </w:tc>
        <w:tc>
          <w:tcPr>
            <w:tcW w:type="dxa" w:w="2520"/>
            <w:shd w:fill="24446E" w:color="auto" w:val="clear"/>
            <w:tcMar>
              <w:top w:type="dxa" w:w="70"/>
              <w:left w:type="dxa" w:w="110"/>
              <w:bottom w:type="dxa" w:w="70"/>
              <w:right w:type="dxa" w:w="110"/>
            </w:tcMar>
          </w:tcPr>
          <w:p>
            <w:r>
              <w:rPr>
                <w:b/>
                <w:bCs/>
                <w:color w:val="FFFFFF"/>
                <w:sz w:val="18"/>
                <w:szCs w:val="18"/>
              </w:rPr>
              <w:t xml:space="preserve">Event Grid</w:t>
            </w:r>
          </w:p>
        </w:tc>
        <w:tc>
          <w:tcPr>
            <w:tcW w:type="dxa" w:w="2520"/>
            <w:shd w:fill="24446E" w:color="auto" w:val="clear"/>
            <w:tcMar>
              <w:top w:type="dxa" w:w="70"/>
              <w:left w:type="dxa" w:w="110"/>
              <w:bottom w:type="dxa" w:w="70"/>
              <w:right w:type="dxa" w:w="110"/>
            </w:tcMar>
          </w:tcPr>
          <w:p>
            <w:r>
              <w:rPr>
                <w:b/>
                <w:bCs/>
                <w:color w:val="FFFFFF"/>
                <w:sz w:val="18"/>
                <w:szCs w:val="18"/>
              </w:rPr>
              <w:t xml:space="preserve">Event Hubs</w:t>
            </w:r>
          </w:p>
        </w:tc>
      </w:tr>
      <w:tr>
        <w:tc>
          <w:tcPr>
            <w:tcW w:type="dxa" w:w="1700"/>
            <w:shd w:fill="FFFFFF" w:color="auto" w:val="clear"/>
            <w:tcMar>
              <w:top w:type="dxa" w:w="70"/>
              <w:left w:type="dxa" w:w="110"/>
              <w:bottom w:type="dxa" w:w="70"/>
              <w:right w:type="dxa" w:w="110"/>
            </w:tcMar>
            <w:vAlign w:val="center"/>
          </w:tcPr>
          <w:p>
            <w:pPr>
              <w:spacing w:after="10" w:line="258"/>
            </w:pPr>
            <w:r>
              <w:rPr>
                <w:sz w:val="18"/>
                <w:szCs w:val="18"/>
              </w:rPr>
              <w:t xml:space="preserve">What it is for</w:t>
            </w:r>
          </w:p>
        </w:tc>
        <w:tc>
          <w:tcPr>
            <w:tcW w:type="dxa" w:w="2620"/>
            <w:shd w:fill="FFFFFF" w:color="auto" w:val="clear"/>
            <w:tcMar>
              <w:top w:type="dxa" w:w="70"/>
              <w:left w:type="dxa" w:w="110"/>
              <w:bottom w:type="dxa" w:w="70"/>
              <w:right w:type="dxa" w:w="110"/>
            </w:tcMar>
            <w:vAlign w:val="center"/>
          </w:tcPr>
          <w:p>
            <w:pPr>
              <w:spacing w:after="10" w:line="258"/>
            </w:pPr>
            <w:r>
              <w:rPr>
                <w:sz w:val="18"/>
                <w:szCs w:val="18"/>
              </w:rPr>
              <w:t xml:space="preserve">Reliable messaging and commands; durable pub/sub between systems.</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Lightweight reactive event notification and routing.</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High-throughput ingestion of event streams and telemetry.</w:t>
            </w:r>
          </w:p>
        </w:tc>
      </w:tr>
      <w:tr>
        <w:tc>
          <w:tcPr>
            <w:tcW w:type="dxa" w:w="1700"/>
            <w:shd w:fill="F4F6FA" w:color="auto" w:val="clear"/>
            <w:tcMar>
              <w:top w:type="dxa" w:w="70"/>
              <w:left w:type="dxa" w:w="110"/>
              <w:bottom w:type="dxa" w:w="70"/>
              <w:right w:type="dxa" w:w="110"/>
            </w:tcMar>
            <w:vAlign w:val="center"/>
          </w:tcPr>
          <w:p>
            <w:pPr>
              <w:spacing w:after="10" w:line="258"/>
            </w:pPr>
            <w:r>
              <w:rPr>
                <w:sz w:val="18"/>
                <w:szCs w:val="18"/>
              </w:rPr>
              <w:t xml:space="preserve">Nature of a message</w:t>
            </w:r>
          </w:p>
        </w:tc>
        <w:tc>
          <w:tcPr>
            <w:tcW w:type="dxa" w:w="2620"/>
            <w:shd w:fill="F4F6FA" w:color="auto" w:val="clear"/>
            <w:tcMar>
              <w:top w:type="dxa" w:w="70"/>
              <w:left w:type="dxa" w:w="110"/>
              <w:bottom w:type="dxa" w:w="70"/>
              <w:right w:type="dxa" w:w="110"/>
            </w:tcMar>
            <w:vAlign w:val="center"/>
          </w:tcPr>
          <w:p>
            <w:pPr>
              <w:spacing w:after="10" w:line="258"/>
            </w:pPr>
            <w:r>
              <w:rPr>
                <w:sz w:val="18"/>
                <w:szCs w:val="18"/>
              </w:rPr>
              <w:t xml:space="preserve">A business message or command that must be processed.</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A thin "this happened" signal; a pointer, not state.</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One record in a continuous, high-volume stream.</w:t>
            </w:r>
          </w:p>
        </w:tc>
      </w:tr>
      <w:tr>
        <w:tc>
          <w:tcPr>
            <w:tcW w:type="dxa" w:w="1700"/>
            <w:shd w:fill="FFFFFF" w:color="auto" w:val="clear"/>
            <w:tcMar>
              <w:top w:type="dxa" w:w="70"/>
              <w:left w:type="dxa" w:w="110"/>
              <w:bottom w:type="dxa" w:w="70"/>
              <w:right w:type="dxa" w:w="110"/>
            </w:tcMar>
            <w:vAlign w:val="center"/>
          </w:tcPr>
          <w:p>
            <w:pPr>
              <w:spacing w:after="10" w:line="258"/>
            </w:pPr>
            <w:r>
              <w:rPr>
                <w:sz w:val="18"/>
                <w:szCs w:val="18"/>
              </w:rPr>
              <w:t xml:space="preserve">Delivery &amp; ordering</w:t>
            </w:r>
          </w:p>
        </w:tc>
        <w:tc>
          <w:tcPr>
            <w:tcW w:type="dxa" w:w="2620"/>
            <w:shd w:fill="FFFFFF" w:color="auto" w:val="clear"/>
            <w:tcMar>
              <w:top w:type="dxa" w:w="70"/>
              <w:left w:type="dxa" w:w="110"/>
              <w:bottom w:type="dxa" w:w="70"/>
              <w:right w:type="dxa" w:w="110"/>
            </w:tcMar>
            <w:vAlign w:val="center"/>
          </w:tcPr>
          <w:p>
            <w:pPr>
              <w:spacing w:after="10" w:line="258"/>
            </w:pPr>
            <w:r>
              <w:rPr>
                <w:sz w:val="18"/>
                <w:szCs w:val="18"/>
              </w:rPr>
              <w:t xml:space="preserve">At-least-once; ordering via sessions; per-message dead-lettering; duplicate detection.</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At-least-once; unordered; dead-letter to storage.</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At-least-once; ordering within a partition; consumer checkpoints.</w:t>
            </w:r>
          </w:p>
        </w:tc>
      </w:tr>
      <w:tr>
        <w:tc>
          <w:tcPr>
            <w:tcW w:type="dxa" w:w="1700"/>
            <w:shd w:fill="F4F6FA" w:color="auto" w:val="clear"/>
            <w:tcMar>
              <w:top w:type="dxa" w:w="70"/>
              <w:left w:type="dxa" w:w="110"/>
              <w:bottom w:type="dxa" w:w="70"/>
              <w:right w:type="dxa" w:w="110"/>
            </w:tcMar>
            <w:vAlign w:val="center"/>
          </w:tcPr>
          <w:p>
            <w:pPr>
              <w:spacing w:after="10" w:line="258"/>
            </w:pPr>
            <w:r>
              <w:rPr>
                <w:sz w:val="18"/>
                <w:szCs w:val="18"/>
              </w:rPr>
              <w:t xml:space="preserve">Throughput shape</w:t>
            </w:r>
          </w:p>
        </w:tc>
        <w:tc>
          <w:tcPr>
            <w:tcW w:type="dxa" w:w="2620"/>
            <w:shd w:fill="F4F6FA" w:color="auto" w:val="clear"/>
            <w:tcMar>
              <w:top w:type="dxa" w:w="70"/>
              <w:left w:type="dxa" w:w="110"/>
              <w:bottom w:type="dxa" w:w="70"/>
              <w:right w:type="dxa" w:w="110"/>
            </w:tcMar>
            <w:vAlign w:val="center"/>
          </w:tcPr>
          <w:p>
            <w:pPr>
              <w:spacing w:after="10" w:line="258"/>
            </w:pPr>
            <w:r>
              <w:rPr>
                <w:sz w:val="18"/>
                <w:szCs w:val="18"/>
              </w:rPr>
              <w:t xml:space="preserve">Moderate, transactional.</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Reactive, event-by-event.</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Very high, sustained (thousands+/sec).</w:t>
            </w:r>
          </w:p>
        </w:tc>
      </w:tr>
      <w:tr>
        <w:tc>
          <w:tcPr>
            <w:tcW w:type="dxa" w:w="1700"/>
            <w:shd w:fill="FFFFFF" w:color="auto" w:val="clear"/>
            <w:tcMar>
              <w:top w:type="dxa" w:w="70"/>
              <w:left w:type="dxa" w:w="110"/>
              <w:bottom w:type="dxa" w:w="70"/>
              <w:right w:type="dxa" w:w="110"/>
            </w:tcMar>
            <w:vAlign w:val="center"/>
          </w:tcPr>
          <w:p>
            <w:pPr>
              <w:spacing w:after="10" w:line="258"/>
            </w:pPr>
            <w:r>
              <w:rPr>
                <w:sz w:val="18"/>
                <w:szCs w:val="18"/>
              </w:rPr>
              <w:t xml:space="preserve">Use in the SIF for</w:t>
            </w:r>
          </w:p>
        </w:tc>
        <w:tc>
          <w:tcPr>
            <w:tcW w:type="dxa" w:w="2620"/>
            <w:shd w:fill="FFFFFF" w:color="auto" w:val="clear"/>
            <w:tcMar>
              <w:top w:type="dxa" w:w="70"/>
              <w:left w:type="dxa" w:w="110"/>
              <w:bottom w:type="dxa" w:w="70"/>
              <w:right w:type="dxa" w:w="110"/>
            </w:tcMar>
            <w:vAlign w:val="center"/>
          </w:tcPr>
          <w:p>
            <w:pPr>
              <w:spacing w:after="10" w:line="258"/>
            </w:pPr>
            <w:r>
              <w:rPr>
                <w:sz w:val="18"/>
                <w:szCs w:val="18"/>
              </w:rPr>
              <w:t xml:space="preserve">Load-levelling, competing consumers, reliable messaging, durable pub/sub fan-out.</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Discrete notifications, webhook routing, lightweight fan-out to Azure handlers.</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Feeds, telemetry, stream processing, analytics offload.</w:t>
            </w:r>
          </w:p>
        </w:tc>
      </w:tr>
      <w:tr>
        <w:tc>
          <w:tcPr>
            <w:tcW w:type="dxa" w:w="1700"/>
            <w:shd w:fill="F4F6FA" w:color="auto" w:val="clear"/>
            <w:tcMar>
              <w:top w:type="dxa" w:w="70"/>
              <w:left w:type="dxa" w:w="110"/>
              <w:bottom w:type="dxa" w:w="70"/>
              <w:right w:type="dxa" w:w="110"/>
            </w:tcMar>
            <w:vAlign w:val="center"/>
          </w:tcPr>
          <w:p>
            <w:pPr>
              <w:spacing w:after="10" w:line="258"/>
            </w:pPr>
            <w:r>
              <w:rPr>
                <w:sz w:val="18"/>
                <w:szCs w:val="18"/>
              </w:rPr>
              <w:t xml:space="preserve">Don't use it for</w:t>
            </w:r>
          </w:p>
        </w:tc>
        <w:tc>
          <w:tcPr>
            <w:tcW w:type="dxa" w:w="2620"/>
            <w:shd w:fill="F4F6FA" w:color="auto" w:val="clear"/>
            <w:tcMar>
              <w:top w:type="dxa" w:w="70"/>
              <w:left w:type="dxa" w:w="110"/>
              <w:bottom w:type="dxa" w:w="70"/>
              <w:right w:type="dxa" w:w="110"/>
            </w:tcMar>
            <w:vAlign w:val="center"/>
          </w:tcPr>
          <w:p>
            <w:pPr>
              <w:spacing w:after="10" w:line="258"/>
            </w:pPr>
            <w:r>
              <w:rPr>
                <w:sz w:val="18"/>
                <w:szCs w:val="18"/>
              </w:rPr>
              <w:t xml:space="preserve">Firehose telemetry volumes.</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Durable, ordered, competing-consumer business messaging.</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Transactional commands needing per-message DLQ and sessions.</w:t>
            </w:r>
          </w:p>
        </w:tc>
      </w:tr>
    </w:tbl>
    <w:p>
      <w:pPr>
        <w:spacing w:after="60" w:before="0" w:line="276"/>
      </w:pPr>
      <w:r>
        <w:rPr>
          <w:i/>
          <w:iCs/>
          <w:color w:val="5A6470"/>
          <w:sz w:val="21"/>
          <w:szCs w:val="21"/>
        </w:rPr>
        <w:t xml:space="preserve">A useful shorthand: if a message must be processed reliably and possibly in order, it is Service Bus; if it is a lightweight signal to react to, it is Event Grid; if it is a stream, it is Event Hubs.</w:t>
      </w:r>
    </w:p>
    <w:p>
      <w:pPr>
        <w:pStyle w:val="Heading2"/>
        <w:spacing w:after="100" w:before="220"/>
      </w:pPr>
      <w:r>
        <w:rPr>
          <w:b/>
          <w:bCs/>
          <w:color w:val="2E5496"/>
          <w:sz w:val="25"/>
          <w:szCs w:val="25"/>
        </w:rPr>
        <w:t xml:space="preserve">3.3 Connectivity, identity and secrets</w:t>
      </w:r>
    </w:p>
    <w:p>
      <w:pPr>
        <w:spacing w:after="120" w:before="0" w:line="276"/>
      </w:pPr>
      <w:r>
        <w:rPr>
          <w:color w:val="222831"/>
          <w:sz w:val="21"/>
          <w:szCs w:val="21"/>
        </w:rPr>
        <w:t xml:space="preserve">The platform lives on the Secure vWAN hub-and-spoke network and reaches its dependencies over Private Endpoints; storage and databases are not publicly reachable. Every service-to-service call authenticates with a Microsoft Entra managed identity under least-privilege RBAC, no account keys, no shared keys, no secret-bearing connection strings. Where a secret is unavoidable (a partner credential, say), it is held in Key Vault in the Cyber subscription and referenced, never copied into configuration. All channels are encrypted regardless of whether the network is private, because Zero Trust does not assume the network. None of this is optional per pattern; it is the floor, and Section 6 restates it as guardrails.</w:t>
      </w:r>
    </w:p>
    <w:p>
      <w:pPr>
        <w:pStyle w:val="Heading2"/>
        <w:spacing w:after="100" w:before="220"/>
      </w:pPr>
      <w:r>
        <w:rPr>
          <w:b/>
          <w:bCs/>
          <w:color w:val="2E5496"/>
          <w:sz w:val="25"/>
          <w:szCs w:val="25"/>
        </w:rPr>
        <w:t xml:space="preserve">3.4 Deployment and resilience</w:t>
      </w:r>
    </w:p>
    <w:p>
      <w:pPr>
        <w:spacing w:after="120" w:before="0" w:line="276"/>
      </w:pPr>
      <w:r>
        <w:rPr>
          <w:color w:val="222831"/>
          <w:sz w:val="21"/>
          <w:szCs w:val="21"/>
        </w:rPr>
        <w:t xml:space="preserve">The framework is delivered as one centralised, shared platform rather than as per-project instances. Centralisation is a principle, not a preference: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DevSecOps.</w:t>
      </w:r>
    </w:p>
    <w:p>
      <w:pPr>
        <w:spacing w:after="120" w:before="0" w:line="276"/>
      </w:pPr>
      <w:r>
        <w:rPr>
          <w:color w:val="222831"/>
          <w:sz w:val="21"/>
          <w:szCs w:val="21"/>
        </w:rPr>
        <w:t xml:space="preserve">Resilience is tiered by business criticality rather than applied as a single blanket, because reliability has a cost and not every integration warrants Tier 0 spend. Zone-redundancy within a region is the baseline everywhere; the cross-region posture is chosen per tier.</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300"/>
        <w:gridCol w:w="2500"/>
        <w:gridCol w:w="4560"/>
      </w:tblGrid>
      <w:tr>
        <w:trPr>
          <w:tblHeader/>
        </w:trPr>
        <w:tc>
          <w:tcPr>
            <w:tcW w:type="dxa" w:w="2300"/>
            <w:shd w:fill="24446E" w:color="auto" w:val="clear"/>
            <w:tcMar>
              <w:top w:type="dxa" w:w="70"/>
              <w:left w:type="dxa" w:w="110"/>
              <w:bottom w:type="dxa" w:w="70"/>
              <w:right w:type="dxa" w:w="110"/>
            </w:tcMar>
          </w:tcPr>
          <w:p>
            <w:r>
              <w:rPr>
                <w:b/>
                <w:bCs/>
                <w:color w:val="FFFFFF"/>
                <w:sz w:val="18"/>
                <w:szCs w:val="18"/>
              </w:rPr>
              <w:t xml:space="preserve">Tier</w:t>
            </w:r>
          </w:p>
        </w:tc>
        <w:tc>
          <w:tcPr>
            <w:tcW w:type="dxa" w:w="2500"/>
            <w:shd w:fill="24446E" w:color="auto" w:val="clear"/>
            <w:tcMar>
              <w:top w:type="dxa" w:w="70"/>
              <w:left w:type="dxa" w:w="110"/>
              <w:bottom w:type="dxa" w:w="70"/>
              <w:right w:type="dxa" w:w="110"/>
            </w:tcMar>
          </w:tcPr>
          <w:p>
            <w:r>
              <w:rPr>
                <w:b/>
                <w:bCs/>
                <w:color w:val="FFFFFF"/>
                <w:sz w:val="18"/>
                <w:szCs w:val="18"/>
              </w:rPr>
              <w:t xml:space="preserve">Posture</w:t>
            </w:r>
          </w:p>
        </w:tc>
        <w:tc>
          <w:tcPr>
            <w:tcW w:type="dxa" w:w="4560"/>
            <w:shd w:fill="24446E" w:color="auto" w:val="clear"/>
            <w:tcMar>
              <w:top w:type="dxa" w:w="70"/>
              <w:left w:type="dxa" w:w="110"/>
              <w:bottom w:type="dxa" w:w="70"/>
              <w:right w:type="dxa" w:w="110"/>
            </w:tcMar>
          </w:tcPr>
          <w:p>
            <w:r>
              <w:rPr>
                <w:b/>
                <w:bCs/>
                <w:color w:val="FFFFFF"/>
                <w:sz w:val="18"/>
                <w:szCs w:val="18"/>
              </w:rPr>
              <w:t xml:space="preserve">Approach</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Tier 0, mission-critical</w:t>
            </w:r>
          </w:p>
        </w:tc>
        <w:tc>
          <w:tcPr>
            <w:tcW w:type="dxa" w:w="2500"/>
            <w:shd w:fill="FFFFFF" w:color="auto" w:val="clear"/>
            <w:tcMar>
              <w:top w:type="dxa" w:w="70"/>
              <w:left w:type="dxa" w:w="110"/>
              <w:bottom w:type="dxa" w:w="70"/>
              <w:right w:type="dxa" w:w="110"/>
            </w:tcMar>
            <w:vAlign w:val="center"/>
          </w:tcPr>
          <w:p>
            <w:pPr>
              <w:spacing w:after="10" w:line="258"/>
            </w:pPr>
            <w:r>
              <w:rPr>
                <w:sz w:val="18"/>
                <w:szCs w:val="18"/>
              </w:rPr>
              <w:t xml:space="preserve">Active-active / hot standby</w:t>
            </w:r>
          </w:p>
        </w:tc>
        <w:tc>
          <w:tcPr>
            <w:tcW w:type="dxa" w:w="4560"/>
            <w:shd w:fill="FFFFFF" w:color="auto" w:val="clear"/>
            <w:tcMar>
              <w:top w:type="dxa" w:w="70"/>
              <w:left w:type="dxa" w:w="110"/>
              <w:bottom w:type="dxa" w:w="70"/>
              <w:right w:type="dxa" w:w="110"/>
            </w:tcMar>
            <w:vAlign w:val="center"/>
          </w:tcPr>
          <w:p>
            <w:pPr>
              <w:spacing w:after="10" w:line="258"/>
            </w:pPr>
            <w:r>
              <w:rPr>
                <w:sz w:val="18"/>
                <w:szCs w:val="18"/>
              </w:rPr>
              <w:t xml:space="preserve">Multi-region, fronted by Front Door / global load balancing; near-zero RTO/RPO where the service supports it.</w:t>
            </w:r>
          </w:p>
        </w:tc>
      </w:tr>
      <w:tr>
        <w:tc>
          <w:tcPr>
            <w:tcW w:type="dxa" w:w="2300"/>
            <w:shd w:fill="F4F6FA" w:color="auto" w:val="clear"/>
            <w:tcMar>
              <w:top w:type="dxa" w:w="70"/>
              <w:left w:type="dxa" w:w="110"/>
              <w:bottom w:type="dxa" w:w="70"/>
              <w:right w:type="dxa" w:w="110"/>
            </w:tcMar>
            <w:vAlign w:val="center"/>
          </w:tcPr>
          <w:p>
            <w:pPr>
              <w:spacing w:after="10" w:line="258"/>
            </w:pPr>
            <w:r>
              <w:rPr>
                <w:sz w:val="18"/>
                <w:szCs w:val="18"/>
              </w:rPr>
              <w:t xml:space="preserve">Tier 1, business-important</w:t>
            </w:r>
          </w:p>
        </w:tc>
        <w:tc>
          <w:tcPr>
            <w:tcW w:type="dxa" w:w="2500"/>
            <w:shd w:fill="F4F6FA" w:color="auto" w:val="clear"/>
            <w:tcMar>
              <w:top w:type="dxa" w:w="70"/>
              <w:left w:type="dxa" w:w="110"/>
              <w:bottom w:type="dxa" w:w="70"/>
              <w:right w:type="dxa" w:w="110"/>
            </w:tcMar>
            <w:vAlign w:val="center"/>
          </w:tcPr>
          <w:p>
            <w:pPr>
              <w:spacing w:after="10" w:line="258"/>
            </w:pPr>
            <w:r>
              <w:rPr>
                <w:sz w:val="18"/>
                <w:szCs w:val="18"/>
              </w:rPr>
              <w:t xml:space="preserve">Warm active-passive</w:t>
            </w:r>
          </w:p>
        </w:tc>
        <w:tc>
          <w:tcPr>
            <w:tcW w:type="dxa" w:w="4560"/>
            <w:shd w:fill="F4F6FA" w:color="auto" w:val="clear"/>
            <w:tcMar>
              <w:top w:type="dxa" w:w="70"/>
              <w:left w:type="dxa" w:w="110"/>
              <w:bottom w:type="dxa" w:w="70"/>
              <w:right w:type="dxa" w:w="110"/>
            </w:tcMar>
            <w:vAlign w:val="center"/>
          </w:tcPr>
          <w:p>
            <w:pPr>
              <w:spacing w:after="10" w:line="258"/>
            </w:pPr>
            <w:r>
              <w:rPr>
                <w:sz w:val="18"/>
                <w:szCs w:val="18"/>
              </w:rPr>
              <w:t xml:space="preserve">Secondary paired region kept warm; controlled failover; ASR where a service lacks native HA.</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Tier 2, standard</w:t>
            </w:r>
          </w:p>
        </w:tc>
        <w:tc>
          <w:tcPr>
            <w:tcW w:type="dxa" w:w="2500"/>
            <w:shd w:fill="FFFFFF" w:color="auto" w:val="clear"/>
            <w:tcMar>
              <w:top w:type="dxa" w:w="70"/>
              <w:left w:type="dxa" w:w="110"/>
              <w:bottom w:type="dxa" w:w="70"/>
              <w:right w:type="dxa" w:w="110"/>
            </w:tcMar>
            <w:vAlign w:val="center"/>
          </w:tcPr>
          <w:p>
            <w:pPr>
              <w:spacing w:after="10" w:line="258"/>
            </w:pPr>
            <w:r>
              <w:rPr>
                <w:sz w:val="18"/>
                <w:szCs w:val="18"/>
              </w:rPr>
              <w:t xml:space="preserve">Backup / restore</w:t>
            </w:r>
          </w:p>
        </w:tc>
        <w:tc>
          <w:tcPr>
            <w:tcW w:type="dxa" w:w="4560"/>
            <w:shd w:fill="FFFFFF" w:color="auto" w:val="clear"/>
            <w:tcMar>
              <w:top w:type="dxa" w:w="70"/>
              <w:left w:type="dxa" w:w="110"/>
              <w:bottom w:type="dxa" w:w="70"/>
              <w:right w:type="dxa" w:w="110"/>
            </w:tcMar>
            <w:vAlign w:val="center"/>
          </w:tcPr>
          <w:p>
            <w:pPr>
              <w:spacing w:after="10" w:line="258"/>
            </w:pPr>
            <w:r>
              <w:rPr>
                <w:sz w:val="18"/>
                <w:szCs w:val="18"/>
              </w:rPr>
              <w:t xml:space="preserve">Redundant storage (ZRS/GRS) and re-provision from IaC; a higher RTO is acceptable.</w:t>
            </w:r>
          </w:p>
        </w:tc>
      </w:tr>
    </w:tbl>
    <w:p>
      <w:pPr>
        <w:spacing w:after="40"/>
      </w:pPr>
    </w:p>
    <w:p>
      <w:pPr>
        <w:spacing w:after="120" w:before="0" w:line="276"/>
      </w:pPr>
      <w:r>
        <w:rPr>
          <w:color w:val="222831"/>
          <w:sz w:val="21"/>
          <w:szCs w:val="21"/>
        </w:rPr>
        <w:t xml:space="preserve">A note that is easy to miss: Logic Apps (Standard) run history is region-bound, so orchestration DR is active-passive and in-flight runs do not migrate automatically, orchestration steps must be idempotent and restartable. Service Bus and Event Hubs use their Premium geo-DR/geo-replication with alias failover; API Management Premium runs multi-region gateways; Key Vault replicates to its paired region automatically. Security posture is identical in DR, a failover is not a drop in control.</w:t>
      </w:r>
    </w:p>
    <w:p>
      <w:pPr>
        <w:pStyle w:val="Heading2"/>
        <w:spacing w:after="100" w:before="220"/>
      </w:pPr>
      <w:r>
        <w:rPr>
          <w:b/>
          <w:bCs/>
          <w:color w:val="2E5496"/>
          <w:sz w:val="25"/>
          <w:szCs w:val="25"/>
        </w:rPr>
        <w:t xml:space="preserve">3.5 Security zones and trust boundaries</w:t>
      </w:r>
    </w:p>
    <w:p>
      <w:pPr>
        <w:spacing w:after="120" w:before="0" w:line="276"/>
      </w:pPr>
      <w:r>
        <w:rPr>
          <w:color w:val="222831"/>
          <w:sz w:val="21"/>
          <w:szCs w:val="21"/>
        </w:rPr>
        <w:t xml:space="preserve">Security is the principle this organisation takes most seriously, so this section sets out the zones and boundaries once and holds every pattern to them. The framework is default-deny and private-by-default: the overwhelming majority of integration never touches the internet, and the small number of flows that must are forced through a single, hardened edge. The diagram shows where components live and where the one hard boundary sits.</w:t>
      </w:r>
    </w:p>
    <w:p>
      <w:pPr>
        <w:spacing w:after="130" w:before="90"/>
        <w:jc w:val="center"/>
      </w:pPr>
      <w:r>
        <w:drawing>
          <wp:inline distT="0" distB="0" distL="0" distR="0">
            <wp:extent cx="51911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2143125"/>
                    </a:xfrm>
                    <a:prstGeom prst="rect">
                      <a:avLst/>
                    </a:prstGeom>
                  </pic:spPr>
                </pic:pic>
              </a:graphicData>
            </a:graphic>
          </wp:inline>
        </w:drawing>
      </w:r>
    </w:p>
    <w:p>
      <w:pPr>
        <w:spacing w:after="120" w:before="0" w:line="276"/>
      </w:pPr>
      <w:r>
        <w:rPr>
          <w:color w:val="222831"/>
          <w:sz w:val="21"/>
          <w:szCs w:val="21"/>
        </w:rPr>
        <w:t xml:space="preserve">Three landing-zone boundaries matter, and every pattern in Section 5 is described against them:</w:t>
      </w:r>
    </w:p>
    <w:p>
      <w:pPr>
        <w:pStyle w:val="ListParagraph"/>
        <w:numPr>
          <w:ilvl w:val="0"/>
          <w:numId w:val="2"/>
        </w:numPr>
        <w:spacing w:after="50" w:line="268"/>
      </w:pPr>
      <w:r>
        <w:rPr>
          <w:color w:val="222831"/>
          <w:sz w:val="21"/>
          <w:szCs w:val="21"/>
        </w:rPr>
        <w:t xml:space="preserve">The internet boundary. This is the only boundary that faces untrusted networks, and it is crossed in one place only, the online subscription, behind Azure Front Door with a WAF and DDoS Protection Standard, terminating at API Management as the single ingress. Public-facing services live only in the online subscription; APIM itself is a shared, non-public service. Most patterns never cross this boundary at all.</w:t>
      </w:r>
    </w:p>
    <w:p>
      <w:pPr>
        <w:pStyle w:val="ListParagraph"/>
        <w:numPr>
          <w:ilvl w:val="0"/>
          <w:numId w:val="2"/>
        </w:numPr>
        <w:spacing w:after="50" w:line="268"/>
      </w:pPr>
      <w:r>
        <w:rPr>
          <w:color w:val="222831"/>
          <w:sz w:val="21"/>
          <w:szCs w:val="21"/>
        </w:rPr>
        <w:t xml:space="preserve">Boundaries within Azure. Between the edge, the shared APIM subscription, the workload spokes and the Cyber subscription, traffic moves over the Secure vWAN with NSG segmentation and reaches every dependency over a Private Endpoint. Nothing authenticates with a key: every hop uses a Microsoft Entra managed identity with least-privilege RBAC, secrets (where truly unavoidable) are Key Vault references from the Cyber subscription, and TLS is applied on every hop regardless of how private the path is, Zero Trust does not trust the network.</w:t>
      </w:r>
    </w:p>
    <w:p>
      <w:pPr>
        <w:pStyle w:val="ListParagraph"/>
        <w:numPr>
          <w:ilvl w:val="0"/>
          <w:numId w:val="2"/>
        </w:numPr>
        <w:spacing w:after="50" w:line="268"/>
      </w:pPr>
      <w:r>
        <w:rPr>
          <w:color w:val="222831"/>
          <w:sz w:val="21"/>
          <w:szCs w:val="21"/>
        </w:rPr>
        <w:t xml:space="preserve">The boundary to systems and the data platform outside the SIF. Backends, on-premises systems and Snowflake are reached over Private Endpoints or Private Link, never the public internet; where a partner cannot be reached privately (an internet-only SFTP or webhook), that traffic is pulled back through the edge above and the exposure is a registered, time-boxed exception.</w:t>
      </w:r>
    </w:p>
    <w:p>
      <w:pPr>
        <w:spacing w:after="120" w:before="0" w:line="276"/>
      </w:pPr>
      <w:r>
        <w:rPr>
          <w:color w:val="222831"/>
          <w:sz w:val="21"/>
          <w:szCs w:val="21"/>
        </w:rPr>
        <w:t xml:space="preserve">Each pattern below therefore carries an explicit Security boundary note answering three questions: which zone its components sit in and whether the flow crosses the internet boundary; how it is secured within Azure; and how it is secured across any boundary outside Azure. Section 6.4 then rolls these up into a per-pattern conformance view for TDA.</w:t>
      </w:r>
    </w:p>
    <w:p>
      <w:pPr>
        <w:pStyle w:val="Heading2"/>
        <w:spacing w:after="100" w:before="220"/>
      </w:pPr>
      <w:r>
        <w:rPr>
          <w:b/>
          <w:bCs/>
          <w:color w:val="2E5496"/>
          <w:sz w:val="25"/>
          <w:szCs w:val="25"/>
        </w:rPr>
        <w:t xml:space="preserve">3.6 Data protection: encryption and classification</w:t>
      </w:r>
    </w:p>
    <w:p>
      <w:pPr>
        <w:spacing w:after="120" w:before="0" w:line="276"/>
      </w:pPr>
      <w:r>
        <w:rPr>
          <w:color w:val="222831"/>
          <w:sz w:val="21"/>
          <w:szCs w:val="21"/>
        </w:rPr>
        <w:t xml:space="preserve">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pPr>
        <w:spacing w:after="120" w:before="0" w:line="276"/>
      </w:pPr>
      <w:r>
        <w:rPr>
          <w:color w:val="222831"/>
          <w:sz w:val="21"/>
          <w:szCs w:val="21"/>
        </w:rPr>
        <w:t xml:space="preserve">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pPr>
        <w:spacing w:after="120" w:before="0" w:line="276"/>
      </w:pPr>
      <w:r>
        <w:rPr>
          <w:color w:val="222831"/>
          <w:sz w:val="21"/>
          <w:szCs w:val="21"/>
        </w:rPr>
        <w:t xml:space="preserve">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pPr>
        <w:spacing w:after="120" w:before="0" w:line="276"/>
      </w:pPr>
      <w:r>
        <w:rPr>
          <w:color w:val="222831"/>
          <w:sz w:val="21"/>
          <w:szCs w:val="21"/>
        </w:rPr>
        <w:t xml:space="preserve">Data is classified and handled to its tier, and the framework carries only the minimum it needs, it never moves or exposes internal data models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350"/>
        <w:gridCol w:w="3350"/>
        <w:gridCol w:w="3660"/>
      </w:tblGrid>
      <w:tr>
        <w:trPr>
          <w:tblHeader/>
        </w:trPr>
        <w:tc>
          <w:tcPr>
            <w:tcW w:type="dxa" w:w="2350"/>
            <w:shd w:fill="24446E" w:color="auto" w:val="clear"/>
            <w:tcMar>
              <w:top w:type="dxa" w:w="70"/>
              <w:left w:type="dxa" w:w="110"/>
              <w:bottom w:type="dxa" w:w="70"/>
              <w:right w:type="dxa" w:w="110"/>
            </w:tcMar>
          </w:tcPr>
          <w:p>
            <w:r>
              <w:rPr>
                <w:b/>
                <w:bCs/>
                <w:color w:val="FFFFFF"/>
                <w:sz w:val="18"/>
                <w:szCs w:val="18"/>
              </w:rPr>
              <w:t xml:space="preserve">Classification tier</w:t>
            </w:r>
          </w:p>
        </w:tc>
        <w:tc>
          <w:tcPr>
            <w:tcW w:type="dxa" w:w="3350"/>
            <w:shd w:fill="24446E" w:color="auto" w:val="clear"/>
            <w:tcMar>
              <w:top w:type="dxa" w:w="70"/>
              <w:left w:type="dxa" w:w="110"/>
              <w:bottom w:type="dxa" w:w="70"/>
              <w:right w:type="dxa" w:w="110"/>
            </w:tcMar>
          </w:tcPr>
          <w:p>
            <w:r>
              <w:rPr>
                <w:b/>
                <w:bCs/>
                <w:color w:val="FFFFFF"/>
                <w:sz w:val="18"/>
                <w:szCs w:val="18"/>
              </w:rPr>
              <w:t xml:space="preserve">Examples in this estate</w:t>
            </w:r>
          </w:p>
        </w:tc>
        <w:tc>
          <w:tcPr>
            <w:tcW w:type="dxa" w:w="3660"/>
            <w:shd w:fill="24446E" w:color="auto" w:val="clear"/>
            <w:tcMar>
              <w:top w:type="dxa" w:w="70"/>
              <w:left w:type="dxa" w:w="110"/>
              <w:bottom w:type="dxa" w:w="70"/>
              <w:right w:type="dxa" w:w="110"/>
            </w:tcMar>
          </w:tcPr>
          <w:p>
            <w:r>
              <w:rPr>
                <w:b/>
                <w:bCs/>
                <w:color w:val="FFFFFF"/>
                <w:sz w:val="18"/>
                <w:szCs w:val="18"/>
              </w:rPr>
              <w:t xml:space="preserve">Handling</w:t>
            </w:r>
          </w:p>
        </w:tc>
      </w:tr>
      <w:tr>
        <w:tc>
          <w:tcPr>
            <w:tcW w:type="dxa" w:w="2350"/>
            <w:shd w:fill="FFFFFF" w:color="auto" w:val="clear"/>
            <w:tcMar>
              <w:top w:type="dxa" w:w="70"/>
              <w:left w:type="dxa" w:w="110"/>
              <w:bottom w:type="dxa" w:w="70"/>
              <w:right w:type="dxa" w:w="110"/>
            </w:tcMar>
            <w:vAlign w:val="center"/>
          </w:tcPr>
          <w:p>
            <w:pPr>
              <w:spacing w:after="10" w:line="258"/>
            </w:pPr>
            <w:r>
              <w:rPr>
                <w:sz w:val="18"/>
                <w:szCs w:val="18"/>
              </w:rPr>
              <w:t xml:space="preserve">Public</w:t>
            </w:r>
          </w:p>
        </w:tc>
        <w:tc>
          <w:tcPr>
            <w:tcW w:type="dxa" w:w="3350"/>
            <w:shd w:fill="FFFFFF" w:color="auto" w:val="clear"/>
            <w:tcMar>
              <w:top w:type="dxa" w:w="70"/>
              <w:left w:type="dxa" w:w="110"/>
              <w:bottom w:type="dxa" w:w="70"/>
              <w:right w:type="dxa" w:w="110"/>
            </w:tcMar>
            <w:vAlign w:val="center"/>
          </w:tcPr>
          <w:p>
            <w:pPr>
              <w:spacing w:after="10" w:line="258"/>
            </w:pPr>
            <w:r>
              <w:rPr>
                <w:sz w:val="18"/>
                <w:szCs w:val="18"/>
              </w:rPr>
              <w:t xml:space="preserve">Published rates, public policy documents.</w:t>
            </w:r>
          </w:p>
        </w:tc>
        <w:tc>
          <w:tcPr>
            <w:tcW w:type="dxa" w:w="3660"/>
            <w:shd w:fill="FFFFFF" w:color="auto" w:val="clear"/>
            <w:tcMar>
              <w:top w:type="dxa" w:w="70"/>
              <w:left w:type="dxa" w:w="110"/>
              <w:bottom w:type="dxa" w:w="70"/>
              <w:right w:type="dxa" w:w="110"/>
            </w:tcMar>
            <w:vAlign w:val="center"/>
          </w:tcPr>
          <w:p>
            <w:pPr>
              <w:spacing w:after="10" w:line="258"/>
            </w:pPr>
            <w:r>
              <w:rPr>
                <w:sz w:val="18"/>
                <w:szCs w:val="18"/>
              </w:rPr>
              <w:t xml:space="preserve">Standard controls; may be served externally through the edge.</w:t>
            </w:r>
          </w:p>
        </w:tc>
      </w:tr>
      <w:tr>
        <w:tc>
          <w:tcPr>
            <w:tcW w:type="dxa" w:w="2350"/>
            <w:shd w:fill="F4F6FA" w:color="auto" w:val="clear"/>
            <w:tcMar>
              <w:top w:type="dxa" w:w="70"/>
              <w:left w:type="dxa" w:w="110"/>
              <w:bottom w:type="dxa" w:w="70"/>
              <w:right w:type="dxa" w:w="110"/>
            </w:tcMar>
            <w:vAlign w:val="center"/>
          </w:tcPr>
          <w:p>
            <w:pPr>
              <w:spacing w:after="10" w:line="258"/>
            </w:pPr>
            <w:r>
              <w:rPr>
                <w:sz w:val="18"/>
                <w:szCs w:val="18"/>
              </w:rPr>
              <w:t xml:space="preserve">Internal</w:t>
            </w:r>
          </w:p>
        </w:tc>
        <w:tc>
          <w:tcPr>
            <w:tcW w:type="dxa" w:w="3350"/>
            <w:shd w:fill="F4F6FA" w:color="auto" w:val="clear"/>
            <w:tcMar>
              <w:top w:type="dxa" w:w="70"/>
              <w:left w:type="dxa" w:w="110"/>
              <w:bottom w:type="dxa" w:w="70"/>
              <w:right w:type="dxa" w:w="110"/>
            </w:tcMar>
            <w:vAlign w:val="center"/>
          </w:tcPr>
          <w:p>
            <w:pPr>
              <w:spacing w:after="10" w:line="258"/>
            </w:pPr>
            <w:r>
              <w:rPr>
                <w:sz w:val="18"/>
                <w:szCs w:val="18"/>
              </w:rPr>
              <w:t xml:space="preserve">Operational metadata, non-personal business data.</w:t>
            </w:r>
          </w:p>
        </w:tc>
        <w:tc>
          <w:tcPr>
            <w:tcW w:type="dxa" w:w="3660"/>
            <w:shd w:fill="F4F6FA" w:color="auto" w:val="clear"/>
            <w:tcMar>
              <w:top w:type="dxa" w:w="70"/>
              <w:left w:type="dxa" w:w="110"/>
              <w:bottom w:type="dxa" w:w="70"/>
              <w:right w:type="dxa" w:w="110"/>
            </w:tcMar>
            <w:vAlign w:val="center"/>
          </w:tcPr>
          <w:p>
            <w:pPr>
              <w:spacing w:after="10" w:line="258"/>
            </w:pPr>
            <w:r>
              <w:rPr>
                <w:sz w:val="18"/>
                <w:szCs w:val="18"/>
              </w:rPr>
              <w:t xml:space="preserve">Entra + least privilege; not exposed externally; private-only.</w:t>
            </w:r>
          </w:p>
        </w:tc>
      </w:tr>
      <w:tr>
        <w:tc>
          <w:tcPr>
            <w:tcW w:type="dxa" w:w="2350"/>
            <w:shd w:fill="FFFFFF" w:color="auto" w:val="clear"/>
            <w:tcMar>
              <w:top w:type="dxa" w:w="70"/>
              <w:left w:type="dxa" w:w="110"/>
              <w:bottom w:type="dxa" w:w="70"/>
              <w:right w:type="dxa" w:w="110"/>
            </w:tcMar>
            <w:vAlign w:val="center"/>
          </w:tcPr>
          <w:p>
            <w:pPr>
              <w:spacing w:after="10" w:line="258"/>
            </w:pPr>
            <w:r>
              <w:rPr>
                <w:sz w:val="18"/>
                <w:szCs w:val="18"/>
              </w:rPr>
              <w:t xml:space="preserve">Confidential (PII)</w:t>
            </w:r>
          </w:p>
        </w:tc>
        <w:tc>
          <w:tcPr>
            <w:tcW w:type="dxa" w:w="3350"/>
            <w:shd w:fill="FFFFFF" w:color="auto" w:val="clear"/>
            <w:tcMar>
              <w:top w:type="dxa" w:w="70"/>
              <w:left w:type="dxa" w:w="110"/>
              <w:bottom w:type="dxa" w:w="70"/>
              <w:right w:type="dxa" w:w="110"/>
            </w:tcMar>
            <w:vAlign w:val="center"/>
          </w:tcPr>
          <w:p>
            <w:pPr>
              <w:spacing w:after="10" w:line="258"/>
            </w:pPr>
            <w:r>
              <w:rPr>
                <w:sz w:val="18"/>
                <w:szCs w:val="18"/>
              </w:rPr>
              <w:t xml:space="preserve">Claimant and insured personal data, policy and claim details.</w:t>
            </w:r>
          </w:p>
        </w:tc>
        <w:tc>
          <w:tcPr>
            <w:tcW w:type="dxa" w:w="3660"/>
            <w:shd w:fill="FFFFFF" w:color="auto" w:val="clear"/>
            <w:tcMar>
              <w:top w:type="dxa" w:w="70"/>
              <w:left w:type="dxa" w:w="110"/>
              <w:bottom w:type="dxa" w:w="70"/>
              <w:right w:type="dxa" w:w="110"/>
            </w:tcMar>
            <w:vAlign w:val="center"/>
          </w:tcPr>
          <w:p>
            <w:pPr>
              <w:spacing w:after="10" w:line="258"/>
            </w:pPr>
            <w:r>
              <w:rPr>
                <w:sz w:val="18"/>
                <w:szCs w:val="18"/>
              </w:rPr>
              <w:t xml:space="preserve">Minimise; Private Endpoint; encrypted; access logged; pseudonymise before analytics.</w:t>
            </w:r>
          </w:p>
        </w:tc>
      </w:tr>
      <w:tr>
        <w:tc>
          <w:tcPr>
            <w:tcW w:type="dxa" w:w="2350"/>
            <w:shd w:fill="F4F6FA" w:color="auto" w:val="clear"/>
            <w:tcMar>
              <w:top w:type="dxa" w:w="70"/>
              <w:left w:type="dxa" w:w="110"/>
              <w:bottom w:type="dxa" w:w="70"/>
              <w:right w:type="dxa" w:w="110"/>
            </w:tcMar>
            <w:vAlign w:val="center"/>
          </w:tcPr>
          <w:p>
            <w:pPr>
              <w:spacing w:after="10" w:line="258"/>
            </w:pPr>
            <w:r>
              <w:rPr>
                <w:sz w:val="18"/>
                <w:szCs w:val="18"/>
              </w:rPr>
              <w:t xml:space="preserve">Highly confidential (special-category PII)</w:t>
            </w:r>
          </w:p>
        </w:tc>
        <w:tc>
          <w:tcPr>
            <w:tcW w:type="dxa" w:w="3350"/>
            <w:shd w:fill="F4F6FA" w:color="auto" w:val="clear"/>
            <w:tcMar>
              <w:top w:type="dxa" w:w="70"/>
              <w:left w:type="dxa" w:w="110"/>
              <w:bottom w:type="dxa" w:w="70"/>
              <w:right w:type="dxa" w:w="110"/>
            </w:tcMar>
            <w:vAlign w:val="center"/>
          </w:tcPr>
          <w:p>
            <w:pPr>
              <w:spacing w:after="10" w:line="258"/>
            </w:pPr>
            <w:r>
              <w:rPr>
                <w:sz w:val="18"/>
                <w:szCs w:val="18"/>
              </w:rPr>
              <w:t xml:space="preserve">Health/medical data, criminal-conviction data.</w:t>
            </w:r>
          </w:p>
        </w:tc>
        <w:tc>
          <w:tcPr>
            <w:tcW w:type="dxa" w:w="3660"/>
            <w:shd w:fill="F4F6FA" w:color="auto" w:val="clear"/>
            <w:tcMar>
              <w:top w:type="dxa" w:w="70"/>
              <w:left w:type="dxa" w:w="110"/>
              <w:bottom w:type="dxa" w:w="70"/>
              <w:right w:type="dxa" w:w="110"/>
            </w:tcMar>
            <w:vAlign w:val="center"/>
          </w:tcPr>
          <w:p>
            <w:pPr>
              <w:spacing w:after="10" w:line="258"/>
            </w:pPr>
            <w:r>
              <w:rPr>
                <w:sz w:val="18"/>
                <w:szCs w:val="18"/>
              </w:rPr>
              <w:t xml:space="preserve">Additional access restriction; customer-managed keys or field-level protection where required; tokenise; strict audit.</w:t>
            </w:r>
          </w:p>
        </w:tc>
      </w:tr>
    </w:tbl>
    <w:p>
      <w:pPr>
        <w:spacing w:after="40"/>
      </w:pPr>
    </w:p>
    <w:p>
      <w:pPr>
        <w:spacing w:after="120" w:before="0" w:line="276"/>
      </w:pPr>
      <w:r>
        <w:rPr>
          <w:color w:val="222831"/>
          <w:sz w:val="21"/>
          <w:szCs w:val="21"/>
        </w:rPr>
        <w:t xml:space="preserve">Because PII risk concentrates at the boundaries, the outward-facing patterns carry specific handling, summarised here and reflected in each pattern's Security boundary note:</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200"/>
        <w:gridCol w:w="6160"/>
      </w:tblGrid>
      <w:tr>
        <w:trPr>
          <w:tblHeader/>
        </w:trPr>
        <w:tc>
          <w:tcPr>
            <w:tcW w:type="dxa" w:w="3200"/>
            <w:shd w:fill="24446E" w:color="auto" w:val="clear"/>
            <w:tcMar>
              <w:top w:type="dxa" w:w="70"/>
              <w:left w:type="dxa" w:w="110"/>
              <w:bottom w:type="dxa" w:w="70"/>
              <w:right w:type="dxa" w:w="110"/>
            </w:tcMar>
          </w:tcPr>
          <w:p>
            <w:r>
              <w:rPr>
                <w:b/>
                <w:bCs/>
                <w:color w:val="FFFFFF"/>
                <w:sz w:val="18"/>
                <w:szCs w:val="18"/>
              </w:rPr>
              <w:t xml:space="preserve">Boundary flow</w:t>
            </w:r>
          </w:p>
        </w:tc>
        <w:tc>
          <w:tcPr>
            <w:tcW w:type="dxa" w:w="6160"/>
            <w:shd w:fill="24446E" w:color="auto" w:val="clear"/>
            <w:tcMar>
              <w:top w:type="dxa" w:w="70"/>
              <w:left w:type="dxa" w:w="110"/>
              <w:bottom w:type="dxa" w:w="70"/>
              <w:right w:type="dxa" w:w="110"/>
            </w:tcMar>
          </w:tcPr>
          <w:p>
            <w:r>
              <w:rPr>
                <w:b/>
                <w:bCs/>
                <w:color w:val="FFFFFF"/>
                <w:sz w:val="18"/>
                <w:szCs w:val="18"/>
              </w:rPr>
              <w:t xml:space="preserve">PII handling control</w:t>
            </w:r>
          </w:p>
        </w:tc>
      </w:tr>
      <w:tr>
        <w:tc>
          <w:tcPr>
            <w:tcW w:type="dxa" w:w="3200"/>
            <w:shd w:fill="FFFFFF" w:color="auto" w:val="clear"/>
            <w:tcMar>
              <w:top w:type="dxa" w:w="70"/>
              <w:left w:type="dxa" w:w="110"/>
              <w:bottom w:type="dxa" w:w="70"/>
              <w:right w:type="dxa" w:w="110"/>
            </w:tcMar>
            <w:vAlign w:val="center"/>
          </w:tcPr>
          <w:p>
            <w:pPr>
              <w:spacing w:after="10" w:line="258"/>
            </w:pPr>
            <w:r>
              <w:rPr>
                <w:sz w:val="18"/>
                <w:szCs w:val="18"/>
              </w:rPr>
              <w:t xml:space="preserve">Push to the platform / offload (5.6.1)</w:t>
            </w:r>
          </w:p>
        </w:tc>
        <w:tc>
          <w:tcPr>
            <w:tcW w:type="dxa" w:w="6160"/>
            <w:shd w:fill="FFFFFF" w:color="auto" w:val="clear"/>
            <w:tcMar>
              <w:top w:type="dxa" w:w="70"/>
              <w:left w:type="dxa" w:w="110"/>
              <w:bottom w:type="dxa" w:w="70"/>
              <w:right w:type="dxa" w:w="110"/>
            </w:tcMar>
            <w:vAlign w:val="center"/>
          </w:tcPr>
          <w:p>
            <w:pPr>
              <w:spacing w:after="10" w:line="258"/>
            </w:pPr>
            <w:r>
              <w:rPr>
                <w:sz w:val="18"/>
                <w:szCs w:val="18"/>
              </w:rPr>
              <w:t xml:space="preserve">Classify and minimise before landing; pseudonymise or tokenise special-category fields; publish the canonical contract, never raw internal models.</w:t>
            </w:r>
          </w:p>
        </w:tc>
      </w:tr>
      <w:tr>
        <w:tc>
          <w:tcPr>
            <w:tcW w:type="dxa" w:w="3200"/>
            <w:shd w:fill="F4F6FA" w:color="auto" w:val="clear"/>
            <w:tcMar>
              <w:top w:type="dxa" w:w="70"/>
              <w:left w:type="dxa" w:w="110"/>
              <w:bottom w:type="dxa" w:w="70"/>
              <w:right w:type="dxa" w:w="110"/>
            </w:tcMar>
            <w:vAlign w:val="center"/>
          </w:tcPr>
          <w:p>
            <w:pPr>
              <w:spacing w:after="10" w:line="258"/>
            </w:pPr>
            <w:r>
              <w:rPr>
                <w:sz w:val="18"/>
                <w:szCs w:val="18"/>
              </w:rPr>
              <w:t xml:space="preserve">Consume and serve (5.6.2)</w:t>
            </w:r>
          </w:p>
        </w:tc>
        <w:tc>
          <w:tcPr>
            <w:tcW w:type="dxa" w:w="6160"/>
            <w:shd w:fill="F4F6FA" w:color="auto" w:val="clear"/>
            <w:tcMar>
              <w:top w:type="dxa" w:w="70"/>
              <w:left w:type="dxa" w:w="110"/>
              <w:bottom w:type="dxa" w:w="70"/>
              <w:right w:type="dxa" w:w="110"/>
            </w:tcMar>
            <w:vAlign w:val="center"/>
          </w:tcPr>
          <w:p>
            <w:pPr>
              <w:spacing w:after="10" w:line="258"/>
            </w:pPr>
            <w:r>
              <w:rPr>
                <w:sz w:val="18"/>
                <w:szCs w:val="18"/>
              </w:rPr>
              <w:t xml:space="preserve">Least-privilege data access; serve curated rather than raw data; mask fields the consumer does not need.</w:t>
            </w:r>
          </w:p>
        </w:tc>
      </w:tr>
      <w:tr>
        <w:tc>
          <w:tcPr>
            <w:tcW w:type="dxa" w:w="3200"/>
            <w:shd w:fill="FFFFFF" w:color="auto" w:val="clear"/>
            <w:tcMar>
              <w:top w:type="dxa" w:w="70"/>
              <w:left w:type="dxa" w:w="110"/>
              <w:bottom w:type="dxa" w:w="70"/>
              <w:right w:type="dxa" w:w="110"/>
            </w:tcMar>
            <w:vAlign w:val="center"/>
          </w:tcPr>
          <w:p>
            <w:pPr>
              <w:spacing w:after="10" w:line="258"/>
            </w:pPr>
            <w:r>
              <w:rPr>
                <w:sz w:val="18"/>
                <w:szCs w:val="18"/>
              </w:rPr>
              <w:t xml:space="preserve">File ingestion and egress over SFTP (5.5.1–2)</w:t>
            </w:r>
          </w:p>
        </w:tc>
        <w:tc>
          <w:tcPr>
            <w:tcW w:type="dxa" w:w="6160"/>
            <w:shd w:fill="FFFFFF" w:color="auto" w:val="clear"/>
            <w:tcMar>
              <w:top w:type="dxa" w:w="70"/>
              <w:left w:type="dxa" w:w="110"/>
              <w:bottom w:type="dxa" w:w="70"/>
              <w:right w:type="dxa" w:w="110"/>
            </w:tcMar>
            <w:vAlign w:val="center"/>
          </w:tcPr>
          <w:p>
            <w:pPr>
              <w:spacing w:after="10" w:line="258"/>
            </w:pPr>
            <w:r>
              <w:rPr>
                <w:sz w:val="18"/>
                <w:szCs w:val="18"/>
              </w:rPr>
              <w:t xml:space="preserve">Encrypt files at the payload level beyond transport; minimise fields; quarantine on validation failure; enforce retention/lifecycle.</w:t>
            </w:r>
          </w:p>
        </w:tc>
      </w:tr>
      <w:tr>
        <w:tc>
          <w:tcPr>
            <w:tcW w:type="dxa" w:w="3200"/>
            <w:shd w:fill="F4F6FA" w:color="auto" w:val="clear"/>
            <w:tcMar>
              <w:top w:type="dxa" w:w="70"/>
              <w:left w:type="dxa" w:w="110"/>
              <w:bottom w:type="dxa" w:w="70"/>
              <w:right w:type="dxa" w:w="110"/>
            </w:tcMar>
            <w:vAlign w:val="center"/>
          </w:tcPr>
          <w:p>
            <w:pPr>
              <w:spacing w:after="10" w:line="258"/>
            </w:pPr>
            <w:r>
              <w:rPr>
                <w:sz w:val="18"/>
                <w:szCs w:val="18"/>
              </w:rPr>
              <w:t xml:space="preserve">Inbound and outbound webhooks (5.3.3–4)</w:t>
            </w:r>
          </w:p>
        </w:tc>
        <w:tc>
          <w:tcPr>
            <w:tcW w:type="dxa" w:w="6160"/>
            <w:shd w:fill="F4F6FA" w:color="auto" w:val="clear"/>
            <w:tcMar>
              <w:top w:type="dxa" w:w="70"/>
              <w:left w:type="dxa" w:w="110"/>
              <w:bottom w:type="dxa" w:w="70"/>
              <w:right w:type="dxa" w:w="110"/>
            </w:tcMar>
            <w:vAlign w:val="center"/>
          </w:tcPr>
          <w:p>
            <w:pPr>
              <w:spacing w:after="10" w:line="258"/>
            </w:pPr>
            <w:r>
              <w:rPr>
                <w:sz w:val="18"/>
                <w:szCs w:val="18"/>
              </w:rPr>
              <w:t xml:space="preserve">Validate and sign payloads; keep PII out of URLs and logs; TLS/mTLS; redact in observability.</w:t>
            </w:r>
          </w:p>
        </w:tc>
      </w:tr>
    </w:tbl>
    <w:p>
      <w:pPr>
        <w:spacing w:after="40"/>
      </w:pPr>
    </w:p>
    <w:p>
      <w:pPr>
        <w:spacing w:after="120" w:before="0" w:line="276"/>
      </w:pPr>
      <w:r>
        <w:rPr>
          <w:color w:val="222831"/>
          <w:sz w:val="21"/>
          <w:szCs w:val="21"/>
        </w:rPr>
        <w:t xml:space="preserve">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r>
        <w:br w:type="page"/>
      </w:r>
    </w:p>
    <w:p>
      <w:pPr>
        <w:pStyle w:val="Heading1"/>
        <w:spacing w:after="130" w:before="260"/>
      </w:pPr>
      <w:r>
        <w:rPr>
          <w:b/>
          <w:bCs/>
          <w:color w:val="1F3864"/>
          <w:sz w:val="30"/>
          <w:szCs w:val="30"/>
        </w:rPr>
        <w:t xml:space="preserve">4. Choosing a pattern</w:t>
      </w:r>
    </w:p>
    <w:p>
      <w:pPr>
        <w:pStyle w:val="Heading2"/>
        <w:spacing w:after="100" w:before="220"/>
      </w:pPr>
      <w:r>
        <w:rPr>
          <w:b/>
          <w:bCs/>
          <w:color w:val="2E5496"/>
          <w:sz w:val="25"/>
          <w:szCs w:val="25"/>
        </w:rPr>
        <w:t xml:space="preserve">4.1 The decision tree</w:t>
      </w:r>
    </w:p>
    <w:p>
      <w:pPr>
        <w:spacing w:after="120" w:before="0" w:line="276"/>
      </w:pPr>
      <w:r>
        <w:rPr>
          <w:color w:val="222831"/>
          <w:sz w:val="21"/>
          <w:szCs w:val="21"/>
        </w:rPr>
        <w:t xml:space="preserve">Work down the tree in order and take the first branch that matches, the questions are arranged so that the earlier ones catch the cases that must not be built any other way (bulk data, stateful process) before the finer distinctions between synchronous and asynchronous styles.</w:t>
      </w:r>
    </w:p>
    <w:p>
      <w:pPr>
        <w:spacing w:after="130" w:before="90"/>
        <w:jc w:val="center"/>
      </w:pPr>
      <w:r>
        <w:drawing>
          <wp:inline distT="0" distB="0" distL="0" distR="0">
            <wp:extent cx="4762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00475"/>
                    </a:xfrm>
                    <a:prstGeom prst="rect">
                      <a:avLst/>
                    </a:prstGeom>
                  </pic:spPr>
                </pic:pic>
              </a:graphicData>
            </a:graphic>
          </wp:inline>
        </w:drawing>
      </w:r>
    </w:p>
    <w:p>
      <w:pPr>
        <w:pStyle w:val="Heading2"/>
        <w:spacing w:after="100" w:before="220"/>
      </w:pPr>
      <w:r>
        <w:rPr>
          <w:b/>
          <w:bCs/>
          <w:color w:val="2E5496"/>
          <w:sz w:val="25"/>
          <w:szCs w:val="25"/>
        </w:rPr>
        <w:t xml:space="preserve">4.2 Walking it through, a worked example</w:t>
      </w:r>
    </w:p>
    <w:p>
      <w:pPr>
        <w:spacing w:after="120" w:before="0" w:line="276"/>
      </w:pPr>
      <w:r>
        <w:rPr>
          <w:color w:val="222831"/>
          <w:sz w:val="21"/>
          <w:szCs w:val="21"/>
        </w:rPr>
        <w:t xml:space="preserve">Suppose you have been asked to make the following happen: when a policy is bound in the policy admin system, the finance system should raise the corresponding entries, the document system should generate the policy schedule, and the analytics team should get the data for reporting. You sit down with the decision tree.</w:t>
      </w:r>
    </w:p>
    <w:p>
      <w:pPr>
        <w:spacing w:after="120" w:before="0" w:line="276"/>
      </w:pPr>
      <w:r>
        <w:rPr>
          <w:color w:val="222831"/>
          <w:sz w:val="21"/>
          <w:szCs w:val="21"/>
        </w:rPr>
        <w:t xml:space="preserve">Is this bulk or analytical data? No, it is a business event with immediate operational consequences, so you pass the first gate (the analytics need is a downstream consumer, not the shape of the whole integration). Is it a multi-step, stateful process across systems? The finance and document steps are consequences of one event rather than a single owned sequence with state, so this is not primarily an orchestration, though if the bind itself had to be coordinated with a rollback, Section 5.4 would come into play. Does anyone need a synchronous reply? No; nothing is waiting on a held-open call. Is it a command to one known consumer? No, several parties care, and more may care later. Is it a broadcast event for any interested consumer? Yes.</w:t>
      </w:r>
    </w:p>
    <w:p>
      <w:pPr>
        <w:spacing w:after="120" w:before="0" w:line="276"/>
      </w:pPr>
      <w:r>
        <w:rPr>
          <w:color w:val="222831"/>
          <w:sz w:val="21"/>
          <w:szCs w:val="21"/>
        </w:rPr>
        <w:t xml:space="preserve">That lands you in event-driven territory, and the comparison in Section 3.2 tells you which service: this is durable, multi-consumer, business-critical delivery, so it is a Service Bus topic, not Event Grid. You publish a single "PolicyBound" event; finance, document generation and the analytics offload each take it on their own subscription (the last one via the offload pattern in Section 5.6). Adding a fourth consumer later changes nothing about the publisher. You have removed three would-be point-to-point interfaces and replaced them with one event, which is exactly the outcome the framework is trying to make the path of least resistance.</w:t>
      </w:r>
    </w:p>
    <w:p>
      <w:pPr>
        <w:pStyle w:val="Heading2"/>
        <w:spacing w:after="100" w:before="220"/>
      </w:pPr>
      <w:r>
        <w:rPr>
          <w:b/>
          <w:bCs/>
          <w:color w:val="2E5496"/>
          <w:sz w:val="25"/>
          <w:szCs w:val="25"/>
        </w:rPr>
        <w:t xml:space="preserve">4.3 Secondary considerations</w:t>
      </w:r>
    </w:p>
    <w:p>
      <w:pPr>
        <w:spacing w:after="120" w:before="0" w:line="276"/>
      </w:pPr>
      <w:r>
        <w:rPr>
          <w:color w:val="222831"/>
          <w:sz w:val="21"/>
          <w:szCs w:val="21"/>
        </w:rPr>
        <w:t xml:space="preserve">The tree gets you to the right family; a few cross-checks refine the choice. How tightly can the systems afford to be coupled, can the caller tolerate the other side being down? What delivery guarantee does the data need, and therefore how much idempotency work is implied? Is any part of this internet-facing, which pulls in the ingress guardrails? And what criticality tier is it, which sets the resilience posture from Section 3.4? These do not usually change the pattern, but they change how you build it.</w:t>
      </w:r>
    </w:p>
    <w:p>
      <w:pPr>
        <w:spacing w:after="120" w:before="0" w:line="276"/>
      </w:pPr>
      <w:r>
        <w:rPr>
          <w:color w:val="222831"/>
          <w:sz w:val="21"/>
          <w:szCs w:val="21"/>
        </w:rPr>
        <w:t xml:space="preserve">One thing the tree does not have is a "file" branch, because a file is a transport rather than a semantic. If the data arrives as a file, you still classify it by what it is: operational records to process go to file-based exchange (Section 5.5), which handles the file event-driven and turns it into messages; a bulk or analytical dataset goes to the data platform (Section 5.6.3). The file itself never dictates the pattern, what is in it does.</w:t>
      </w:r>
    </w:p>
    <w:p>
      <w:r>
        <w:br w:type="page"/>
      </w:r>
    </w:p>
    <w:p>
      <w:pPr>
        <w:pStyle w:val="Heading1"/>
        <w:spacing w:after="130" w:before="260"/>
      </w:pPr>
      <w:r>
        <w:rPr>
          <w:b/>
          <w:bCs/>
          <w:color w:val="1F3864"/>
          <w:sz w:val="30"/>
          <w:szCs w:val="30"/>
        </w:rPr>
        <w:t xml:space="preserve">5. Pattern catalogue</w:t>
      </w:r>
    </w:p>
    <w:p>
      <w:pPr>
        <w:spacing w:after="120" w:before="0" w:line="276"/>
      </w:pPr>
      <w:r>
        <w:rPr>
          <w:color w:val="222831"/>
          <w:sz w:val="21"/>
          <w:szCs w:val="21"/>
        </w:rPr>
        <w:t xml:space="preserve">The catalogue is organised by interaction style, request/response, asynchronous messaging, event-driven, orchestration, file-based exchange, and data-platform exchange. That is a considered choice. It mirrors the very first decision a developer makes (does the caller wait for an answer, or not?), it lines up one-to-one with the decision tree, and each style maps cleanly onto a primary Azure service, file-based being the one that spans a few, because a file is a transport rather than a service. Two alternatives were considered and set aside: grouping by the classic enterprise-integration-pattern taxonomy (accurate but academic, and not how our teams think), and grouping by business capability (which belongs in the service catalogue, not the pattern framework).</w:t>
      </w:r>
    </w:p>
    <w:p>
      <w:pPr>
        <w:spacing w:after="120" w:before="0" w:line="276"/>
      </w:pPr>
      <w:r>
        <w:rPr>
          <w:color w:val="222831"/>
          <w:sz w:val="21"/>
          <w:szCs w:val="21"/>
        </w:rPr>
        <w:t xml:space="preserve">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pPr>
        <w:pStyle w:val="Heading2"/>
        <w:spacing w:after="100" w:before="220"/>
      </w:pPr>
      <w:r>
        <w:rPr>
          <w:b/>
          <w:bCs/>
          <w:color w:val="2E5496"/>
          <w:sz w:val="25"/>
          <w:szCs w:val="25"/>
        </w:rPr>
        <w:t xml:space="preserve">5.1 Request / response, synchronous APIs</w:t>
      </w:r>
    </w:p>
    <w:p>
      <w:pPr>
        <w:spacing w:after="100" w:before="0" w:line="276"/>
      </w:pPr>
      <w:r>
        <w:rPr>
          <w:color w:val="222831"/>
          <w:sz w:val="21"/>
          <w:szCs w:val="21"/>
        </w:rPr>
        <w:t xml:space="preserve">Synchronous request/response is the right tool when a caller needs an answer before it can continue. Everything here goes through API Management; the differences are in what sits behind it and how much work it does.</w:t>
      </w:r>
    </w:p>
    <w:p>
      <w:pPr>
        <w:pStyle w:val="Heading3"/>
        <w:spacing w:after="70" w:before="180"/>
      </w:pPr>
      <w:r>
        <w:rPr>
          <w:b/>
          <w:bCs/>
          <w:color w:val="1F3864"/>
          <w:sz w:val="22"/>
          <w:szCs w:val="22"/>
        </w:rPr>
        <w:t xml:space="preserve">5.1.1  Managed API façade</w:t>
      </w:r>
    </w:p>
    <w:p>
      <w:pPr>
        <w:spacing w:after="90" w:before="10"/>
      </w:pPr>
      <w:r>
        <w:rPr>
          <w:i/>
          <w:iCs/>
          <w:color w:val="5A6470"/>
          <w:sz w:val="21"/>
          <w:szCs w:val="21"/>
        </w:rPr>
        <w:t xml:space="preserve">Put every exposed capability behind the shared gateway, so consumers never bind to a backend directly.</w:t>
      </w:r>
    </w:p>
    <w:p>
      <w:pPr>
        <w:spacing w:after="90" w:before="0"/>
      </w:pPr>
      <w:r>
        <w:rPr>
          <w:i/>
          <w:iCs/>
          <w:color w:val="2E5496"/>
          <w:sz w:val="17"/>
          <w:szCs w:val="17"/>
        </w:rPr>
        <w:t xml:space="preserve">Reference deck equivalent: </w:t>
      </w:r>
      <w:r>
        <w:rPr>
          <w:i/>
          <w:iCs/>
          <w:color w:val="5A6470"/>
          <w:sz w:val="17"/>
          <w:szCs w:val="17"/>
        </w:rPr>
        <w:t xml:space="preserve">Service Proxy</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pPr>
        <w:spacing w:after="120" w:before="40" w:line="276"/>
      </w:pPr>
      <w:r>
        <w:rPr>
          <w:b/>
          <w:bCs/>
          <w:color w:val="1F3864"/>
          <w:sz w:val="21"/>
          <w:szCs w:val="21"/>
        </w:rPr>
        <w:t xml:space="preserve">Solution. </w:t>
      </w:r>
      <w:r>
        <w:rPr>
          <w:color w:val="222831"/>
          <w:sz w:val="21"/>
          <w:szCs w:val="21"/>
        </w:rPr>
        <w:t xml:space="preserve">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the caller needs a synchronous answer to a query or short command and you want one governed, reusable front door to a capability.  </w:t>
      </w:r>
      <w:r>
        <w:rPr>
          <w:b/>
          <w:bCs/>
          <w:color w:val="8A3B2E"/>
          <w:sz w:val="21"/>
          <w:szCs w:val="21"/>
        </w:rPr>
        <w:t xml:space="preserve">Avoid it when </w:t>
      </w:r>
      <w:r>
        <w:rPr>
          <w:color w:val="222831"/>
          <w:sz w:val="21"/>
          <w:szCs w:val="21"/>
        </w:rPr>
        <w:t xml:space="preserve">the work is long-running or unpredictable (orchestrate it), or the interaction is really fire-and-forget (use messaging).</w:t>
      </w:r>
    </w:p>
    <w:p>
      <w:pPr>
        <w:spacing w:after="120" w:before="40" w:line="276"/>
      </w:pPr>
      <w:r>
        <w:rPr>
          <w:b/>
          <w:bCs/>
          <w:color w:val="1F3864"/>
          <w:sz w:val="21"/>
          <w:szCs w:val="21"/>
        </w:rPr>
        <w:t xml:space="preserve">Risks &amp; considerations. </w:t>
      </w:r>
      <w:r>
        <w:rPr>
          <w:color w:val="222831"/>
          <w:sz w:val="21"/>
          <w:szCs w:val="21"/>
        </w:rPr>
        <w:t xml:space="preserve">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façade.</w:t>
      </w:r>
    </w:p>
    <w:p>
      <w:pPr>
        <w:spacing w:after="120" w:before="40" w:line="276"/>
      </w:pPr>
      <w:r>
        <w:rPr>
          <w:b/>
          <w:bCs/>
          <w:color w:val="1F3864"/>
          <w:sz w:val="21"/>
          <w:szCs w:val="21"/>
        </w:rPr>
        <w:t xml:space="preserve">Security boundary. </w:t>
      </w:r>
      <w:r>
        <w:rPr>
          <w:color w:val="222831"/>
          <w:sz w:val="21"/>
          <w:szCs w:val="21"/>
        </w:rPr>
        <w:t xml:space="preserve">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mTLS at the edge, as a registered exception; APIM is never exposed directly.</w:t>
      </w:r>
    </w:p>
    <w:p>
      <w:pPr>
        <w:spacing w:after="120" w:before="40" w:line="276"/>
      </w:pPr>
      <w:r>
        <w:rPr>
          <w:b/>
          <w:bCs/>
          <w:color w:val="1F3864"/>
          <w:sz w:val="21"/>
          <w:szCs w:val="21"/>
        </w:rPr>
        <w:t xml:space="preserve">Anti-pattern. </w:t>
      </w:r>
      <w:r>
        <w:rPr>
          <w:color w:val="222831"/>
          <w:sz w:val="21"/>
          <w:szCs w:val="21"/>
        </w:rPr>
        <w:t xml:space="preserve">A pass-through proxy that adds no policy, security or versioning, or, worse, business logic buried in gateway policies.</w:t>
      </w:r>
    </w:p>
    <w:p>
      <w:pPr>
        <w:spacing w:after="120" w:before="40" w:line="276"/>
      </w:pPr>
      <w:r>
        <w:rPr>
          <w:b/>
          <w:bCs/>
          <w:color w:val="1F3864"/>
          <w:sz w:val="21"/>
          <w:szCs w:val="21"/>
        </w:rPr>
        <w:t xml:space="preserve">In practice. </w:t>
      </w:r>
      <w:r>
        <w:rPr>
          <w:color w:val="222831"/>
          <w:sz w:val="21"/>
          <w:szCs w:val="21"/>
        </w:rPr>
        <w:t xml:space="preserve">The underwriting system exposes get-policy-summary through APIM; the broker portal calls the API and has no knowledge of the policy admin system behind it.</w:t>
      </w:r>
    </w:p>
    <w:p>
      <w:pPr>
        <w:spacing w:after="150"/>
      </w:pPr>
    </w:p>
    <w:p>
      <w:pPr>
        <w:pStyle w:val="Heading3"/>
        <w:spacing w:after="70" w:before="180"/>
      </w:pPr>
      <w:r>
        <w:rPr>
          <w:b/>
          <w:bCs/>
          <w:color w:val="1F3864"/>
          <w:sz w:val="22"/>
          <w:szCs w:val="22"/>
        </w:rPr>
        <w:t xml:space="preserve">5.1.2  API composition / aggregation</w:t>
      </w:r>
    </w:p>
    <w:p>
      <w:pPr>
        <w:spacing w:after="90" w:before="10"/>
      </w:pPr>
      <w:r>
        <w:rPr>
          <w:i/>
          <w:iCs/>
          <w:color w:val="5A6470"/>
          <w:sz w:val="21"/>
          <w:szCs w:val="21"/>
        </w:rPr>
        <w:t xml:space="preserve">Assemble one coarse-grained business response from a few backend reads, so the consumer makes a single call.</w:t>
      </w:r>
    </w:p>
    <w:p>
      <w:pPr>
        <w:spacing w:after="90" w:before="0"/>
      </w:pPr>
      <w:r>
        <w:rPr>
          <w:i/>
          <w:iCs/>
          <w:color w:val="2E5496"/>
          <w:sz w:val="17"/>
          <w:szCs w:val="17"/>
        </w:rPr>
        <w:t xml:space="preserve">Reference deck equivalent: </w:t>
      </w:r>
      <w:r>
        <w:rPr>
          <w:i/>
          <w:iCs/>
          <w:color w:val="5A6470"/>
          <w:sz w:val="17"/>
          <w:szCs w:val="17"/>
        </w:rPr>
        <w:t xml:space="preserve">Composite Service</w:t>
      </w:r>
    </w:p>
    <w:p>
      <w:pPr>
        <w:spacing w:after="130" w:before="90"/>
        <w:jc w:val="center"/>
      </w:pPr>
      <w:r>
        <w:drawing>
          <wp:inline distT="0" distB="0" distL="0" distR="0">
            <wp:extent cx="51911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173355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servicing screen needs a "client 360" view whose data lives across three systems. Making the consumer call all three couples it to three contracts and three failure modes; doing the joins in the browser is worse.</w:t>
      </w:r>
    </w:p>
    <w:p>
      <w:pPr>
        <w:spacing w:after="120" w:before="40" w:line="276"/>
      </w:pPr>
      <w:r>
        <w:rPr>
          <w:b/>
          <w:bCs/>
          <w:color w:val="1F3864"/>
          <w:sz w:val="21"/>
          <w:szCs w:val="21"/>
        </w:rPr>
        <w:t xml:space="preserve">Solution. </w:t>
      </w:r>
      <w:r>
        <w:rPr>
          <w:color w:val="222831"/>
          <w:sz w:val="21"/>
          <w:szCs w:val="21"/>
        </w:rPr>
        <w:t xml:space="preserve">Expose a single composed API on APIM backed by a Function that fans out to the underlying systems, assembles a coarse-grained response and returns it. The composition stays read-mostly and business-shaped, SOA granularity, not a chatty mesh of fine-grained calls.</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a consumer needs one logical business object drawn from two or three sources and a single round-trip materially simplifies the caller.  </w:t>
      </w:r>
      <w:r>
        <w:rPr>
          <w:b/>
          <w:bCs/>
          <w:color w:val="8A3B2E"/>
          <w:sz w:val="21"/>
          <w:szCs w:val="21"/>
        </w:rPr>
        <w:t xml:space="preserve">Avoid it when </w:t>
      </w:r>
      <w:r>
        <w:rPr>
          <w:color w:val="222831"/>
          <w:sz w:val="21"/>
          <w:szCs w:val="21"/>
        </w:rPr>
        <w:t xml:space="preserve">the composition needs transactional writes or long-running steps (orchestrate), or you find yourself fanning out to many fine-grained services, that is a granularity problem to fix, not to aggregate around.</w:t>
      </w:r>
    </w:p>
    <w:p>
      <w:pPr>
        <w:spacing w:after="120" w:before="40" w:line="276"/>
      </w:pPr>
      <w:r>
        <w:rPr>
          <w:b/>
          <w:bCs/>
          <w:color w:val="1F3864"/>
          <w:sz w:val="21"/>
          <w:szCs w:val="21"/>
        </w:rPr>
        <w:t xml:space="preserve">Risks &amp; considerations. </w:t>
      </w:r>
      <w:r>
        <w:rPr>
          <w:color w:val="222831"/>
          <w:sz w:val="21"/>
          <w:szCs w:val="21"/>
        </w:rPr>
        <w:t xml:space="preserve">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pPr>
        <w:spacing w:after="120" w:before="40" w:line="276"/>
      </w:pPr>
      <w:r>
        <w:rPr>
          <w:b/>
          <w:bCs/>
          <w:color w:val="1F3864"/>
          <w:sz w:val="21"/>
          <w:szCs w:val="21"/>
        </w:rPr>
        <w:t xml:space="preserve">Security boundary. </w:t>
      </w:r>
      <w:r>
        <w:rPr>
          <w:color w:val="222831"/>
          <w:sz w:val="21"/>
          <w:szCs w:val="21"/>
        </w:rPr>
        <w:t xml:space="preserve">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pPr>
        <w:spacing w:after="120" w:before="40" w:line="276"/>
      </w:pPr>
      <w:r>
        <w:rPr>
          <w:b/>
          <w:bCs/>
          <w:color w:val="1F3864"/>
          <w:sz w:val="21"/>
          <w:szCs w:val="21"/>
        </w:rPr>
        <w:t xml:space="preserve">Anti-pattern. </w:t>
      </w:r>
      <w:r>
        <w:rPr>
          <w:color w:val="222831"/>
          <w:sz w:val="21"/>
          <w:szCs w:val="21"/>
        </w:rPr>
        <w:t xml:space="preserve">Fine-grained, chatty aggregation that recreates a distributed monolith; pushing heavy composition into APIM policies instead of a Function.</w:t>
      </w:r>
    </w:p>
    <w:p>
      <w:pPr>
        <w:spacing w:after="120" w:before="40" w:line="276"/>
      </w:pPr>
      <w:r>
        <w:rPr>
          <w:b/>
          <w:bCs/>
          <w:color w:val="1F3864"/>
          <w:sz w:val="21"/>
          <w:szCs w:val="21"/>
        </w:rPr>
        <w:t xml:space="preserve">In practice. </w:t>
      </w:r>
      <w:r>
        <w:rPr>
          <w:color w:val="222831"/>
          <w:sz w:val="21"/>
          <w:szCs w:val="21"/>
        </w:rPr>
        <w:t xml:space="preserve">A client-servicing screen calls one "client 360" API; the aggregator Function reads client, policy and claims summaries and returns a single object.</w:t>
      </w:r>
    </w:p>
    <w:p>
      <w:pPr>
        <w:spacing w:after="150"/>
      </w:pPr>
    </w:p>
    <w:p>
      <w:pPr>
        <w:pStyle w:val="Heading3"/>
        <w:spacing w:after="70" w:before="180"/>
      </w:pPr>
      <w:r>
        <w:rPr>
          <w:b/>
          <w:bCs/>
          <w:color w:val="1F3864"/>
          <w:sz w:val="22"/>
          <w:szCs w:val="22"/>
        </w:rPr>
        <w:t xml:space="preserve">5.1.3  Protocol / format mediation</w:t>
      </w:r>
    </w:p>
    <w:p>
      <w:pPr>
        <w:spacing w:after="90" w:before="10"/>
      </w:pPr>
      <w:r>
        <w:rPr>
          <w:i/>
          <w:iCs/>
          <w:color w:val="5A6470"/>
          <w:sz w:val="21"/>
          <w:szCs w:val="21"/>
        </w:rPr>
        <w:t xml:space="preserve">Translate a legacy protocol to REST/JSON at the edge so modern consumers stay clean.</w:t>
      </w:r>
    </w:p>
    <w:p>
      <w:pPr>
        <w:spacing w:after="90" w:before="0"/>
      </w:pPr>
      <w:r>
        <w:rPr>
          <w:i/>
          <w:iCs/>
          <w:color w:val="2E5496"/>
          <w:sz w:val="17"/>
          <w:szCs w:val="17"/>
        </w:rPr>
        <w:t xml:space="preserve">Reference deck equivalent: </w:t>
      </w:r>
      <w:r>
        <w:rPr>
          <w:i/>
          <w:iCs/>
          <w:color w:val="5A6470"/>
          <w:sz w:val="17"/>
          <w:szCs w:val="17"/>
        </w:rPr>
        <w:t xml:space="preserve">Service Proxy / mediation</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cloud-native consumer must talk to a system that only speaks SOAP/XML or a fixed-width format. Letting that leak into the consumer spreads legacy concerns across the estate.</w:t>
      </w:r>
    </w:p>
    <w:p>
      <w:pPr>
        <w:spacing w:after="120" w:before="40" w:line="276"/>
      </w:pPr>
      <w:r>
        <w:rPr>
          <w:b/>
          <w:bCs/>
          <w:color w:val="1F3864"/>
          <w:sz w:val="21"/>
          <w:szCs w:val="21"/>
        </w:rPr>
        <w:t xml:space="preserve">Solution. </w:t>
      </w:r>
      <w:r>
        <w:rPr>
          <w:color w:val="222831"/>
          <w:sz w:val="21"/>
          <w:szCs w:val="21"/>
        </w:rPr>
        <w:t xml:space="preserve">Terminate the modern REST/JSON contract at APIM for light transforms, or a Function for heavier ones, and translate to the backend's protocol. Consumers see only REST/JSON; the legacy quirks are contained in one place.</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you are standardising the estate on REST/JSON and need to front a legacy protocol.  </w:t>
      </w:r>
      <w:r>
        <w:rPr>
          <w:b/>
          <w:bCs/>
          <w:color w:val="8A3B2E"/>
          <w:sz w:val="21"/>
          <w:szCs w:val="21"/>
        </w:rPr>
        <w:t xml:space="preserve">Avoid it when </w:t>
      </w:r>
      <w:r>
        <w:rPr>
          <w:color w:val="222831"/>
          <w:sz w:val="21"/>
          <w:szCs w:val="21"/>
        </w:rPr>
        <w:t xml:space="preserve">the requirement is really business transformation rather than protocol translation, that is implementation logic and belongs in a Function with tests, not in a mediation policy.</w:t>
      </w:r>
    </w:p>
    <w:p>
      <w:pPr>
        <w:spacing w:after="120" w:before="40" w:line="276"/>
      </w:pPr>
      <w:r>
        <w:rPr>
          <w:b/>
          <w:bCs/>
          <w:color w:val="1F3864"/>
          <w:sz w:val="21"/>
          <w:szCs w:val="21"/>
        </w:rPr>
        <w:t xml:space="preserve">Risks &amp; considerations. </w:t>
      </w:r>
      <w:r>
        <w:rPr>
          <w:color w:val="222831"/>
          <w:sz w:val="21"/>
          <w:szCs w:val="21"/>
        </w:rPr>
        <w:t xml:space="preserve">Keep the translation stateless and mechanical; the moment business rules creep in you have hidden, untested logic sitting in the edge. Validate schemas on the way through so malformed legacy payloads fail fast rather than propagating.</w:t>
      </w:r>
    </w:p>
    <w:p>
      <w:pPr>
        <w:spacing w:after="120" w:before="40" w:line="276"/>
      </w:pPr>
      <w:r>
        <w:rPr>
          <w:b/>
          <w:bCs/>
          <w:color w:val="1F3864"/>
          <w:sz w:val="21"/>
          <w:szCs w:val="21"/>
        </w:rPr>
        <w:t xml:space="preserve">Security boundary. </w:t>
      </w:r>
      <w:r>
        <w:rPr>
          <w:color w:val="222831"/>
          <w:sz w:val="21"/>
          <w:szCs w:val="21"/>
        </w:rPr>
        <w:t xml:space="preserve">Landing zone: 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pPr>
        <w:spacing w:after="120" w:before="40" w:line="276"/>
      </w:pPr>
      <w:r>
        <w:rPr>
          <w:b/>
          <w:bCs/>
          <w:color w:val="1F3864"/>
          <w:sz w:val="21"/>
          <w:szCs w:val="21"/>
        </w:rPr>
        <w:t xml:space="preserve">Anti-pattern. </w:t>
      </w:r>
      <w:r>
        <w:rPr>
          <w:color w:val="222831"/>
          <w:sz w:val="21"/>
          <w:szCs w:val="21"/>
        </w:rPr>
        <w:t xml:space="preserve">Business rules embedded in the translation layer; unbounded transformation inside APIM policies.</w:t>
      </w:r>
    </w:p>
    <w:p>
      <w:pPr>
        <w:spacing w:after="120" w:before="40" w:line="276"/>
      </w:pPr>
      <w:r>
        <w:rPr>
          <w:b/>
          <w:bCs/>
          <w:color w:val="1F3864"/>
          <w:sz w:val="21"/>
          <w:szCs w:val="21"/>
        </w:rPr>
        <w:t xml:space="preserve">In practice. </w:t>
      </w:r>
      <w:r>
        <w:rPr>
          <w:color w:val="222831"/>
          <w:sz w:val="21"/>
          <w:szCs w:val="21"/>
        </w:rPr>
        <w:t xml:space="preserve">A legacy SOAP reinsurance service is fronted as a REST/JSON API for cloud-native consumers.</w:t>
      </w:r>
    </w:p>
    <w:p>
      <w:pPr>
        <w:spacing w:after="150"/>
      </w:pPr>
    </w:p>
    <w:p>
      <w:pPr>
        <w:pStyle w:val="Heading3"/>
        <w:spacing w:after="70" w:before="180"/>
      </w:pPr>
      <w:r>
        <w:rPr>
          <w:b/>
          <w:bCs/>
          <w:color w:val="1F3864"/>
          <w:sz w:val="22"/>
          <w:szCs w:val="22"/>
        </w:rPr>
        <w:t xml:space="preserve">5.1.4  Synchronous request-reply (bounded)</w:t>
      </w:r>
    </w:p>
    <w:p>
      <w:pPr>
        <w:spacing w:after="90" w:before="10"/>
      </w:pPr>
      <w:r>
        <w:rPr>
          <w:i/>
          <w:iCs/>
          <w:color w:val="5A6470"/>
          <w:sz w:val="21"/>
          <w:szCs w:val="21"/>
        </w:rPr>
        <w:t xml:space="preserve">The considered synchronous exception, a short, bounded call where the caller needs the answer now.</w:t>
      </w:r>
    </w:p>
    <w:p>
      <w:pPr>
        <w:spacing w:after="130" w:before="9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11525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Some interactions really are synchronous: a quote figure the user is waiting on. The danger is that "synchronous" quietly becomes "long-running", and callers start timing out and retrying.</w:t>
      </w:r>
    </w:p>
    <w:p>
      <w:pPr>
        <w:spacing w:after="120" w:before="40" w:line="276"/>
      </w:pPr>
      <w:r>
        <w:rPr>
          <w:b/>
          <w:bCs/>
          <w:color w:val="1F3864"/>
          <w:sz w:val="21"/>
          <w:szCs w:val="21"/>
        </w:rPr>
        <w:t xml:space="preserve">Solution. </w:t>
      </w:r>
      <w:r>
        <w:rPr>
          <w:color w:val="222831"/>
          <w:sz w:val="21"/>
          <w:szCs w:val="21"/>
        </w:rPr>
        <w:t xml:space="preserve">Expose the operation on APIM to a Function that completes in sub-second-to-low-second time, with a hard timeout. If the work cannot reliably finish that quickly, it is not this pattern, move to asynchronous request-reply or orchestration.</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the work is short and bounded and the caller must have the result to proceed.  </w:t>
      </w:r>
      <w:r>
        <w:rPr>
          <w:b/>
          <w:bCs/>
          <w:color w:val="8A3B2E"/>
          <w:sz w:val="21"/>
          <w:szCs w:val="21"/>
        </w:rPr>
        <w:t xml:space="preserve">Avoid it when </w:t>
      </w:r>
      <w:r>
        <w:rPr>
          <w:color w:val="222831"/>
          <w:sz w:val="21"/>
          <w:szCs w:val="21"/>
        </w:rPr>
        <w:t xml:space="preserve">the duration is unpredictable or can run long, the classic cause of retry storms.</w:t>
      </w:r>
    </w:p>
    <w:p>
      <w:pPr>
        <w:spacing w:after="120" w:before="40" w:line="276"/>
      </w:pPr>
      <w:r>
        <w:rPr>
          <w:b/>
          <w:bCs/>
          <w:color w:val="1F3864"/>
          <w:sz w:val="21"/>
          <w:szCs w:val="21"/>
        </w:rPr>
        <w:t xml:space="preserve">Risks &amp; considerations. </w:t>
      </w:r>
      <w:r>
        <w:rPr>
          <w:color w:val="222831"/>
          <w:sz w:val="21"/>
          <w:szCs w:val="21"/>
        </w:rPr>
        <w:t xml:space="preserve">Enforce timeouts and make the operation idempotent so a client retry cannot double-apply. Treat a creeping p99 latency as an early signal that this should become asynchronous.</w:t>
      </w:r>
    </w:p>
    <w:p>
      <w:pPr>
        <w:spacing w:after="120" w:before="40" w:line="276"/>
      </w:pPr>
      <w:r>
        <w:rPr>
          <w:b/>
          <w:bCs/>
          <w:color w:val="1F3864"/>
          <w:sz w:val="21"/>
          <w:szCs w:val="21"/>
        </w:rPr>
        <w:t xml:space="preserve">Security boundary. </w:t>
      </w:r>
      <w:r>
        <w:rPr>
          <w:color w:val="222831"/>
          <w:sz w:val="21"/>
          <w:szCs w:val="21"/>
        </w:rPr>
        <w:t xml:space="preserve">Landing zone: APIM (shared) and Function (spoke), fully internal. Within Azure: Private Endpoint, managed identity, TLS, with enforced timeouts. Outside Azure: none.</w:t>
      </w:r>
    </w:p>
    <w:p>
      <w:pPr>
        <w:spacing w:after="120" w:before="40" w:line="276"/>
      </w:pPr>
      <w:r>
        <w:rPr>
          <w:b/>
          <w:bCs/>
          <w:color w:val="1F3864"/>
          <w:sz w:val="21"/>
          <w:szCs w:val="21"/>
        </w:rPr>
        <w:t xml:space="preserve">Anti-pattern. </w:t>
      </w:r>
      <w:r>
        <w:rPr>
          <w:color w:val="222831"/>
          <w:sz w:val="21"/>
          <w:szCs w:val="21"/>
        </w:rPr>
        <w:t xml:space="preserve">Long-running or unbounded work behind a synchronous endpoint.</w:t>
      </w:r>
    </w:p>
    <w:p>
      <w:pPr>
        <w:spacing w:after="120" w:before="40" w:line="276"/>
      </w:pPr>
      <w:r>
        <w:rPr>
          <w:b/>
          <w:bCs/>
          <w:color w:val="1F3864"/>
          <w:sz w:val="21"/>
          <w:szCs w:val="21"/>
        </w:rPr>
        <w:t xml:space="preserve">In practice. </w:t>
      </w:r>
      <w:r>
        <w:rPr>
          <w:color w:val="222831"/>
          <w:sz w:val="21"/>
          <w:szCs w:val="21"/>
        </w:rPr>
        <w:t xml:space="preserve">A real-time premium calculation returns a figure within a second.</w:t>
      </w:r>
    </w:p>
    <w:p>
      <w:pPr>
        <w:spacing w:after="150"/>
      </w:pPr>
    </w:p>
    <w:p>
      <w:pPr>
        <w:pStyle w:val="Heading2"/>
        <w:spacing w:after="100" w:before="220"/>
      </w:pPr>
      <w:r>
        <w:rPr>
          <w:b/>
          <w:bCs/>
          <w:color w:val="2E5496"/>
          <w:sz w:val="25"/>
          <w:szCs w:val="25"/>
        </w:rPr>
        <w:t xml:space="preserve">5.2 Asynchronous messaging</w:t>
      </w:r>
    </w:p>
    <w:p>
      <w:pPr>
        <w:spacing w:after="100" w:before="0" w:line="276"/>
      </w:pPr>
      <w:r>
        <w:rPr>
          <w:color w:val="222831"/>
          <w:sz w:val="21"/>
          <w:szCs w:val="21"/>
        </w:rPr>
        <w:t xml:space="preserve">When the caller does not need to wait, messaging decouples systems in time and turns spikes and outages into manageable backlogs rather than cascading failures. Service Bus is the backbone here.</w:t>
      </w:r>
    </w:p>
    <w:p>
      <w:pPr>
        <w:pStyle w:val="Heading3"/>
        <w:spacing w:after="70" w:before="180"/>
      </w:pPr>
      <w:r>
        <w:rPr>
          <w:b/>
          <w:bCs/>
          <w:color w:val="1F3864"/>
          <w:sz w:val="22"/>
          <w:szCs w:val="22"/>
        </w:rPr>
        <w:t xml:space="preserve">5.2.1  Queue-based load levelling</w:t>
      </w:r>
    </w:p>
    <w:p>
      <w:pPr>
        <w:spacing w:after="90" w:before="10"/>
      </w:pPr>
      <w:r>
        <w:rPr>
          <w:i/>
          <w:iCs/>
          <w:color w:val="5A6470"/>
          <w:sz w:val="21"/>
          <w:szCs w:val="21"/>
        </w:rPr>
        <w:t xml:space="preserve">Put a queue between a spiky producer and a limited backend so load is absorbed, not amplified.</w:t>
      </w:r>
    </w:p>
    <w:p>
      <w:pPr>
        <w:spacing w:after="90" w:before="0"/>
      </w:pPr>
      <w:r>
        <w:rPr>
          <w:i/>
          <w:iCs/>
          <w:color w:val="2E5496"/>
          <w:sz w:val="17"/>
          <w:szCs w:val="17"/>
        </w:rPr>
        <w:t xml:space="preserve">Reference deck equivalent: </w:t>
      </w:r>
      <w:r>
        <w:rPr>
          <w:i/>
          <w:iCs/>
          <w:color w:val="5A6470"/>
          <w:sz w:val="17"/>
          <w:szCs w:val="17"/>
        </w:rPr>
        <w:t xml:space="preserve">Reliable Acquisition, Queuing Proxy</w:t>
      </w:r>
    </w:p>
    <w:p>
      <w:pPr>
        <w:spacing w:after="130" w:before="90"/>
        <w:jc w:val="center"/>
      </w:pPr>
      <w:r>
        <w:drawing>
          <wp:inline distT="0" distB="0" distL="0" distR="0">
            <wp:extent cx="51911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91125" cy="5810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At renewal season broker submissions arrive far faster than the policy admin system can process them. Calling it synchronously either overwhelms it or fails the callers.</w:t>
      </w:r>
    </w:p>
    <w:p>
      <w:pPr>
        <w:spacing w:after="120" w:before="40" w:line="276"/>
      </w:pPr>
      <w:r>
        <w:rPr>
          <w:b/>
          <w:bCs/>
          <w:color w:val="1F3864"/>
          <w:sz w:val="21"/>
          <w:szCs w:val="21"/>
        </w:rPr>
        <w:t xml:space="preserve">Solution. </w:t>
      </w:r>
      <w:r>
        <w:rPr>
          <w:color w:val="222831"/>
          <w:sz w:val="21"/>
          <w:szCs w:val="21"/>
        </w:rPr>
        <w:t xml:space="preserve">Accept the work at APIM, drop it on a Service Bus queue, and let a Function consumer process at the rate the backend can sustain. Producer and consumer are now decoupled in time, so a backend outage becomes a growing queue rather than a wave of errors.</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7620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the producer is spikier or faster than the consumer, or the backend's availability must be decoupled from producer load.  </w:t>
      </w:r>
      <w:r>
        <w:rPr>
          <w:b/>
          <w:bCs/>
          <w:color w:val="8A3B2E"/>
          <w:sz w:val="21"/>
          <w:szCs w:val="21"/>
        </w:rPr>
        <w:t xml:space="preserve">Avoid it when </w:t>
      </w:r>
      <w:r>
        <w:rPr>
          <w:color w:val="222831"/>
          <w:sz w:val="21"/>
          <w:szCs w:val="21"/>
        </w:rPr>
        <w:t xml:space="preserve">the caller needs an immediate answer (request/response), or you are ingesting a high-volume telemetry firehose (Event Hubs).</w:t>
      </w:r>
    </w:p>
    <w:p>
      <w:pPr>
        <w:spacing w:after="120" w:before="40" w:line="276"/>
      </w:pPr>
      <w:r>
        <w:rPr>
          <w:b/>
          <w:bCs/>
          <w:color w:val="1F3864"/>
          <w:sz w:val="21"/>
          <w:szCs w:val="21"/>
        </w:rPr>
        <w:t xml:space="preserve">Risks &amp; considerations. </w:t>
      </w:r>
      <w:r>
        <w:rPr>
          <w:color w:val="222831"/>
          <w:sz w:val="21"/>
          <w:szCs w:val="21"/>
        </w:rPr>
        <w:t xml:space="preserve">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pPr>
        <w:spacing w:after="120" w:before="40" w:line="276"/>
      </w:pPr>
      <w:r>
        <w:rPr>
          <w:b/>
          <w:bCs/>
          <w:color w:val="1F3864"/>
          <w:sz w:val="21"/>
          <w:szCs w:val="21"/>
        </w:rPr>
        <w:t xml:space="preserve">Security boundary. </w:t>
      </w:r>
      <w:r>
        <w:rPr>
          <w:color w:val="222831"/>
          <w:sz w:val="21"/>
          <w:szCs w:val="21"/>
        </w:rPr>
        <w:t xml:space="preserve">Landing zone: 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pPr>
        <w:spacing w:after="120" w:before="40" w:line="276"/>
      </w:pPr>
      <w:r>
        <w:rPr>
          <w:b/>
          <w:bCs/>
          <w:color w:val="1F3864"/>
          <w:sz w:val="21"/>
          <w:szCs w:val="21"/>
        </w:rPr>
        <w:t xml:space="preserve">Anti-pattern. </w:t>
      </w:r>
      <w:r>
        <w:rPr>
          <w:color w:val="222831"/>
          <w:sz w:val="21"/>
          <w:szCs w:val="21"/>
        </w:rPr>
        <w:t xml:space="preserve">Hammering a fragile backend synchronously; ignoring the dead-letter queue; reaching for storage queues where you need sessions, DLQ and richer delivery semantics.</w:t>
      </w:r>
    </w:p>
    <w:p>
      <w:pPr>
        <w:spacing w:after="120" w:before="40" w:line="276"/>
      </w:pPr>
      <w:r>
        <w:rPr>
          <w:b/>
          <w:bCs/>
          <w:color w:val="1F3864"/>
          <w:sz w:val="21"/>
          <w:szCs w:val="21"/>
        </w:rPr>
        <w:t xml:space="preserve">In practice. </w:t>
      </w:r>
      <w:r>
        <w:rPr>
          <w:color w:val="222831"/>
          <w:sz w:val="21"/>
          <w:szCs w:val="21"/>
        </w:rPr>
        <w:t xml:space="preserve">Renewal submissions are buffered on Service Bus so the policy admin system drains them at a steady rate.</w:t>
      </w:r>
    </w:p>
    <w:p>
      <w:pPr>
        <w:spacing w:after="150"/>
      </w:pPr>
    </w:p>
    <w:p>
      <w:pPr>
        <w:pStyle w:val="Heading3"/>
        <w:spacing w:after="70" w:before="180"/>
      </w:pPr>
      <w:r>
        <w:rPr>
          <w:b/>
          <w:bCs/>
          <w:color w:val="1F3864"/>
          <w:sz w:val="22"/>
          <w:szCs w:val="22"/>
        </w:rPr>
        <w:t xml:space="preserve">5.2.2  Competing consumers</w:t>
      </w:r>
    </w:p>
    <w:p>
      <w:pPr>
        <w:spacing w:after="90" w:before="10"/>
      </w:pPr>
      <w:r>
        <w:rPr>
          <w:i/>
          <w:iCs/>
          <w:color w:val="5A6470"/>
          <w:sz w:val="21"/>
          <w:szCs w:val="21"/>
        </w:rPr>
        <w:t xml:space="preserve">Scale out throughput by letting several workers pull from one queue.</w:t>
      </w:r>
    </w:p>
    <w:p>
      <w:pPr>
        <w:spacing w:after="90" w:before="0"/>
      </w:pPr>
      <w:r>
        <w:rPr>
          <w:i/>
          <w:iCs/>
          <w:color w:val="2E5496"/>
          <w:sz w:val="17"/>
          <w:szCs w:val="17"/>
        </w:rPr>
        <w:t xml:space="preserve">Reference deck equivalent: </w:t>
      </w:r>
      <w:r>
        <w:rPr>
          <w:i/>
          <w:iCs/>
          <w:color w:val="5A6470"/>
          <w:sz w:val="17"/>
          <w:szCs w:val="17"/>
        </w:rPr>
        <w:t xml:space="preserve">Queuing Proxy (scaled)</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One consumer cannot keep up; work is piling up but the items are independent of each other.</w:t>
      </w:r>
    </w:p>
    <w:p>
      <w:pPr>
        <w:spacing w:after="120" w:before="40" w:line="276"/>
      </w:pPr>
      <w:r>
        <w:rPr>
          <w:b/>
          <w:bCs/>
          <w:color w:val="1F3864"/>
          <w:sz w:val="21"/>
          <w:szCs w:val="21"/>
        </w:rPr>
        <w:t xml:space="preserve">Solution. </w:t>
      </w:r>
      <w:r>
        <w:rPr>
          <w:color w:val="222831"/>
          <w:sz w:val="21"/>
          <w:szCs w:val="21"/>
        </w:rPr>
        <w:t xml:space="preserve">Run multiple consumer instances against the same queue. Service Bus hands each message to exactly one worker and the pool scales with load; for per-entity ordering, sessions pin related messages to one consumer.</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throughput exceeds a single consumer and the work items are independent and parallelisable.  </w:t>
      </w:r>
      <w:r>
        <w:rPr>
          <w:b/>
          <w:bCs/>
          <w:color w:val="8A3B2E"/>
          <w:sz w:val="21"/>
          <w:szCs w:val="21"/>
        </w:rPr>
        <w:t xml:space="preserve">Avoid it when </w:t>
      </w:r>
      <w:r>
        <w:rPr>
          <w:color w:val="222831"/>
          <w:sz w:val="21"/>
          <w:szCs w:val="21"/>
        </w:rPr>
        <w:t xml:space="preserve">you need strict global ordering without sessions, or workers must share mutable state.</w:t>
      </w:r>
    </w:p>
    <w:p>
      <w:pPr>
        <w:spacing w:after="120" w:before="40" w:line="276"/>
      </w:pPr>
      <w:r>
        <w:rPr>
          <w:b/>
          <w:bCs/>
          <w:color w:val="1F3864"/>
          <w:sz w:val="21"/>
          <w:szCs w:val="21"/>
        </w:rPr>
        <w:t xml:space="preserve">Risks &amp; considerations. </w:t>
      </w:r>
      <w:r>
        <w:rPr>
          <w:color w:val="222831"/>
          <w:sz w:val="21"/>
          <w:szCs w:val="21"/>
        </w:rPr>
        <w:t xml:space="preserve">Duplicate delivery still happens, so idempotency remains mandatory. Watch for hot sessions that serialise work and cap your scale-out, and autoscale on queue depth rather than CPU.</w:t>
      </w:r>
    </w:p>
    <w:p>
      <w:pPr>
        <w:spacing w:after="120" w:before="40" w:line="276"/>
      </w:pPr>
      <w:r>
        <w:rPr>
          <w:b/>
          <w:bCs/>
          <w:color w:val="1F3864"/>
          <w:sz w:val="21"/>
          <w:szCs w:val="21"/>
        </w:rPr>
        <w:t xml:space="preserve">Security boundary. </w:t>
      </w:r>
      <w:r>
        <w:rPr>
          <w:color w:val="222831"/>
          <w:sz w:val="21"/>
          <w:szCs w:val="21"/>
        </w:rPr>
        <w:t xml:space="preserve">Landing zone: Service Bus and the Function pool in spokes, internal. Within Azure: Private Endpoint, managed identity with least-privilege RBAC, TLS. Outside Azure: none.</w:t>
      </w:r>
    </w:p>
    <w:p>
      <w:pPr>
        <w:spacing w:after="120" w:before="40" w:line="276"/>
      </w:pPr>
      <w:r>
        <w:rPr>
          <w:b/>
          <w:bCs/>
          <w:color w:val="1F3864"/>
          <w:sz w:val="21"/>
          <w:szCs w:val="21"/>
        </w:rPr>
        <w:t xml:space="preserve">Anti-pattern. </w:t>
      </w:r>
      <w:r>
        <w:rPr>
          <w:color w:val="222831"/>
          <w:sz w:val="21"/>
          <w:szCs w:val="21"/>
        </w:rPr>
        <w:t xml:space="preserve">Assuming ordering without sessions; sharing mutable state between workers.</w:t>
      </w:r>
    </w:p>
    <w:p>
      <w:pPr>
        <w:spacing w:after="120" w:before="40" w:line="276"/>
      </w:pPr>
      <w:r>
        <w:rPr>
          <w:b/>
          <w:bCs/>
          <w:color w:val="1F3864"/>
          <w:sz w:val="21"/>
          <w:szCs w:val="21"/>
        </w:rPr>
        <w:t xml:space="preserve">In practice. </w:t>
      </w:r>
      <w:r>
        <w:rPr>
          <w:color w:val="222831"/>
          <w:sz w:val="21"/>
          <w:szCs w:val="21"/>
        </w:rPr>
        <w:t xml:space="preserve">A backlog of document-processing jobs is cleared by an autoscaling pool of Function workers.</w:t>
      </w:r>
    </w:p>
    <w:p>
      <w:pPr>
        <w:spacing w:after="150"/>
      </w:pPr>
    </w:p>
    <w:p>
      <w:pPr>
        <w:pStyle w:val="Heading3"/>
        <w:spacing w:after="70" w:before="180"/>
      </w:pPr>
      <w:r>
        <w:rPr>
          <w:b/>
          <w:bCs/>
          <w:color w:val="1F3864"/>
          <w:sz w:val="22"/>
          <w:szCs w:val="22"/>
        </w:rPr>
        <w:t xml:space="preserve">5.2.3  Asynchronous request-reply</w:t>
      </w:r>
    </w:p>
    <w:p>
      <w:pPr>
        <w:spacing w:after="90" w:before="10"/>
      </w:pPr>
      <w:r>
        <w:rPr>
          <w:i/>
          <w:iCs/>
          <w:color w:val="5A6470"/>
          <w:sz w:val="21"/>
          <w:szCs w:val="21"/>
        </w:rPr>
        <w:t xml:space="preserve">Accept now, answer later, a 202 and a status endpoint instead of a held-open connection.</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caller wants a result from an operation that takes too long to hold a synchronous HTTP connection open for.</w:t>
      </w:r>
    </w:p>
    <w:p>
      <w:pPr>
        <w:spacing w:after="120" w:before="40" w:line="276"/>
      </w:pPr>
      <w:r>
        <w:rPr>
          <w:b/>
          <w:bCs/>
          <w:color w:val="1F3864"/>
          <w:sz w:val="21"/>
          <w:szCs w:val="21"/>
        </w:rPr>
        <w:t xml:space="preserve">Solution. </w:t>
      </w:r>
      <w:r>
        <w:rPr>
          <w:color w:val="222831"/>
          <w:sz w:val="21"/>
          <w:szCs w:val="21"/>
        </w:rPr>
        <w:t xml:space="preserve">APIM accepts the request, returns 202 with a status URL and a correlation id, and drops the work on a queue. A Function processes it and updates a status store or calls back; the caller polls the status endpoint or receives the callback.</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the operation is too long for a synchronous reply but the caller still needs the eventual result.  </w:t>
      </w:r>
      <w:r>
        <w:rPr>
          <w:b/>
          <w:bCs/>
          <w:color w:val="8A3B2E"/>
          <w:sz w:val="21"/>
          <w:szCs w:val="21"/>
        </w:rPr>
        <w:t xml:space="preserve">Avoid it when </w:t>
      </w:r>
      <w:r>
        <w:rPr>
          <w:color w:val="222831"/>
          <w:sz w:val="21"/>
          <w:szCs w:val="21"/>
        </w:rPr>
        <w:t xml:space="preserve">the result is instant (keep it synchronous) or there is no way to correlate request and reply.</w:t>
      </w:r>
    </w:p>
    <w:p>
      <w:pPr>
        <w:spacing w:after="120" w:before="40" w:line="276"/>
      </w:pPr>
      <w:r>
        <w:rPr>
          <w:b/>
          <w:bCs/>
          <w:color w:val="1F3864"/>
          <w:sz w:val="21"/>
          <w:szCs w:val="21"/>
        </w:rPr>
        <w:t xml:space="preserve">Risks &amp; considerations. </w:t>
      </w:r>
      <w:r>
        <w:rPr>
          <w:color w:val="222831"/>
          <w:sz w:val="21"/>
          <w:szCs w:val="21"/>
        </w:rPr>
        <w:t xml:space="preserve">The client contract is now two-phase, document the 202/polling behaviour clearly. Keep a durable status store and expire abandoned requests so they do not accumulate, and carry the correlation id end-to-end or you lose traceability.</w:t>
      </w:r>
    </w:p>
    <w:p>
      <w:pPr>
        <w:spacing w:after="120" w:before="40" w:line="276"/>
      </w:pPr>
      <w:r>
        <w:rPr>
          <w:b/>
          <w:bCs/>
          <w:color w:val="1F3864"/>
          <w:sz w:val="21"/>
          <w:szCs w:val="21"/>
        </w:rPr>
        <w:t xml:space="preserve">Security boundary. </w:t>
      </w:r>
      <w:r>
        <w:rPr>
          <w:color w:val="222831"/>
          <w:sz w:val="21"/>
          <w:szCs w:val="21"/>
        </w:rPr>
        <w:t xml:space="preserve">Landing zone: APIM (shared), Service Bus and Function (spokes), internal. Within Azure: Private Endpoints, managed identity, TLS; the correlation id carries no secret material. Outside Azure: none unless the caller is external, in which case the request and status endpoints are exposed through the edge (Front Door + WAF + APIM, OAuth).</w:t>
      </w:r>
    </w:p>
    <w:p>
      <w:pPr>
        <w:spacing w:after="120" w:before="40" w:line="276"/>
      </w:pPr>
      <w:r>
        <w:rPr>
          <w:b/>
          <w:bCs/>
          <w:color w:val="1F3864"/>
          <w:sz w:val="21"/>
          <w:szCs w:val="21"/>
        </w:rPr>
        <w:t xml:space="preserve">Anti-pattern. </w:t>
      </w:r>
      <w:r>
        <w:rPr>
          <w:color w:val="222831"/>
          <w:sz w:val="21"/>
          <w:szCs w:val="21"/>
        </w:rPr>
        <w:t xml:space="preserve">Holding a synchronous connection open for minutes; omitting a correlation id.</w:t>
      </w:r>
    </w:p>
    <w:p>
      <w:pPr>
        <w:spacing w:after="120" w:before="40" w:line="276"/>
      </w:pPr>
      <w:r>
        <w:rPr>
          <w:b/>
          <w:bCs/>
          <w:color w:val="1F3864"/>
          <w:sz w:val="21"/>
          <w:szCs w:val="21"/>
        </w:rPr>
        <w:t xml:space="preserve">In practice. </w:t>
      </w:r>
      <w:r>
        <w:rPr>
          <w:color w:val="222831"/>
          <w:sz w:val="21"/>
          <w:szCs w:val="21"/>
        </w:rPr>
        <w:t xml:space="preserve">A bulk quote request returns 202 and a status URL; the completed result is available when processing finishes.</w:t>
      </w:r>
    </w:p>
    <w:p>
      <w:pPr>
        <w:spacing w:after="150"/>
      </w:pPr>
    </w:p>
    <w:p>
      <w:pPr>
        <w:pStyle w:val="Heading3"/>
        <w:spacing w:after="70" w:before="180"/>
      </w:pPr>
      <w:r>
        <w:rPr>
          <w:b/>
          <w:bCs/>
          <w:color w:val="1F3864"/>
          <w:sz w:val="22"/>
          <w:szCs w:val="22"/>
        </w:rPr>
        <w:t xml:space="preserve">5.2.4  Claim-check</w:t>
      </w:r>
    </w:p>
    <w:p>
      <w:pPr>
        <w:spacing w:after="90" w:before="10"/>
      </w:pPr>
      <w:r>
        <w:rPr>
          <w:i/>
          <w:iCs/>
          <w:color w:val="5A6470"/>
          <w:sz w:val="21"/>
          <w:szCs w:val="21"/>
        </w:rPr>
        <w:t xml:space="preserve">Keep large payloads off the bus, pass a reference, store the body in Blob.</w:t>
      </w:r>
    </w:p>
    <w:p>
      <w:pPr>
        <w:spacing w:after="130" w:before="90"/>
        <w:jc w:val="center"/>
      </w:pPr>
      <w:r>
        <w:drawing>
          <wp:inline distT="0" distB="0" distL="0" distR="0">
            <wp:extent cx="51911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91125" cy="19716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message-based flow needs to carry a large document, but the bus has size limits and large messages are slow and expensive.</w:t>
      </w:r>
    </w:p>
    <w:p>
      <w:pPr>
        <w:spacing w:after="120" w:before="40" w:line="276"/>
      </w:pPr>
      <w:r>
        <w:rPr>
          <w:b/>
          <w:bCs/>
          <w:color w:val="1F3864"/>
          <w:sz w:val="21"/>
          <w:szCs w:val="21"/>
        </w:rPr>
        <w:t xml:space="preserve">Solution. </w:t>
      </w:r>
      <w:r>
        <w:rPr>
          <w:color w:val="222831"/>
          <w:sz w:val="21"/>
          <w:szCs w:val="21"/>
        </w:rPr>
        <w:t xml:space="preserve">The producer writes the payload to Blob storage and puts only a reference on the queue; the consumer reads the reference and fetches the body from Blob. The messaging layer stays lean.</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payloads approach or exceed message-size limits within an otherwise message-based flow.  </w:t>
      </w:r>
      <w:r>
        <w:rPr>
          <w:b/>
          <w:bCs/>
          <w:color w:val="8A3B2E"/>
          <w:sz w:val="21"/>
          <w:szCs w:val="21"/>
        </w:rPr>
        <w:t xml:space="preserve">Avoid it when </w:t>
      </w:r>
      <w:r>
        <w:rPr>
          <w:color w:val="222831"/>
          <w:sz w:val="21"/>
          <w:szCs w:val="21"/>
        </w:rPr>
        <w:t xml:space="preserve">payloads are small enough to carry inline, or the data is really a bulk data-platform concern.</w:t>
      </w:r>
    </w:p>
    <w:p>
      <w:pPr>
        <w:spacing w:after="120" w:before="40" w:line="276"/>
      </w:pPr>
      <w:r>
        <w:rPr>
          <w:b/>
          <w:bCs/>
          <w:color w:val="1F3864"/>
          <w:sz w:val="21"/>
          <w:szCs w:val="21"/>
        </w:rPr>
        <w:t xml:space="preserve">Risks &amp; considerations. </w:t>
      </w:r>
      <w:r>
        <w:rPr>
          <w:color w:val="222831"/>
          <w:sz w:val="21"/>
          <w:szCs w:val="21"/>
        </w:rPr>
        <w:t xml:space="preserve">Reference and payload now have independent lifetimes, a lifecycle policy must purge transient blobs or you leak cost, and the reference is useless if the blob has gone. Reach Blob over a Private Endpoint with RBAC; no account keys, no public SAS.</w:t>
      </w:r>
    </w:p>
    <w:p>
      <w:pPr>
        <w:spacing w:after="120" w:before="40" w:line="276"/>
      </w:pPr>
      <w:r>
        <w:rPr>
          <w:b/>
          <w:bCs/>
          <w:color w:val="1F3864"/>
          <w:sz w:val="21"/>
          <w:szCs w:val="21"/>
        </w:rPr>
        <w:t xml:space="preserve">Security boundary. </w:t>
      </w:r>
      <w:r>
        <w:rPr>
          <w:color w:val="222831"/>
          <w:sz w:val="21"/>
          <w:szCs w:val="21"/>
        </w:rPr>
        <w:t xml:space="preserve">Landing zone: 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pPr>
        <w:spacing w:after="120" w:before="40" w:line="276"/>
      </w:pPr>
      <w:r>
        <w:rPr>
          <w:b/>
          <w:bCs/>
          <w:color w:val="1F3864"/>
          <w:sz w:val="21"/>
          <w:szCs w:val="21"/>
        </w:rPr>
        <w:t xml:space="preserve">Anti-pattern. </w:t>
      </w:r>
      <w:r>
        <w:rPr>
          <w:color w:val="222831"/>
          <w:sz w:val="21"/>
          <w:szCs w:val="21"/>
        </w:rPr>
        <w:t xml:space="preserve">Large binaries on the bus; public or long-lived SAS URLs to the payload.</w:t>
      </w:r>
    </w:p>
    <w:p>
      <w:pPr>
        <w:spacing w:after="120" w:before="40" w:line="276"/>
      </w:pPr>
      <w:r>
        <w:rPr>
          <w:b/>
          <w:bCs/>
          <w:color w:val="1F3864"/>
          <w:sz w:val="21"/>
          <w:szCs w:val="21"/>
        </w:rPr>
        <w:t xml:space="preserve">In practice. </w:t>
      </w:r>
      <w:r>
        <w:rPr>
          <w:color w:val="222831"/>
          <w:sz w:val="21"/>
          <w:szCs w:val="21"/>
        </w:rPr>
        <w:t xml:space="preserve">A large bordereaux file is staged in Blob and only its reference flows through the pipeline.</w:t>
      </w:r>
    </w:p>
    <w:p>
      <w:pPr>
        <w:spacing w:after="150"/>
      </w:pPr>
    </w:p>
    <w:p>
      <w:pPr>
        <w:pStyle w:val="Heading3"/>
        <w:spacing w:after="70" w:before="180"/>
      </w:pPr>
      <w:r>
        <w:rPr>
          <w:b/>
          <w:bCs/>
          <w:color w:val="1F3864"/>
          <w:sz w:val="22"/>
          <w:szCs w:val="22"/>
        </w:rPr>
        <w:t xml:space="preserve">5.2.5  Reliable messaging</w:t>
      </w:r>
    </w:p>
    <w:p>
      <w:pPr>
        <w:spacing w:after="90" w:before="10"/>
      </w:pPr>
      <w:r>
        <w:rPr>
          <w:i/>
          <w:iCs/>
          <w:color w:val="5A6470"/>
          <w:sz w:val="21"/>
          <w:szCs w:val="21"/>
        </w:rPr>
        <w:t xml:space="preserve">For business-critical messages: never lost, and effectively processed once.</w:t>
      </w:r>
    </w:p>
    <w:p>
      <w:pPr>
        <w:spacing w:after="90" w:before="0"/>
      </w:pPr>
      <w:r>
        <w:rPr>
          <w:i/>
          <w:iCs/>
          <w:color w:val="2E5496"/>
          <w:sz w:val="17"/>
          <w:szCs w:val="17"/>
        </w:rPr>
        <w:t xml:space="preserve">Reference deck equivalent: </w:t>
      </w:r>
      <w:r>
        <w:rPr>
          <w:i/>
          <w:iCs/>
          <w:color w:val="5A6470"/>
          <w:sz w:val="17"/>
          <w:szCs w:val="17"/>
        </w:rPr>
        <w:t xml:space="preserve">Queuing Proxy</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financial posting must not be lost, and must never be applied twice, even if the broker retries or the platform redelivers.</w:t>
      </w:r>
    </w:p>
    <w:p>
      <w:pPr>
        <w:spacing w:after="120" w:before="40" w:line="276"/>
      </w:pPr>
      <w:r>
        <w:rPr>
          <w:b/>
          <w:bCs/>
          <w:color w:val="1F3864"/>
          <w:sz w:val="21"/>
          <w:szCs w:val="21"/>
        </w:rPr>
        <w:t xml:space="preserve">Solution. </w:t>
      </w:r>
      <w:r>
        <w:rPr>
          <w:color w:val="222831"/>
          <w:sz w:val="21"/>
          <w:szCs w:val="21"/>
        </w:rPr>
        <w:t xml:space="preserve">Use Service Bus with duplicate detection and, where order matters, sessions; make the consumer idempotent so redelivery is safe; and where the event must be published in step with a local state change, use a transactional outbox. "Exactly once" is not something the transport gives you, you engineer it from at-least-once delivery plus idempotency.</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message loss or double-processing has real financial or data-integrity impact.  </w:t>
      </w:r>
      <w:r>
        <w:rPr>
          <w:b/>
          <w:bCs/>
          <w:color w:val="8A3B2E"/>
          <w:sz w:val="21"/>
          <w:szCs w:val="21"/>
        </w:rPr>
        <w:t xml:space="preserve">Avoid it when </w:t>
      </w:r>
      <w:r>
        <w:rPr>
          <w:color w:val="222831"/>
          <w:sz w:val="21"/>
          <w:szCs w:val="21"/>
        </w:rPr>
        <w:t xml:space="preserve">the notification is best-effort and replaceable, use Event Grid.</w:t>
      </w:r>
    </w:p>
    <w:p>
      <w:pPr>
        <w:spacing w:after="120" w:before="40" w:line="276"/>
      </w:pPr>
      <w:r>
        <w:rPr>
          <w:b/>
          <w:bCs/>
          <w:color w:val="1F3864"/>
          <w:sz w:val="21"/>
          <w:szCs w:val="21"/>
        </w:rPr>
        <w:t xml:space="preserve">Risks &amp; considerations. </w:t>
      </w:r>
      <w:r>
        <w:rPr>
          <w:color w:val="222831"/>
          <w:sz w:val="21"/>
          <w:szCs w:val="21"/>
        </w:rPr>
        <w:t xml:space="preserve">Duplicate-detection windows are finite, so design the idempotency key to outlive them. Premium throughput costs money, size it to the criticality tier, not to the peak of peaks.</w:t>
      </w:r>
    </w:p>
    <w:p>
      <w:pPr>
        <w:spacing w:after="120" w:before="40" w:line="276"/>
      </w:pPr>
      <w:r>
        <w:rPr>
          <w:b/>
          <w:bCs/>
          <w:color w:val="1F3864"/>
          <w:sz w:val="21"/>
          <w:szCs w:val="21"/>
        </w:rPr>
        <w:t xml:space="preserve">Security boundary. </w:t>
      </w:r>
      <w:r>
        <w:rPr>
          <w:color w:val="222831"/>
          <w:sz w:val="21"/>
          <w:szCs w:val="21"/>
        </w:rPr>
        <w:t xml:space="preserve">Landing zone: Service Bus and consumer in spokes, internal. Within Azure: Private Endpoint, managed identity, TLS; idempotency keys carry no secrets. Outside Azure: none.</w:t>
      </w:r>
    </w:p>
    <w:p>
      <w:pPr>
        <w:spacing w:after="120" w:before="40" w:line="276"/>
      </w:pPr>
      <w:r>
        <w:rPr>
          <w:b/>
          <w:bCs/>
          <w:color w:val="1F3864"/>
          <w:sz w:val="21"/>
          <w:szCs w:val="21"/>
        </w:rPr>
        <w:t xml:space="preserve">Anti-pattern. </w:t>
      </w:r>
      <w:r>
        <w:rPr>
          <w:color w:val="222831"/>
          <w:sz w:val="21"/>
          <w:szCs w:val="21"/>
        </w:rPr>
        <w:t xml:space="preserve">Assuming exactly-once delivery; non-idempotent consumers that double-apply effects.</w:t>
      </w:r>
    </w:p>
    <w:p>
      <w:pPr>
        <w:spacing w:after="120" w:before="40" w:line="276"/>
      </w:pPr>
      <w:r>
        <w:rPr>
          <w:b/>
          <w:bCs/>
          <w:color w:val="1F3864"/>
          <w:sz w:val="21"/>
          <w:szCs w:val="21"/>
        </w:rPr>
        <w:t xml:space="preserve">In practice. </w:t>
      </w:r>
      <w:r>
        <w:rPr>
          <w:color w:val="222831"/>
          <w:sz w:val="21"/>
          <w:szCs w:val="21"/>
        </w:rPr>
        <w:t xml:space="preserve">A finance-posting message carries an idempotency key, so a redelivery is recognised and ignored.</w:t>
      </w:r>
    </w:p>
    <w:p>
      <w:pPr>
        <w:spacing w:after="150"/>
      </w:pPr>
    </w:p>
    <w:p>
      <w:pPr>
        <w:pStyle w:val="Heading3"/>
        <w:spacing w:after="70" w:before="180"/>
      </w:pPr>
      <w:r>
        <w:rPr>
          <w:b/>
          <w:bCs/>
          <w:color w:val="1F3864"/>
          <w:sz w:val="22"/>
          <w:szCs w:val="22"/>
        </w:rPr>
        <w:t xml:space="preserve">5.2.6  Scheduled / timed trigger</w:t>
      </w:r>
    </w:p>
    <w:p>
      <w:pPr>
        <w:spacing w:after="90" w:before="10"/>
      </w:pPr>
      <w:r>
        <w:rPr>
          <w:i/>
          <w:iCs/>
          <w:color w:val="5A6470"/>
          <w:sz w:val="21"/>
          <w:szCs w:val="21"/>
        </w:rPr>
        <w:t xml:space="preserve">Kick off integration work on a clock when there is no event to react to.</w:t>
      </w:r>
    </w:p>
    <w:p>
      <w:pPr>
        <w:spacing w:after="90" w:before="0"/>
      </w:pPr>
      <w:r>
        <w:rPr>
          <w:i/>
          <w:iCs/>
          <w:color w:val="2E5496"/>
          <w:sz w:val="17"/>
          <w:szCs w:val="17"/>
        </w:rPr>
        <w:t xml:space="preserve">Reference deck equivalent: </w:t>
      </w:r>
      <w:r>
        <w:rPr>
          <w:i/>
          <w:iCs/>
          <w:color w:val="5A6470"/>
          <w:sz w:val="17"/>
          <w:szCs w:val="17"/>
        </w:rPr>
        <w:t xml:space="preserve">Timed Event, Timed Data Sync</w:t>
      </w:r>
    </w:p>
    <w:p>
      <w:pPr>
        <w:spacing w:after="130" w:before="90"/>
        <w:jc w:val="center"/>
      </w:pPr>
      <w:r>
        <w:drawing>
          <wp:inline distT="0" distB="0" distL="0" distR="0">
            <wp:extent cx="519112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91125" cy="8477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Some work is inherently periodic, an end-of-day reconciliation, a scheduled extract for a partner, a nightly sweep of a source that cannot emit events. Event-driven is the default in this framework, but forcing an event where none exists is its own contortion.</w:t>
      </w:r>
    </w:p>
    <w:p>
      <w:pPr>
        <w:spacing w:after="120" w:before="40" w:line="276"/>
      </w:pPr>
      <w:r>
        <w:rPr>
          <w:b/>
          <w:bCs/>
          <w:color w:val="1F3864"/>
          <w:sz w:val="21"/>
          <w:szCs w:val="21"/>
        </w:rPr>
        <w:t xml:space="preserve">Solution. </w:t>
      </w:r>
      <w:r>
        <w:rPr>
          <w:color w:val="222831"/>
          <w:sz w:val="21"/>
          <w:szCs w:val="21"/>
        </w:rPr>
        <w:t xml:space="preserve">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the cadence is time-based (end-of-day, regulatory windows) or the source cannot notify and there is no event to subscribe to.  </w:t>
      </w:r>
      <w:r>
        <w:rPr>
          <w:b/>
          <w:bCs/>
          <w:color w:val="8A3B2E"/>
          <w:sz w:val="21"/>
          <w:szCs w:val="21"/>
        </w:rPr>
        <w:t xml:space="preserve">Avoid it when </w:t>
      </w:r>
      <w:r>
        <w:rPr>
          <w:color w:val="222831"/>
          <w:sz w:val="21"/>
          <w:szCs w:val="21"/>
        </w:rPr>
        <w:t xml:space="preserve">an event exists to react to, use it (5.3.x); or you are timer-polling a folder or table to fake real-time, which is an anti-pattern, not this pattern.</w:t>
      </w:r>
    </w:p>
    <w:p>
      <w:pPr>
        <w:spacing w:after="120" w:before="40" w:line="276"/>
      </w:pPr>
      <w:r>
        <w:rPr>
          <w:b/>
          <w:bCs/>
          <w:color w:val="1F3864"/>
          <w:sz w:val="21"/>
          <w:szCs w:val="21"/>
        </w:rPr>
        <w:t xml:space="preserve">Risks &amp; considerations. </w:t>
      </w:r>
      <w:r>
        <w:rPr>
          <w:color w:val="222831"/>
          <w:sz w:val="21"/>
          <w:szCs w:val="21"/>
        </w:rPr>
        <w:t xml:space="preserve">Schedules drift into hidden coupling and surprise load spikes, document the cadence, stagger jobs, and make each run idempotent and safe to re-run after a missed or overlapping execution. Alert on missed runs; a silent scheduler is worse than a failed call.</w:t>
      </w:r>
    </w:p>
    <w:p>
      <w:pPr>
        <w:spacing w:after="120" w:before="40" w:line="276"/>
      </w:pPr>
      <w:r>
        <w:rPr>
          <w:b/>
          <w:bCs/>
          <w:color w:val="1F3864"/>
          <w:sz w:val="21"/>
          <w:szCs w:val="21"/>
        </w:rPr>
        <w:t xml:space="preserve">Security boundary. </w:t>
      </w:r>
      <w:r>
        <w:rPr>
          <w:color w:val="222831"/>
          <w:sz w:val="21"/>
          <w:szCs w:val="21"/>
        </w:rPr>
        <w:t xml:space="preserve">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(5.5.2).</w:t>
      </w:r>
    </w:p>
    <w:p>
      <w:pPr>
        <w:spacing w:after="120" w:before="40" w:line="276"/>
      </w:pPr>
      <w:r>
        <w:rPr>
          <w:b/>
          <w:bCs/>
          <w:color w:val="1F3864"/>
          <w:sz w:val="21"/>
          <w:szCs w:val="21"/>
        </w:rPr>
        <w:t xml:space="preserve">Anti-pattern. </w:t>
      </w:r>
      <w:r>
        <w:rPr>
          <w:color w:val="222831"/>
          <w:sz w:val="21"/>
          <w:szCs w:val="21"/>
        </w:rPr>
        <w:t xml:space="preserve">Timer-polling a data source or folder to simulate real-time; overlapping runs with no idempotency; schedules scattered across teams with no visibility.</w:t>
      </w:r>
    </w:p>
    <w:p>
      <w:pPr>
        <w:spacing w:after="120" w:before="40" w:line="276"/>
      </w:pPr>
      <w:r>
        <w:rPr>
          <w:b/>
          <w:bCs/>
          <w:color w:val="1F3864"/>
          <w:sz w:val="21"/>
          <w:szCs w:val="21"/>
        </w:rPr>
        <w:t xml:space="preserve">In practice. </w:t>
      </w:r>
      <w:r>
        <w:rPr>
          <w:color w:val="222831"/>
          <w:sz w:val="21"/>
          <w:szCs w:val="21"/>
        </w:rPr>
        <w:t xml:space="preserve">An end-of-day reconciliation between the policy system and finance runs on a Logic App recurrence and dispatches the day's deltas onto Service Bus.</w:t>
      </w:r>
    </w:p>
    <w:p>
      <w:pPr>
        <w:spacing w:after="150"/>
      </w:pPr>
    </w:p>
    <w:p>
      <w:pPr>
        <w:pStyle w:val="Heading2"/>
        <w:spacing w:after="100" w:before="220"/>
      </w:pPr>
      <w:r>
        <w:rPr>
          <w:b/>
          <w:bCs/>
          <w:color w:val="2E5496"/>
          <w:sz w:val="25"/>
          <w:szCs w:val="25"/>
        </w:rPr>
        <w:t xml:space="preserve">5.3 Event-driven, events, webhooks and streaming</w:t>
      </w:r>
    </w:p>
    <w:p>
      <w:pPr>
        <w:spacing w:after="100" w:before="0" w:line="276"/>
      </w:pPr>
      <w:r>
        <w:rPr>
          <w:color w:val="222831"/>
          <w:sz w:val="21"/>
          <w:szCs w:val="21"/>
        </w:rPr>
        <w:t xml:space="preserve">Event-driven integration is the strongest lever for removing point-to-point coupling: a producer announces that something happened and interested parties react, without the producer knowing who they are. The three services behind this style are not interchangeable, Section 3.2 is the reference for choosing between them.</w:t>
      </w:r>
    </w:p>
    <w:p>
      <w:pPr>
        <w:pStyle w:val="Heading3"/>
        <w:spacing w:after="70" w:before="180"/>
      </w:pPr>
      <w:r>
        <w:rPr>
          <w:b/>
          <w:bCs/>
          <w:color w:val="1F3864"/>
          <w:sz w:val="22"/>
          <w:szCs w:val="22"/>
        </w:rPr>
        <w:t xml:space="preserve">5.3.1  Publish / subscribe fan-out</w:t>
      </w:r>
    </w:p>
    <w:p>
      <w:pPr>
        <w:spacing w:after="90" w:before="10"/>
      </w:pPr>
      <w:r>
        <w:rPr>
          <w:i/>
          <w:iCs/>
          <w:color w:val="5A6470"/>
          <w:sz w:val="21"/>
          <w:szCs w:val="21"/>
        </w:rPr>
        <w:t xml:space="preserve">Publish a business event once; let interested consumers subscribe independently.</w:t>
      </w:r>
    </w:p>
    <w:p>
      <w:pPr>
        <w:spacing w:after="90" w:before="0"/>
      </w:pPr>
      <w:r>
        <w:rPr>
          <w:i/>
          <w:iCs/>
          <w:color w:val="2E5496"/>
          <w:sz w:val="17"/>
          <w:szCs w:val="17"/>
        </w:rPr>
        <w:t xml:space="preserve">Reference deck equivalent: </w:t>
      </w:r>
      <w:r>
        <w:rPr>
          <w:i/>
          <w:iCs/>
          <w:color w:val="5A6470"/>
          <w:sz w:val="17"/>
          <w:szCs w:val="17"/>
        </w:rPr>
        <w:t xml:space="preserve">Message Bridge, Async Mediation</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When a policy is bound, finance, document generation and the analytics offload all need to know. Wiring the publisher to each recreates point-to-point coupling and means changing the publisher every time a consumer is added.</w:t>
      </w:r>
    </w:p>
    <w:p>
      <w:pPr>
        <w:spacing w:after="120" w:before="40" w:line="276"/>
      </w:pPr>
      <w:r>
        <w:rPr>
          <w:b/>
          <w:bCs/>
          <w:color w:val="1F3864"/>
          <w:sz w:val="21"/>
          <w:szCs w:val="21"/>
        </w:rPr>
        <w:t xml:space="preserve">Solution. </w:t>
      </w:r>
      <w:r>
        <w:rPr>
          <w:color w:val="222831"/>
          <w:sz w:val="21"/>
          <w:szCs w:val="21"/>
        </w:rPr>
        <w:t xml:space="preserve">The publisher emits a "PolicyBound" event to a Service Bus topic; each consumer owns a subscription with its own filter and dead-letter queue. Consumers come and go without the publisher knowing. This is the primary tool for eliminating point-to-point integration.</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several consumers must react to the same business event and you want durable, filterable, independently-consumed delivery.  </w:t>
      </w:r>
      <w:r>
        <w:rPr>
          <w:b/>
          <w:bCs/>
          <w:color w:val="8A3B2E"/>
          <w:sz w:val="21"/>
          <w:szCs w:val="21"/>
        </w:rPr>
        <w:t xml:space="preserve">Avoid it when </w:t>
      </w:r>
      <w:r>
        <w:rPr>
          <w:color w:val="222831"/>
          <w:sz w:val="21"/>
          <w:szCs w:val="21"/>
        </w:rPr>
        <w:t xml:space="preserve">it is a lightweight reactive trigger with no durability need (Event Grid), or a high-volume stream (Event Hubs).</w:t>
      </w:r>
    </w:p>
    <w:p>
      <w:pPr>
        <w:spacing w:after="120" w:before="40" w:line="276"/>
      </w:pPr>
      <w:r>
        <w:rPr>
          <w:b/>
          <w:bCs/>
          <w:color w:val="1F3864"/>
          <w:sz w:val="21"/>
          <w:szCs w:val="21"/>
        </w:rPr>
        <w:t xml:space="preserve">Risks &amp; considerations. </w:t>
      </w:r>
      <w:r>
        <w:rPr>
          <w:color w:val="222831"/>
          <w:sz w:val="21"/>
          <w:szCs w:val="21"/>
        </w:rPr>
        <w:t xml:space="preserve">Subscriptions proliferate, so govern them and monitor each one's dead-letter queue, a broken filter silently drops messages. A slow subscriber builds its own backlog without affecting the others, which is the point, but it needs its own alerting.</w:t>
      </w:r>
    </w:p>
    <w:p>
      <w:pPr>
        <w:spacing w:after="120" w:before="40" w:line="276"/>
      </w:pPr>
      <w:r>
        <w:rPr>
          <w:b/>
          <w:bCs/>
          <w:color w:val="1F3864"/>
          <w:sz w:val="21"/>
          <w:szCs w:val="21"/>
        </w:rPr>
        <w:t xml:space="preserve">Security boundary. </w:t>
      </w:r>
      <w:r>
        <w:rPr>
          <w:color w:val="222831"/>
          <w:sz w:val="21"/>
          <w:szCs w:val="21"/>
        </w:rPr>
        <w:t xml:space="preserve">Landing zone: the Service Bus topic and its subscribers in spokes, internal. Within Azure: Private Endpoint, per-subscription managed-identity RBAC, TLS. Outside Azure: none.</w:t>
      </w:r>
    </w:p>
    <w:p>
      <w:pPr>
        <w:spacing w:after="120" w:before="40" w:line="276"/>
      </w:pPr>
      <w:r>
        <w:rPr>
          <w:b/>
          <w:bCs/>
          <w:color w:val="1F3864"/>
          <w:sz w:val="21"/>
          <w:szCs w:val="21"/>
        </w:rPr>
        <w:t xml:space="preserve">Anti-pattern. </w:t>
      </w:r>
      <w:r>
        <w:rPr>
          <w:color w:val="222831"/>
          <w:sz w:val="21"/>
          <w:szCs w:val="21"/>
        </w:rPr>
        <w:t xml:space="preserve">Hardwiring point-to-point instead of publishing; a publisher that knows its subscribers; using Event Grid where you need durable, ordered, competing-consumer delivery.</w:t>
      </w:r>
    </w:p>
    <w:p>
      <w:pPr>
        <w:spacing w:after="120" w:before="40" w:line="276"/>
      </w:pPr>
      <w:r>
        <w:rPr>
          <w:b/>
          <w:bCs/>
          <w:color w:val="1F3864"/>
          <w:sz w:val="21"/>
          <w:szCs w:val="21"/>
        </w:rPr>
        <w:t xml:space="preserve">In practice. </w:t>
      </w:r>
      <w:r>
        <w:rPr>
          <w:color w:val="222831"/>
          <w:sz w:val="21"/>
          <w:szCs w:val="21"/>
        </w:rPr>
        <w:t xml:space="preserve">"PolicyBound" is consumed independently by finance, document generation and the analytics offload.</w:t>
      </w:r>
    </w:p>
    <w:p>
      <w:pPr>
        <w:spacing w:after="150"/>
      </w:pPr>
    </w:p>
    <w:p>
      <w:pPr>
        <w:pStyle w:val="Heading3"/>
        <w:spacing w:after="70" w:before="180"/>
      </w:pPr>
      <w:r>
        <w:rPr>
          <w:b/>
          <w:bCs/>
          <w:color w:val="1F3864"/>
          <w:sz w:val="22"/>
          <w:szCs w:val="22"/>
        </w:rPr>
        <w:t xml:space="preserve">5.3.2  Discrete event notification</w:t>
      </w:r>
    </w:p>
    <w:p>
      <w:pPr>
        <w:spacing w:after="90" w:before="10"/>
      </w:pPr>
      <w:r>
        <w:rPr>
          <w:i/>
          <w:iCs/>
          <w:color w:val="5A6470"/>
          <w:sz w:val="21"/>
          <w:szCs w:val="21"/>
        </w:rPr>
        <w:t xml:space="preserve">A thin "it happened" signal for near-real-time reactions.</w:t>
      </w:r>
    </w:p>
    <w:p>
      <w:pPr>
        <w:spacing w:after="90" w:before="0"/>
      </w:pPr>
      <w:r>
        <w:rPr>
          <w:i/>
          <w:iCs/>
          <w:color w:val="2E5496"/>
          <w:sz w:val="17"/>
          <w:szCs w:val="17"/>
        </w:rPr>
        <w:t xml:space="preserve">Reference deck equivalent: </w:t>
      </w:r>
      <w:r>
        <w:rPr>
          <w:i/>
          <w:iCs/>
          <w:color w:val="5A6470"/>
          <w:sz w:val="17"/>
          <w:szCs w:val="17"/>
        </w:rPr>
        <w:t xml:space="preserve">Event-Driven Data Sync</w:t>
      </w:r>
    </w:p>
    <w:p>
      <w:pPr>
        <w:spacing w:after="130" w:before="90"/>
        <w:jc w:val="center"/>
      </w:pPr>
      <w:r>
        <w:drawing>
          <wp:inline distT="0" distB="0" distL="0" distR="0">
            <wp:extent cx="51911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91125" cy="165735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Something occurred, a file landed, a record changed, and one or two handlers should react quickly. A durable business-messaging topic is heavier than the job needs.</w:t>
      </w:r>
    </w:p>
    <w:p>
      <w:pPr>
        <w:spacing w:after="120" w:before="40" w:line="276"/>
      </w:pPr>
      <w:r>
        <w:rPr>
          <w:b/>
          <w:bCs/>
          <w:color w:val="1F3864"/>
          <w:sz w:val="21"/>
          <w:szCs w:val="21"/>
        </w:rPr>
        <w:t xml:space="preserve">Solution. </w:t>
      </w:r>
      <w:r>
        <w:rPr>
          <w:color w:val="222831"/>
          <w:sz w:val="21"/>
          <w:szCs w:val="21"/>
        </w:rPr>
        <w:t xml:space="preserve">Emit a thin event to Event Grid; handlers (Functions, Logic Apps, webhooks) subscribe and react. The event is a pointer, not a state carrier, a handler fetches authoritative state if it needs it.</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you want lightweight, low-latency reactive fan-out to Azure-native handlers.  </w:t>
      </w:r>
      <w:r>
        <w:rPr>
          <w:b/>
          <w:bCs/>
          <w:color w:val="8A3B2E"/>
          <w:sz w:val="21"/>
          <w:szCs w:val="21"/>
        </w:rPr>
        <w:t xml:space="preserve">Avoid it when </w:t>
      </w:r>
      <w:r>
        <w:rPr>
          <w:color w:val="222831"/>
          <w:sz w:val="21"/>
          <w:szCs w:val="21"/>
        </w:rPr>
        <w:t xml:space="preserve">consumers need durable ordered delivery or competing consumers (Service Bus topics), or the volume is a stream (Event Hubs).</w:t>
      </w:r>
    </w:p>
    <w:p>
      <w:pPr>
        <w:spacing w:after="120" w:before="40" w:line="276"/>
      </w:pPr>
      <w:r>
        <w:rPr>
          <w:b/>
          <w:bCs/>
          <w:color w:val="1F3864"/>
          <w:sz w:val="21"/>
          <w:szCs w:val="21"/>
        </w:rPr>
        <w:t xml:space="preserve">Risks &amp; considerations. </w:t>
      </w:r>
      <w:r>
        <w:rPr>
          <w:color w:val="222831"/>
          <w:sz w:val="21"/>
          <w:szCs w:val="21"/>
        </w:rPr>
        <w:t xml:space="preserve">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pPr>
        <w:spacing w:after="120" w:before="40" w:line="276"/>
      </w:pPr>
      <w:r>
        <w:rPr>
          <w:b/>
          <w:bCs/>
          <w:color w:val="1F3864"/>
          <w:sz w:val="21"/>
          <w:szCs w:val="21"/>
        </w:rPr>
        <w:t xml:space="preserve">Security boundary. </w:t>
      </w:r>
      <w:r>
        <w:rPr>
          <w:color w:val="222831"/>
          <w:sz w:val="21"/>
          <w:szCs w:val="21"/>
        </w:rPr>
        <w:t xml:space="preserve">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pPr>
        <w:spacing w:after="120" w:before="40" w:line="276"/>
      </w:pPr>
      <w:r>
        <w:rPr>
          <w:b/>
          <w:bCs/>
          <w:color w:val="1F3864"/>
          <w:sz w:val="21"/>
          <w:szCs w:val="21"/>
        </w:rPr>
        <w:t xml:space="preserve">Anti-pattern. </w:t>
      </w:r>
      <w:r>
        <w:rPr>
          <w:color w:val="222831"/>
          <w:sz w:val="21"/>
          <w:szCs w:val="21"/>
        </w:rPr>
        <w:t xml:space="preserve">Fat events that carry full state consumers come to trust; using Event Grid for streaming or durable business messaging.</w:t>
      </w:r>
    </w:p>
    <w:p>
      <w:pPr>
        <w:spacing w:after="120" w:before="40" w:line="276"/>
      </w:pPr>
      <w:r>
        <w:rPr>
          <w:b/>
          <w:bCs/>
          <w:color w:val="1F3864"/>
          <w:sz w:val="21"/>
          <w:szCs w:val="21"/>
        </w:rPr>
        <w:t xml:space="preserve">In practice. </w:t>
      </w:r>
      <w:r>
        <w:rPr>
          <w:color w:val="222831"/>
          <w:sz w:val="21"/>
          <w:szCs w:val="21"/>
        </w:rPr>
        <w:t xml:space="preserve">A blob-created event triggers a document-ingestion workflow.</w:t>
      </w:r>
    </w:p>
    <w:p>
      <w:pPr>
        <w:spacing w:after="150"/>
      </w:pPr>
    </w:p>
    <w:p>
      <w:pPr>
        <w:pStyle w:val="Heading3"/>
        <w:spacing w:after="70" w:before="180"/>
      </w:pPr>
      <w:r>
        <w:rPr>
          <w:b/>
          <w:bCs/>
          <w:color w:val="1F3864"/>
          <w:sz w:val="22"/>
          <w:szCs w:val="22"/>
        </w:rPr>
        <w:t xml:space="preserve">5.3.3  Inbound webhook ingestion</w:t>
      </w:r>
    </w:p>
    <w:p>
      <w:pPr>
        <w:spacing w:after="90" w:before="10"/>
      </w:pPr>
      <w:r>
        <w:rPr>
          <w:i/>
          <w:iCs/>
          <w:color w:val="5A6470"/>
          <w:sz w:val="21"/>
          <w:szCs w:val="21"/>
        </w:rPr>
        <w:t xml:space="preserve">Take partner callbacks safely through the front door, then process them asynchronously.</w:t>
      </w:r>
    </w:p>
    <w:p>
      <w:pPr>
        <w:spacing w:after="90" w:before="0"/>
      </w:pPr>
      <w:r>
        <w:rPr>
          <w:i/>
          <w:iCs/>
          <w:color w:val="2E5496"/>
          <w:sz w:val="17"/>
          <w:szCs w:val="17"/>
        </w:rPr>
        <w:t xml:space="preserve">Reference deck equivalent: </w:t>
      </w:r>
      <w:r>
        <w:rPr>
          <w:i/>
          <w:iCs/>
          <w:color w:val="5A6470"/>
          <w:sz w:val="17"/>
          <w:szCs w:val="17"/>
        </w:rPr>
        <w:t xml:space="preserve">Reliable Acquisition (HTTP inbound)</w:t>
      </w:r>
    </w:p>
    <w:p>
      <w:pPr>
        <w:spacing w:after="130" w:before="90"/>
        <w:jc w:val="center"/>
      </w:pPr>
      <w:r>
        <w:drawing>
          <wp:inline distT="0" distB="0" distL="0" distR="0">
            <wp:extent cx="51911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91125" cy="5810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partner or SaaS pushes events to Chaucer over HTTPS. Exposing an internal trigger to the internet is exactly the risk the security standards forbid.</w:t>
      </w:r>
    </w:p>
    <w:p>
      <w:pPr>
        <w:spacing w:after="120" w:before="40" w:line="276"/>
      </w:pPr>
      <w:r>
        <w:rPr>
          <w:b/>
          <w:bCs/>
          <w:color w:val="1F3864"/>
          <w:sz w:val="21"/>
          <w:szCs w:val="21"/>
        </w:rPr>
        <w:t xml:space="preserve">Solution. </w:t>
      </w:r>
      <w:r>
        <w:rPr>
          <w:color w:val="222831"/>
          <w:sz w:val="21"/>
          <w:szCs w:val="21"/>
        </w:rPr>
        <w:t xml:space="preserve">This is the sanctioned public-ingress exception. Traffic enters through Front Door with a WAF and DDoS, terminates at APIM as the single ingress point, is authenticated (mTLS, OAuth, or a signed-payload check) and validated, then dropped onto Service Bus or Event Grid for asynchronous processing. No Function or Logic App HTTP trigger is ever exposed directly.</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7620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an external party must push events to us and private networking is not possible.  </w:t>
      </w:r>
      <w:r>
        <w:rPr>
          <w:b/>
          <w:bCs/>
          <w:color w:val="8A3B2E"/>
          <w:sz w:val="21"/>
          <w:szCs w:val="21"/>
        </w:rPr>
        <w:t xml:space="preserve">Avoid it when </w:t>
      </w:r>
      <w:r>
        <w:rPr>
          <w:color w:val="222831"/>
          <w:sz w:val="21"/>
          <w:szCs w:val="21"/>
        </w:rPr>
        <w:t xml:space="preserve">the integration can use private networking, prefer that every time.</w:t>
      </w:r>
    </w:p>
    <w:p>
      <w:pPr>
        <w:spacing w:after="120" w:before="40" w:line="276"/>
      </w:pPr>
      <w:r>
        <w:rPr>
          <w:b/>
          <w:bCs/>
          <w:color w:val="1F3864"/>
          <w:sz w:val="21"/>
          <w:szCs w:val="21"/>
        </w:rPr>
        <w:t xml:space="preserve">Risks &amp; considerations. </w:t>
      </w:r>
      <w:r>
        <w:rPr>
          <w:color w:val="222831"/>
          <w:sz w:val="21"/>
          <w:szCs w:val="21"/>
        </w:rPr>
        <w:t xml:space="preserve">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pPr>
        <w:spacing w:after="120" w:before="40" w:line="276"/>
      </w:pPr>
      <w:r>
        <w:rPr>
          <w:b/>
          <w:bCs/>
          <w:color w:val="1F3864"/>
          <w:sz w:val="21"/>
          <w:szCs w:val="21"/>
        </w:rPr>
        <w:t xml:space="preserve">Security boundary. </w:t>
      </w:r>
      <w:r>
        <w:rPr>
          <w:color w:val="222831"/>
          <w:sz w:val="21"/>
          <w:szCs w:val="21"/>
        </w:rPr>
        <w:t xml:space="preserve">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 no Function or Logic App trigger is ever exposed; the exposure is a registered, time-boxed exception.</w:t>
      </w:r>
    </w:p>
    <w:p>
      <w:pPr>
        <w:spacing w:after="120" w:before="40" w:line="276"/>
      </w:pPr>
      <w:r>
        <w:rPr>
          <w:b/>
          <w:bCs/>
          <w:color w:val="1F3864"/>
          <w:sz w:val="21"/>
          <w:szCs w:val="21"/>
        </w:rPr>
        <w:t xml:space="preserve">Anti-pattern. </w:t>
      </w:r>
      <w:r>
        <w:rPr>
          <w:color w:val="222831"/>
          <w:sz w:val="21"/>
          <w:szCs w:val="21"/>
        </w:rPr>
        <w:t xml:space="preserve">Exposing a Logic App or Function HTTP trigger straight to the internet, bypassing APIM and the WAF; processing synchronously in the handler.</w:t>
      </w:r>
    </w:p>
    <w:p>
      <w:pPr>
        <w:spacing w:after="120" w:before="40" w:line="276"/>
      </w:pPr>
      <w:r>
        <w:rPr>
          <w:b/>
          <w:bCs/>
          <w:color w:val="1F3864"/>
          <w:sz w:val="21"/>
          <w:szCs w:val="21"/>
        </w:rPr>
        <w:t xml:space="preserve">In practice. </w:t>
      </w:r>
      <w:r>
        <w:rPr>
          <w:color w:val="222831"/>
          <w:sz w:val="21"/>
          <w:szCs w:val="21"/>
        </w:rPr>
        <w:t xml:space="preserve">A payment provider posts settlement webhooks; APIM validates the signature and drops the event on Service Bus.</w:t>
      </w:r>
    </w:p>
    <w:p>
      <w:pPr>
        <w:spacing w:after="150"/>
      </w:pPr>
    </w:p>
    <w:p>
      <w:pPr>
        <w:pStyle w:val="Heading3"/>
        <w:spacing w:after="70" w:before="180"/>
      </w:pPr>
      <w:r>
        <w:rPr>
          <w:b/>
          <w:bCs/>
          <w:color w:val="1F3864"/>
          <w:sz w:val="22"/>
          <w:szCs w:val="22"/>
        </w:rPr>
        <w:t xml:space="preserve">5.3.4  Outbound webhook / notification</w:t>
      </w:r>
    </w:p>
    <w:p>
      <w:pPr>
        <w:spacing w:after="90" w:before="10"/>
      </w:pPr>
      <w:r>
        <w:rPr>
          <w:i/>
          <w:iCs/>
          <w:color w:val="5A6470"/>
          <w:sz w:val="21"/>
          <w:szCs w:val="21"/>
        </w:rPr>
        <w:t xml:space="preserve">Push events out to subscribers instead of making them poll.</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An external or internal party wants to be told when something changes, rather than polling us for it.</w:t>
      </w:r>
    </w:p>
    <w:p>
      <w:pPr>
        <w:spacing w:after="120" w:before="40" w:line="276"/>
      </w:pPr>
      <w:r>
        <w:rPr>
          <w:b/>
          <w:bCs/>
          <w:color w:val="1F3864"/>
          <w:sz w:val="21"/>
          <w:szCs w:val="21"/>
        </w:rPr>
        <w:t xml:space="preserve">Solution. </w:t>
      </w:r>
      <w:r>
        <w:rPr>
          <w:color w:val="222831"/>
          <w:sz w:val="21"/>
          <w:szCs w:val="21"/>
        </w:rPr>
        <w:t xml:space="preserve">On the event, dispatch via Event Grid subscriptions or a Logic App connector, webhook, email or Teams. Subscribers are configured, not coded into the publisher.</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subscribers expect to be pushed to on an event.  </w:t>
      </w:r>
      <w:r>
        <w:rPr>
          <w:b/>
          <w:bCs/>
          <w:color w:val="8A3B2E"/>
          <w:sz w:val="21"/>
          <w:szCs w:val="21"/>
        </w:rPr>
        <w:t xml:space="preserve">Avoid it when </w:t>
      </w:r>
      <w:r>
        <w:rPr>
          <w:color w:val="222831"/>
          <w:sz w:val="21"/>
          <w:szCs w:val="21"/>
        </w:rPr>
        <w:t xml:space="preserve">subscribers should really pull current state through an API.</w:t>
      </w:r>
    </w:p>
    <w:p>
      <w:pPr>
        <w:spacing w:after="120" w:before="40" w:line="276"/>
      </w:pPr>
      <w:r>
        <w:rPr>
          <w:b/>
          <w:bCs/>
          <w:color w:val="1F3864"/>
          <w:sz w:val="21"/>
          <w:szCs w:val="21"/>
        </w:rPr>
        <w:t xml:space="preserve">Risks &amp; considerations. </w:t>
      </w:r>
      <w:r>
        <w:rPr>
          <w:color w:val="222831"/>
          <w:sz w:val="21"/>
          <w:szCs w:val="21"/>
        </w:rPr>
        <w:t xml:space="preserve">A subscriber endpoint being down creates retries and back-pressure, so retry with backoff and dead-letter the undeliverable. Hold partner secrets in Key Vault, sign payloads where supported, and put a circuit breaker around flaky endpoints.</w:t>
      </w:r>
    </w:p>
    <w:p>
      <w:pPr>
        <w:spacing w:after="120" w:before="40" w:line="276"/>
      </w:pPr>
      <w:r>
        <w:rPr>
          <w:b/>
          <w:bCs/>
          <w:color w:val="1F3864"/>
          <w:sz w:val="21"/>
          <w:szCs w:val="21"/>
        </w:rPr>
        <w:t xml:space="preserve">Security boundary. </w:t>
      </w:r>
      <w:r>
        <w:rPr>
          <w:color w:val="222831"/>
          <w:sz w:val="21"/>
          <w:szCs w:val="21"/>
        </w:rPr>
        <w:t xml:space="preserve">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pPr>
        <w:spacing w:after="120" w:before="40" w:line="276"/>
      </w:pPr>
      <w:r>
        <w:rPr>
          <w:b/>
          <w:bCs/>
          <w:color w:val="1F3864"/>
          <w:sz w:val="21"/>
          <w:szCs w:val="21"/>
        </w:rPr>
        <w:t xml:space="preserve">Anti-pattern. </w:t>
      </w:r>
      <w:r>
        <w:rPr>
          <w:color w:val="222831"/>
          <w:sz w:val="21"/>
          <w:szCs w:val="21"/>
        </w:rPr>
        <w:t xml:space="preserve">Polling to simulate push; bespoke per-subscriber dispatch code instead of subscriptions.</w:t>
      </w:r>
    </w:p>
    <w:p>
      <w:pPr>
        <w:spacing w:after="120" w:before="40" w:line="276"/>
      </w:pPr>
      <w:r>
        <w:rPr>
          <w:b/>
          <w:bCs/>
          <w:color w:val="1F3864"/>
          <w:sz w:val="21"/>
          <w:szCs w:val="21"/>
        </w:rPr>
        <w:t xml:space="preserve">In practice. </w:t>
      </w:r>
      <w:r>
        <w:rPr>
          <w:color w:val="222831"/>
          <w:sz w:val="21"/>
          <w:szCs w:val="21"/>
        </w:rPr>
        <w:t xml:space="preserve">The broker's system is notified automatically when a claim status changes.</w:t>
      </w:r>
    </w:p>
    <w:p>
      <w:pPr>
        <w:spacing w:after="150"/>
      </w:pPr>
    </w:p>
    <w:p>
      <w:pPr>
        <w:pStyle w:val="Heading3"/>
        <w:spacing w:after="70" w:before="180"/>
      </w:pPr>
      <w:r>
        <w:rPr>
          <w:b/>
          <w:bCs/>
          <w:color w:val="1F3864"/>
          <w:sz w:val="22"/>
          <w:szCs w:val="22"/>
        </w:rPr>
        <w:t xml:space="preserve">5.3.5  Stream / telemetry ingestion</w:t>
      </w:r>
    </w:p>
    <w:p>
      <w:pPr>
        <w:spacing w:after="90" w:before="10"/>
      </w:pPr>
      <w:r>
        <w:rPr>
          <w:i/>
          <w:iCs/>
          <w:color w:val="5A6470"/>
          <w:sz w:val="21"/>
          <w:szCs w:val="21"/>
        </w:rPr>
        <w:t xml:space="preserve">Ingest high-volume continuous data and hand it to processors or the data platform.</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high-frequency feed produces far more events than a business-messaging queue is designed for, and it needs partitioned, ordered processing.</w:t>
      </w:r>
    </w:p>
    <w:p>
      <w:pPr>
        <w:spacing w:after="120" w:before="40" w:line="276"/>
      </w:pPr>
      <w:r>
        <w:rPr>
          <w:b/>
          <w:bCs/>
          <w:color w:val="1F3864"/>
          <w:sz w:val="21"/>
          <w:szCs w:val="21"/>
        </w:rPr>
        <w:t xml:space="preserve">Solution. </w:t>
      </w:r>
      <w:r>
        <w:rPr>
          <w:color w:val="222831"/>
          <w:sz w:val="21"/>
          <w:szCs w:val="21"/>
        </w:rPr>
        <w:t xml:space="preserve">Ingest into Event Hubs, partitioned for throughput; process with Functions or Stream Analytics; and typically capture or offload to Snowflake for analytics. Event Hubs is the firehose; Service Bus is not.</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sustained high event rates need partitioned stream processing.  </w:t>
      </w:r>
      <w:r>
        <w:rPr>
          <w:b/>
          <w:bCs/>
          <w:color w:val="8A3B2E"/>
          <w:sz w:val="21"/>
          <w:szCs w:val="21"/>
        </w:rPr>
        <w:t xml:space="preserve">Avoid it when </w:t>
      </w:r>
      <w:r>
        <w:rPr>
          <w:color w:val="222831"/>
          <w:sz w:val="21"/>
          <w:szCs w:val="21"/>
        </w:rPr>
        <w:t xml:space="preserve">these are transactional business commands needing per-message dead-lettering and sessions (Service Bus), or low-volume discrete notifications (Event Grid).</w:t>
      </w:r>
    </w:p>
    <w:p>
      <w:pPr>
        <w:spacing w:after="120" w:before="40" w:line="276"/>
      </w:pPr>
      <w:r>
        <w:rPr>
          <w:b/>
          <w:bCs/>
          <w:color w:val="1F3864"/>
          <w:sz w:val="21"/>
          <w:szCs w:val="21"/>
        </w:rPr>
        <w:t xml:space="preserve">Risks &amp; considerations. </w:t>
      </w:r>
      <w:r>
        <w:rPr>
          <w:color w:val="222831"/>
          <w:sz w:val="21"/>
          <w:szCs w:val="21"/>
        </w:rPr>
        <w:t xml:space="preserve">Partition count is a capacity decision you largely live with, so plan it against throughput and consumer parallelism. Manage checkpoints, monitor consumer lag, and remember ordering holds only within a partition. Premium or Dedicated capacity is a real cost line.</w:t>
      </w:r>
    </w:p>
    <w:p>
      <w:pPr>
        <w:spacing w:after="120" w:before="40" w:line="276"/>
      </w:pPr>
      <w:r>
        <w:rPr>
          <w:b/>
          <w:bCs/>
          <w:color w:val="1F3864"/>
          <w:sz w:val="21"/>
          <w:szCs w:val="21"/>
        </w:rPr>
        <w:t xml:space="preserve">Security boundary. </w:t>
      </w:r>
      <w:r>
        <w:rPr>
          <w:color w:val="222831"/>
          <w:sz w:val="21"/>
          <w:szCs w:val="21"/>
        </w:rPr>
        <w:t xml:space="preserve">Landing zone: Event Hubs and its processors in spokes; capture to a firewalled storage account. Within Azure: Private Endpoint, managed identity, TLS, with capture storage under RBAC. Outside Azure: an external feed enters through the edge; internal streams cross no boundary.</w:t>
      </w:r>
    </w:p>
    <w:p>
      <w:pPr>
        <w:spacing w:after="120" w:before="40" w:line="276"/>
      </w:pPr>
      <w:r>
        <w:rPr>
          <w:b/>
          <w:bCs/>
          <w:color w:val="1F3864"/>
          <w:sz w:val="21"/>
          <w:szCs w:val="21"/>
        </w:rPr>
        <w:t xml:space="preserve">Anti-pattern. </w:t>
      </w:r>
      <w:r>
        <w:rPr>
          <w:color w:val="222831"/>
          <w:sz w:val="21"/>
          <w:szCs w:val="21"/>
        </w:rPr>
        <w:t xml:space="preserve">Service Bus for firehose volumes; Event Hubs for transactional commands; synchronous consumers on a stream.</w:t>
      </w:r>
    </w:p>
    <w:p>
      <w:pPr>
        <w:spacing w:after="120" w:before="40" w:line="276"/>
      </w:pPr>
      <w:r>
        <w:rPr>
          <w:b/>
          <w:bCs/>
          <w:color w:val="1F3864"/>
          <w:sz w:val="21"/>
          <w:szCs w:val="21"/>
        </w:rPr>
        <w:t xml:space="preserve">In practice. </w:t>
      </w:r>
      <w:r>
        <w:rPr>
          <w:color w:val="222831"/>
          <w:sz w:val="21"/>
          <w:szCs w:val="21"/>
        </w:rPr>
        <w:t xml:space="preserve">A high-frequency exposure feed is ingested, processed near-real-time and offloaded to Snowflake.</w:t>
      </w:r>
    </w:p>
    <w:p>
      <w:pPr>
        <w:spacing w:after="150"/>
      </w:pPr>
    </w:p>
    <w:p>
      <w:pPr>
        <w:pStyle w:val="Heading2"/>
        <w:spacing w:after="100" w:before="220"/>
      </w:pPr>
      <w:r>
        <w:rPr>
          <w:b/>
          <w:bCs/>
          <w:color w:val="2E5496"/>
          <w:sz w:val="25"/>
          <w:szCs w:val="25"/>
        </w:rPr>
        <w:t xml:space="preserve">5.4 Orchestration, stateful process coordination</w:t>
      </w:r>
    </w:p>
    <w:p>
      <w:pPr>
        <w:spacing w:after="90" w:before="0" w:line="276"/>
      </w:pPr>
      <w:r>
        <w:rPr>
          <w:color w:val="222831"/>
          <w:sz w:val="21"/>
          <w:szCs w:val="21"/>
        </w:rPr>
        <w:t xml:space="preserve">When a business process spans several systems and needs state, retries and visibility, it is orchestrated centrally in Logic Apps (Standard). One rule governs this whole style and is worth stating on its own before the patterns: the workflow owns control flow, and nothing else. Business logic, computation and transformation live in Functions that the workflow calls. Keeping the two apart is what stops orchestrations turning into unmaintainable monoliths.</w:t>
      </w:r>
    </w:p>
    <w:p>
      <w:pPr>
        <w:spacing w:after="130" w:before="9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91125" cy="1152525"/>
                    </a:xfrm>
                    <a:prstGeom prst="rect">
                      <a:avLst/>
                    </a:prstGeom>
                  </pic:spPr>
                </pic:pic>
              </a:graphicData>
            </a:graphic>
          </wp:inline>
        </w:drawing>
      </w:r>
    </w:p>
    <w:p>
      <w:pPr>
        <w:pStyle w:val="Heading3"/>
        <w:spacing w:after="70" w:before="180"/>
      </w:pPr>
      <w:r>
        <w:rPr>
          <w:b/>
          <w:bCs/>
          <w:color w:val="1F3864"/>
          <w:sz w:val="22"/>
          <w:szCs w:val="22"/>
        </w:rPr>
        <w:t xml:space="preserve">5.4.1  Stateful process orchestration</w:t>
      </w:r>
    </w:p>
    <w:p>
      <w:pPr>
        <w:spacing w:after="90" w:before="10"/>
      </w:pPr>
      <w:r>
        <w:rPr>
          <w:i/>
          <w:iCs/>
          <w:color w:val="5A6470"/>
          <w:sz w:val="21"/>
          <w:szCs w:val="21"/>
        </w:rPr>
        <w:t xml:space="preserve">Coordinate a multi-step, multi-system business process with state, retries and visibility.</w:t>
      </w:r>
    </w:p>
    <w:p>
      <w:pPr>
        <w:spacing w:after="90" w:before="0"/>
      </w:pPr>
      <w:r>
        <w:rPr>
          <w:i/>
          <w:iCs/>
          <w:color w:val="2E5496"/>
          <w:sz w:val="17"/>
          <w:szCs w:val="17"/>
        </w:rPr>
        <w:t xml:space="preserve">Reference deck equivalent: </w:t>
      </w:r>
      <w:r>
        <w:rPr>
          <w:i/>
          <w:iCs/>
          <w:color w:val="5A6470"/>
          <w:sz w:val="17"/>
          <w:szCs w:val="17"/>
        </w:rPr>
        <w:t xml:space="preserve">Async Orchestration, Composite Service</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New-business onboarding spans validation, pricing, document generation, notification and system updates. No single system owns the process, and stitching it together point-to-point makes it invisible and brittle.</w:t>
      </w:r>
    </w:p>
    <w:p>
      <w:pPr>
        <w:spacing w:after="120" w:before="40" w:line="276"/>
      </w:pPr>
      <w:r>
        <w:rPr>
          <w:b/>
          <w:bCs/>
          <w:color w:val="1F3864"/>
          <w:sz w:val="21"/>
          <w:szCs w:val="21"/>
        </w:rPr>
        <w:t xml:space="preserve">Solution. </w:t>
      </w:r>
      <w:r>
        <w:rPr>
          <w:color w:val="222831"/>
          <w:sz w:val="21"/>
          <w:szCs w:val="21"/>
        </w:rPr>
        <w:t xml:space="preserve">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7620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a business process crosses several systems and steps and needs state, retries and auditability over minutes, hours or days.  </w:t>
      </w:r>
      <w:r>
        <w:rPr>
          <w:b/>
          <w:bCs/>
          <w:color w:val="8A3B2E"/>
          <w:sz w:val="21"/>
          <w:szCs w:val="21"/>
        </w:rPr>
        <w:t xml:space="preserve">Avoid it when </w:t>
      </w:r>
      <w:r>
        <w:rPr>
          <w:color w:val="222831"/>
          <w:sz w:val="21"/>
          <w:szCs w:val="21"/>
        </w:rPr>
        <w:t xml:space="preserve">a single synchronous call suffices, or it is really just message buffering.</w:t>
      </w:r>
    </w:p>
    <w:p>
      <w:pPr>
        <w:spacing w:after="120" w:before="40" w:line="276"/>
      </w:pPr>
      <w:r>
        <w:rPr>
          <w:b/>
          <w:bCs/>
          <w:color w:val="1F3864"/>
          <w:sz w:val="21"/>
          <w:szCs w:val="21"/>
        </w:rPr>
        <w:t xml:space="preserve">Risks &amp; considerations. </w:t>
      </w:r>
      <w:r>
        <w:rPr>
          <w:color w:val="222831"/>
          <w:sz w:val="21"/>
          <w:szCs w:val="21"/>
        </w:rPr>
        <w:t xml:space="preserve">Without discipline the workflow accretes business logic and becomes a monolith, keep logic in Functions and the workflow readable. Standard run history is region-bound, so DR is active-passive and in-flight runs do not migrate; design steps to be idempotent and restartable. Connectors have throttling limits, long-running state has a cost, and you need a versioning strategy for changing a workflow while runs are in flight.</w:t>
      </w:r>
    </w:p>
    <w:p>
      <w:pPr>
        <w:spacing w:after="120" w:before="40" w:line="276"/>
      </w:pPr>
      <w:r>
        <w:rPr>
          <w:b/>
          <w:bCs/>
          <w:color w:val="1F3864"/>
          <w:sz w:val="21"/>
          <w:szCs w:val="21"/>
        </w:rPr>
        <w:t xml:space="preserve">Security boundary. </w:t>
      </w:r>
      <w:r>
        <w:rPr>
          <w:color w:val="222831"/>
          <w:sz w:val="21"/>
          <w:szCs w:val="21"/>
        </w:rPr>
        <w:t xml:space="preserve">Landing zone: 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pPr>
        <w:spacing w:after="120" w:before="40" w:line="276"/>
      </w:pPr>
      <w:r>
        <w:rPr>
          <w:b/>
          <w:bCs/>
          <w:color w:val="1F3864"/>
          <w:sz w:val="21"/>
          <w:szCs w:val="21"/>
        </w:rPr>
        <w:t xml:space="preserve">Anti-pattern. </w:t>
      </w:r>
      <w:r>
        <w:rPr>
          <w:color w:val="222831"/>
          <w:sz w:val="21"/>
          <w:szCs w:val="21"/>
        </w:rPr>
        <w:t xml:space="preserve">Business, compute or transformation logic inside the workflow; orchestration smeared across many uncoordinated workflows; microservices-style choreography with no owning process.</w:t>
      </w:r>
    </w:p>
    <w:p>
      <w:pPr>
        <w:spacing w:after="120" w:before="40" w:line="276"/>
      </w:pPr>
      <w:r>
        <w:rPr>
          <w:b/>
          <w:bCs/>
          <w:color w:val="1F3864"/>
          <w:sz w:val="21"/>
          <w:szCs w:val="21"/>
        </w:rPr>
        <w:t xml:space="preserve">In practice. </w:t>
      </w:r>
      <w:r>
        <w:rPr>
          <w:color w:val="222831"/>
          <w:sz w:val="21"/>
          <w:szCs w:val="21"/>
        </w:rPr>
        <w:t xml:space="preserve">New-business onboarding is coordinated end-to-end by one Logic App calling Functions and systems in turn.</w:t>
      </w:r>
    </w:p>
    <w:p>
      <w:pPr>
        <w:spacing w:after="150"/>
      </w:pPr>
    </w:p>
    <w:p>
      <w:pPr>
        <w:pStyle w:val="Heading3"/>
        <w:spacing w:after="70" w:before="180"/>
      </w:pPr>
      <w:r>
        <w:rPr>
          <w:b/>
          <w:bCs/>
          <w:color w:val="1F3864"/>
          <w:sz w:val="22"/>
          <w:szCs w:val="22"/>
        </w:rPr>
        <w:t xml:space="preserve">5.4.2  Process with compensation</w:t>
      </w:r>
    </w:p>
    <w:p>
      <w:pPr>
        <w:spacing w:after="90" w:before="10"/>
      </w:pPr>
      <w:r>
        <w:rPr>
          <w:i/>
          <w:iCs/>
          <w:color w:val="5A6470"/>
          <w:sz w:val="21"/>
          <w:szCs w:val="21"/>
        </w:rPr>
        <w:t xml:space="preserve">When a later step fails, undo the earlier ones, orchestrated centrally, not choreographed.</w:t>
      </w:r>
    </w:p>
    <w:p>
      <w:pPr>
        <w:spacing w:after="90" w:before="0"/>
      </w:pPr>
      <w:r>
        <w:rPr>
          <w:i/>
          <w:iCs/>
          <w:color w:val="2E5496"/>
          <w:sz w:val="17"/>
          <w:szCs w:val="17"/>
        </w:rPr>
        <w:t xml:space="preserve">Reference deck equivalent: </w:t>
      </w:r>
      <w:r>
        <w:rPr>
          <w:i/>
          <w:iCs/>
          <w:color w:val="5A6470"/>
          <w:sz w:val="17"/>
          <w:szCs w:val="17"/>
        </w:rPr>
        <w:t xml:space="preserve">Reliable Dispatch</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policy is bound in one system and then the finance posting fails. There is no distributed transaction across these systems, but the bind must not be left dangling.</w:t>
      </w:r>
    </w:p>
    <w:p>
      <w:pPr>
        <w:spacing w:after="120" w:before="40" w:line="276"/>
      </w:pPr>
      <w:r>
        <w:rPr>
          <w:b/>
          <w:bCs/>
          <w:color w:val="1F3864"/>
          <w:sz w:val="21"/>
          <w:szCs w:val="21"/>
        </w:rPr>
        <w:t xml:space="preserve">Solution. </w:t>
      </w:r>
      <w:r>
        <w:rPr>
          <w:color w:val="222831"/>
          <w:sz w:val="21"/>
          <w:szCs w:val="21"/>
        </w:rPr>
        <w:t xml:space="preserve">The orchestrator drives compensating actions on failure, here, voiding the bind. Because Chaucer's model is SOA, the process is centrally owned and its compensation logic lives with it, not scattered across services reacting to each other.</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you need cross-system consistency without distributed transactions and a single process can own the compensation.  </w:t>
      </w:r>
      <w:r>
        <w:rPr>
          <w:b/>
          <w:bCs/>
          <w:color w:val="8A3B2E"/>
          <w:sz w:val="21"/>
          <w:szCs w:val="21"/>
        </w:rPr>
        <w:t xml:space="preserve">Avoid it when </w:t>
      </w:r>
      <w:r>
        <w:rPr>
          <w:color w:val="222831"/>
          <w:sz w:val="21"/>
          <w:szCs w:val="21"/>
        </w:rPr>
        <w:t xml:space="preserve">an ACID transaction within one system suffices, or someone proposes a microservices-style distributed saga (out of scope here).</w:t>
      </w:r>
    </w:p>
    <w:p>
      <w:pPr>
        <w:spacing w:after="120" w:before="40" w:line="276"/>
      </w:pPr>
      <w:r>
        <w:rPr>
          <w:b/>
          <w:bCs/>
          <w:color w:val="1F3864"/>
          <w:sz w:val="21"/>
          <w:szCs w:val="21"/>
        </w:rPr>
        <w:t xml:space="preserve">Risks &amp; considerations. </w:t>
      </w:r>
      <w:r>
        <w:rPr>
          <w:color w:val="222831"/>
          <w:sz w:val="21"/>
          <w:szCs w:val="21"/>
        </w:rPr>
        <w:t xml:space="preserve">Compensation is best-effort, not atomic, a compensation can itself fail, so make compensations idempotent and retryable, and use the run history as the saga log. Watch ordering and the possibility of duplicate compensation.</w:t>
      </w:r>
    </w:p>
    <w:p>
      <w:pPr>
        <w:spacing w:after="120" w:before="40" w:line="276"/>
      </w:pPr>
      <w:r>
        <w:rPr>
          <w:b/>
          <w:bCs/>
          <w:color w:val="1F3864"/>
          <w:sz w:val="21"/>
          <w:szCs w:val="21"/>
        </w:rPr>
        <w:t xml:space="preserve">Security boundary. </w:t>
      </w:r>
      <w:r>
        <w:rPr>
          <w:color w:val="222831"/>
          <w:sz w:val="21"/>
          <w:szCs w:val="21"/>
        </w:rPr>
        <w:t xml:space="preserve">Landing zone: Logic App, Service Bus and Functions in spokes, internal. Within Azure: managed identity, Private Endpoints, TLS, with each step and each compensation audited in run history. Outside Azure: none, cross-system calls are to internal systems over private connectivity.</w:t>
      </w:r>
    </w:p>
    <w:p>
      <w:pPr>
        <w:spacing w:after="120" w:before="40" w:line="276"/>
      </w:pPr>
      <w:r>
        <w:rPr>
          <w:b/>
          <w:bCs/>
          <w:color w:val="1F3864"/>
          <w:sz w:val="21"/>
          <w:szCs w:val="21"/>
        </w:rPr>
        <w:t xml:space="preserve">Anti-pattern. </w:t>
      </w:r>
      <w:r>
        <w:rPr>
          <w:color w:val="222831"/>
          <w:sz w:val="21"/>
          <w:szCs w:val="21"/>
        </w:rPr>
        <w:t xml:space="preserve">Choreographed sagas with no central owner; relying on two-phase or distributed transactions.</w:t>
      </w:r>
    </w:p>
    <w:p>
      <w:pPr>
        <w:spacing w:after="120" w:before="40" w:line="276"/>
      </w:pPr>
      <w:r>
        <w:rPr>
          <w:b/>
          <w:bCs/>
          <w:color w:val="1F3864"/>
          <w:sz w:val="21"/>
          <w:szCs w:val="21"/>
        </w:rPr>
        <w:t xml:space="preserve">In practice. </w:t>
      </w:r>
      <w:r>
        <w:rPr>
          <w:color w:val="222831"/>
          <w:sz w:val="21"/>
          <w:szCs w:val="21"/>
        </w:rPr>
        <w:t xml:space="preserve">If the bind succeeds but the finance posting fails, the orchestration compensates by voiding the bind.</w:t>
      </w:r>
    </w:p>
    <w:p>
      <w:pPr>
        <w:spacing w:after="150"/>
      </w:pPr>
    </w:p>
    <w:p>
      <w:pPr>
        <w:pStyle w:val="Heading3"/>
        <w:spacing w:after="70" w:before="180"/>
      </w:pPr>
      <w:r>
        <w:rPr>
          <w:b/>
          <w:bCs/>
          <w:color w:val="1F3864"/>
          <w:sz w:val="22"/>
          <w:szCs w:val="22"/>
        </w:rPr>
        <w:t xml:space="preserve">5.4.3  Human-in-the-loop / approval</w:t>
      </w:r>
    </w:p>
    <w:p>
      <w:pPr>
        <w:spacing w:after="90" w:before="10"/>
      </w:pPr>
      <w:r>
        <w:rPr>
          <w:i/>
          <w:iCs/>
          <w:color w:val="5A6470"/>
          <w:sz w:val="21"/>
          <w:szCs w:val="21"/>
        </w:rPr>
        <w:t xml:space="preserve">Insert a human decision into an automated process, with audit and escalation.</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referral needs underwriter sign-off before the process continues, and the decision must be captured.</w:t>
      </w:r>
    </w:p>
    <w:p>
      <w:pPr>
        <w:spacing w:after="120" w:before="40" w:line="276"/>
      </w:pPr>
      <w:r>
        <w:rPr>
          <w:b/>
          <w:bCs/>
          <w:color w:val="1F3864"/>
          <w:sz w:val="21"/>
          <w:szCs w:val="21"/>
        </w:rPr>
        <w:t xml:space="preserve">Solution. </w:t>
      </w:r>
      <w:r>
        <w:rPr>
          <w:color w:val="222831"/>
          <w:sz w:val="21"/>
          <w:szCs w:val="21"/>
        </w:rPr>
        <w:t xml:space="preserve">The Logic App pauses for an approval over Teams or email, captures the decision with the approver's identity, and resumes. Timeouts and escalation keep the process from stalling.</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a process needs human sign-off and an audit trail.  </w:t>
      </w:r>
      <w:r>
        <w:rPr>
          <w:b/>
          <w:bCs/>
          <w:color w:val="8A3B2E"/>
          <w:sz w:val="21"/>
          <w:szCs w:val="21"/>
        </w:rPr>
        <w:t xml:space="preserve">Avoid it when </w:t>
      </w:r>
      <w:r>
        <w:rPr>
          <w:color w:val="222831"/>
          <w:sz w:val="21"/>
          <w:szCs w:val="21"/>
        </w:rPr>
        <w:t xml:space="preserve">the decision can be made by rules, keep it straight-through.</w:t>
      </w:r>
    </w:p>
    <w:p>
      <w:pPr>
        <w:spacing w:after="120" w:before="40" w:line="276"/>
      </w:pPr>
      <w:r>
        <w:rPr>
          <w:b/>
          <w:bCs/>
          <w:color w:val="1F3864"/>
          <w:sz w:val="21"/>
          <w:szCs w:val="21"/>
        </w:rPr>
        <w:t xml:space="preserve">Risks &amp; considerations. </w:t>
      </w:r>
      <w:r>
        <w:rPr>
          <w:color w:val="222831"/>
          <w:sz w:val="21"/>
          <w:szCs w:val="21"/>
        </w:rPr>
        <w:t xml:space="preserve">Un-answered approvals stall processes, so always set timeouts, reminders and an escalation path. Authenticate approvers through Entra and record the decision for audit.</w:t>
      </w:r>
    </w:p>
    <w:p>
      <w:pPr>
        <w:spacing w:after="120" w:before="40" w:line="276"/>
      </w:pPr>
      <w:r>
        <w:rPr>
          <w:b/>
          <w:bCs/>
          <w:color w:val="1F3864"/>
          <w:sz w:val="21"/>
          <w:szCs w:val="21"/>
        </w:rPr>
        <w:t xml:space="preserve">Security boundary. </w:t>
      </w:r>
      <w:r>
        <w:rPr>
          <w:color w:val="222831"/>
          <w:sz w:val="21"/>
          <w:szCs w:val="21"/>
        </w:rPr>
        <w:t xml:space="preserve">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pPr>
        <w:spacing w:after="120" w:before="40" w:line="276"/>
      </w:pPr>
      <w:r>
        <w:rPr>
          <w:b/>
          <w:bCs/>
          <w:color w:val="1F3864"/>
          <w:sz w:val="21"/>
          <w:szCs w:val="21"/>
        </w:rPr>
        <w:t xml:space="preserve">Anti-pattern. </w:t>
      </w:r>
      <w:r>
        <w:rPr>
          <w:color w:val="222831"/>
          <w:sz w:val="21"/>
          <w:szCs w:val="21"/>
        </w:rPr>
        <w:t xml:space="preserve">Approvals handled over untracked email outside the platform; no timeout or escalation.</w:t>
      </w:r>
    </w:p>
    <w:p>
      <w:pPr>
        <w:spacing w:after="120" w:before="40" w:line="276"/>
      </w:pPr>
      <w:r>
        <w:rPr>
          <w:b/>
          <w:bCs/>
          <w:color w:val="1F3864"/>
          <w:sz w:val="21"/>
          <w:szCs w:val="21"/>
        </w:rPr>
        <w:t xml:space="preserve">In practice. </w:t>
      </w:r>
      <w:r>
        <w:rPr>
          <w:color w:val="222831"/>
          <w:sz w:val="21"/>
          <w:szCs w:val="21"/>
        </w:rPr>
        <w:t xml:space="preserve">A referral waits for underwriter sign-off before the workflow proceeds to bind.</w:t>
      </w:r>
    </w:p>
    <w:p>
      <w:pPr>
        <w:spacing w:after="150"/>
      </w:pPr>
    </w:p>
    <w:p>
      <w:pPr>
        <w:pStyle w:val="Heading2"/>
        <w:spacing w:after="100" w:before="220"/>
      </w:pPr>
      <w:r>
        <w:rPr>
          <w:b/>
          <w:bCs/>
          <w:color w:val="2E5496"/>
          <w:sz w:val="25"/>
          <w:szCs w:val="25"/>
        </w:rPr>
        <w:t xml:space="preserve">5.5 File-based exchange</w:t>
      </w:r>
    </w:p>
    <w:p>
      <w:pPr>
        <w:spacing w:after="100" w:before="0" w:line="276"/>
      </w:pPr>
      <w:r>
        <w:rPr>
          <w:color w:val="222831"/>
          <w:sz w:val="21"/>
          <w:szCs w:val="21"/>
        </w:rPr>
        <w:t xml:space="preserve">Files are the oldest integration mechanism and, for partners and legacy systems, still unavoidable. The framework's position is that a file is a transport, not an integration contract: prefer an API or an event, and where a file is the only option, handle it event-driven, react when it lands, never poll a folder on a timer, and decompose its contents into records the rest of the platform can process like any other message. Operational, per-record files belong here; large bulk or analytical files cross to the data platform (see 5.6.3).</w:t>
      </w:r>
    </w:p>
    <w:p>
      <w:pPr>
        <w:pStyle w:val="Heading3"/>
        <w:spacing w:after="70" w:before="180"/>
      </w:pPr>
      <w:r>
        <w:rPr>
          <w:b/>
          <w:bCs/>
          <w:color w:val="1F3864"/>
          <w:sz w:val="22"/>
          <w:szCs w:val="22"/>
        </w:rPr>
        <w:t xml:space="preserve">5.5.1  Event-driven file ingestion</w:t>
      </w:r>
    </w:p>
    <w:p>
      <w:pPr>
        <w:spacing w:after="90" w:before="10"/>
      </w:pPr>
      <w:r>
        <w:rPr>
          <w:i/>
          <w:iCs/>
          <w:color w:val="5A6470"/>
          <w:sz w:val="21"/>
          <w:szCs w:val="21"/>
        </w:rPr>
        <w:t xml:space="preserve">A partner or system drops a file; pick it up on arrival, validate and parse it, and turn its contents into messages the platform can process.</w:t>
      </w:r>
    </w:p>
    <w:p>
      <w:pPr>
        <w:spacing w:after="130" w:before="90"/>
        <w:jc w:val="center"/>
      </w:pPr>
      <w:r>
        <w:drawing>
          <wp:inline distT="0" distB="0" distL="0" distR="0">
            <wp:extent cx="519112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91125" cy="6762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pPr>
        <w:spacing w:after="120" w:before="40" w:line="276"/>
      </w:pPr>
      <w:r>
        <w:rPr>
          <w:b/>
          <w:bCs/>
          <w:color w:val="1F3864"/>
          <w:sz w:val="21"/>
          <w:szCs w:val="21"/>
        </w:rPr>
        <w:t xml:space="preserve">Solution. </w:t>
      </w:r>
      <w:r>
        <w:rPr>
          <w:color w:val="222831"/>
          <w:sz w:val="21"/>
          <w:szCs w:val="21"/>
        </w:rPr>
        <w:t xml:space="preserve">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7620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a source can only deliver operational data as files (partner SFTP, legacy extract, scheduled drop) and the contents are records to process.  </w:t>
      </w:r>
      <w:r>
        <w:rPr>
          <w:b/>
          <w:bCs/>
          <w:color w:val="8A3B2E"/>
          <w:sz w:val="21"/>
          <w:szCs w:val="21"/>
        </w:rPr>
        <w:t xml:space="preserve">Avoid it when </w:t>
      </w:r>
      <w:r>
        <w:rPr>
          <w:color w:val="222831"/>
          <w:sz w:val="21"/>
          <w:szCs w:val="21"/>
        </w:rPr>
        <w:t xml:space="preserve">the systems can expose an API or emit events directly, prefer that; or the file is a large bulk/analytical dataset, which is a data-platform concern (5.6.3).</w:t>
      </w:r>
    </w:p>
    <w:p>
      <w:pPr>
        <w:spacing w:after="120" w:before="40" w:line="276"/>
      </w:pPr>
      <w:r>
        <w:rPr>
          <w:b/>
          <w:bCs/>
          <w:color w:val="1F3864"/>
          <w:sz w:val="21"/>
          <w:szCs w:val="21"/>
        </w:rPr>
        <w:t xml:space="preserve">Risks &amp; considerations. </w:t>
      </w:r>
      <w:r>
        <w:rPr>
          <w:color w:val="222831"/>
          <w:sz w:val="21"/>
          <w:szCs w:val="21"/>
        </w:rPr>
        <w:t xml:space="preserve">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(5.2.4), pass the reference, don't shuttle the bytes. Secure the transport: SFTP over a Private Endpoint with no anonymous access, a managed identity to Blob, encryption in transit and at rest, and PII handling for the contents.</w:t>
      </w:r>
    </w:p>
    <w:p>
      <w:pPr>
        <w:spacing w:after="120" w:before="40" w:line="276"/>
      </w:pPr>
      <w:r>
        <w:rPr>
          <w:b/>
          <w:bCs/>
          <w:color w:val="1F3864"/>
          <w:sz w:val="21"/>
          <w:szCs w:val="21"/>
        </w:rPr>
        <w:t xml:space="preserve">Security boundary. </w:t>
      </w:r>
      <w:r>
        <w:rPr>
          <w:color w:val="222831"/>
          <w:sz w:val="21"/>
          <w:szCs w:val="21"/>
        </w:rPr>
        <w:t xml:space="preserve">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pPr>
        <w:spacing w:after="120" w:before="40" w:line="276"/>
      </w:pPr>
      <w:r>
        <w:rPr>
          <w:b/>
          <w:bCs/>
          <w:color w:val="1F3864"/>
          <w:sz w:val="21"/>
          <w:szCs w:val="21"/>
        </w:rPr>
        <w:t xml:space="preserve">Anti-pattern. </w:t>
      </w:r>
      <w:r>
        <w:rPr>
          <w:color w:val="222831"/>
          <w:sz w:val="21"/>
          <w:szCs w:val="21"/>
        </w:rPr>
        <w:t xml:space="preserve">Timer-polling a folder to fake real-time; processing the whole file as one monolithic blob with no per-record error handling; treating the file layout as a permanent contract instead of decomposing to messages.</w:t>
      </w:r>
    </w:p>
    <w:p>
      <w:pPr>
        <w:spacing w:after="120" w:before="40" w:line="276"/>
      </w:pPr>
      <w:r>
        <w:rPr>
          <w:b/>
          <w:bCs/>
          <w:color w:val="1F3864"/>
          <w:sz w:val="21"/>
          <w:szCs w:val="21"/>
        </w:rPr>
        <w:t xml:space="preserve">In practice. </w:t>
      </w:r>
      <w:r>
        <w:rPr>
          <w:color w:val="222831"/>
          <w:sz w:val="21"/>
          <w:szCs w:val="21"/>
        </w:rPr>
        <w:t xml:space="preserve">A broker SFTPs a daily submissions file; arrival triggers a Logic App that validates and parses it, emitting each submission as a Service Bus message into the policy admin flow.</w:t>
      </w:r>
    </w:p>
    <w:p>
      <w:pPr>
        <w:spacing w:after="150"/>
      </w:pPr>
    </w:p>
    <w:p>
      <w:pPr>
        <w:pStyle w:val="Heading3"/>
        <w:spacing w:after="70" w:before="180"/>
      </w:pPr>
      <w:r>
        <w:rPr>
          <w:b/>
          <w:bCs/>
          <w:color w:val="1F3864"/>
          <w:sz w:val="22"/>
          <w:szCs w:val="22"/>
        </w:rPr>
        <w:t xml:space="preserve">5.5.2  File generation and delivery</w:t>
      </w:r>
    </w:p>
    <w:p>
      <w:pPr>
        <w:spacing w:after="90" w:before="10"/>
      </w:pPr>
      <w:r>
        <w:rPr>
          <w:i/>
          <w:iCs/>
          <w:color w:val="5A6470"/>
          <w:sz w:val="21"/>
          <w:szCs w:val="21"/>
        </w:rPr>
        <w:t xml:space="preserve">The platform produces a file from records or events and delivers it to a partner or system that can only consume files.</w:t>
      </w:r>
    </w:p>
    <w:p>
      <w:pPr>
        <w:spacing w:after="130" w:before="90"/>
        <w:jc w:val="center"/>
      </w:pPr>
      <w:r>
        <w:drawing>
          <wp:inline distT="0" distB="0" distL="0" distR="0">
            <wp:extent cx="51911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91125" cy="5810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downstream party, a partner, a legacy system, a regulator, needs data as a file, on a schedule or on an event, but we hold it as records and events.</w:t>
      </w:r>
    </w:p>
    <w:p>
      <w:pPr>
        <w:spacing w:after="120" w:before="40" w:line="276"/>
      </w:pPr>
      <w:r>
        <w:rPr>
          <w:b/>
          <w:bCs/>
          <w:color w:val="1F3864"/>
          <w:sz w:val="21"/>
          <w:szCs w:val="21"/>
        </w:rPr>
        <w:t xml:space="preserve">Solution. </w:t>
      </w:r>
      <w:r>
        <w:rPr>
          <w:color w:val="222831"/>
          <w:sz w:val="21"/>
          <w:szCs w:val="21"/>
        </w:rPr>
        <w:t xml:space="preserve">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7620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a consumer can only ingest files, or a scheduled or regulatory extract is required.  </w:t>
      </w:r>
      <w:r>
        <w:rPr>
          <w:b/>
          <w:bCs/>
          <w:color w:val="8A3B2E"/>
          <w:sz w:val="21"/>
          <w:szCs w:val="21"/>
        </w:rPr>
        <w:t xml:space="preserve">Avoid it when </w:t>
      </w:r>
      <w:r>
        <w:rPr>
          <w:color w:val="222831"/>
          <w:sz w:val="21"/>
          <w:szCs w:val="21"/>
        </w:rPr>
        <w:t xml:space="preserve">the consumer could call an API or subscribe to events, offer that instead.</w:t>
      </w:r>
    </w:p>
    <w:p>
      <w:pPr>
        <w:spacing w:after="120" w:before="40" w:line="276"/>
      </w:pPr>
      <w:r>
        <w:rPr>
          <w:b/>
          <w:bCs/>
          <w:color w:val="1F3864"/>
          <w:sz w:val="21"/>
          <w:szCs w:val="21"/>
        </w:rPr>
        <w:t xml:space="preserve">Risks &amp; considerations. </w:t>
      </w:r>
      <w:r>
        <w:rPr>
          <w:color w:val="222831"/>
          <w:sz w:val="21"/>
          <w:szCs w:val="21"/>
        </w:rPr>
        <w:t xml:space="preserve">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pPr>
        <w:spacing w:after="120" w:before="40" w:line="276"/>
      </w:pPr>
      <w:r>
        <w:rPr>
          <w:b/>
          <w:bCs/>
          <w:color w:val="1F3864"/>
          <w:sz w:val="21"/>
          <w:szCs w:val="21"/>
        </w:rPr>
        <w:t xml:space="preserve">Security boundary. </w:t>
      </w:r>
      <w:r>
        <w:rPr>
          <w:color w:val="222831"/>
          <w:sz w:val="21"/>
          <w:szCs w:val="21"/>
        </w:rPr>
        <w:t xml:space="preserve">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pPr>
        <w:spacing w:after="120" w:before="40" w:line="276"/>
      </w:pPr>
      <w:r>
        <w:rPr>
          <w:b/>
          <w:bCs/>
          <w:color w:val="1F3864"/>
          <w:sz w:val="21"/>
          <w:szCs w:val="21"/>
        </w:rPr>
        <w:t xml:space="preserve">Anti-pattern. </w:t>
      </w:r>
      <w:r>
        <w:rPr>
          <w:color w:val="222831"/>
          <w:sz w:val="21"/>
          <w:szCs w:val="21"/>
        </w:rPr>
        <w:t xml:space="preserve">Hand-rolled scheduled scripts running outside the platform with credentials in config; no delivery confirmation or retry.</w:t>
      </w:r>
    </w:p>
    <w:p>
      <w:pPr>
        <w:spacing w:after="120" w:before="40" w:line="276"/>
      </w:pPr>
      <w:r>
        <w:rPr>
          <w:b/>
          <w:bCs/>
          <w:color w:val="1F3864"/>
          <w:sz w:val="21"/>
          <w:szCs w:val="21"/>
        </w:rPr>
        <w:t xml:space="preserve">In practice. </w:t>
      </w:r>
      <w:r>
        <w:rPr>
          <w:color w:val="222831"/>
          <w:sz w:val="21"/>
          <w:szCs w:val="21"/>
        </w:rPr>
        <w:t xml:space="preserve">A nightly settlement extract is generated and pushed to the partner's SFTP, with a completion event notifying the finance team.</w:t>
      </w:r>
    </w:p>
    <w:p>
      <w:pPr>
        <w:spacing w:after="150"/>
      </w:pPr>
    </w:p>
    <w:p>
      <w:pPr>
        <w:spacing w:after="60" w:before="0" w:line="276"/>
      </w:pPr>
      <w:r>
        <w:rPr>
          <w:i/>
          <w:iCs/>
          <w:color w:val="5A6470"/>
          <w:sz w:val="21"/>
          <w:szCs w:val="21"/>
        </w:rPr>
        <w:t xml:space="preserve">For large, bulk or analytical files, a full bordereaux dataset for reporting, say, this is a data-platform concern, not a SIF one: see the boundary pattern in 5.6.3. The SIF handles operational, per-record file exchange; the data platform handles bulk file loads.</w:t>
      </w:r>
    </w:p>
    <w:p>
      <w:pPr>
        <w:pStyle w:val="Heading2"/>
        <w:spacing w:after="100" w:before="220"/>
      </w:pPr>
      <w:r>
        <w:rPr>
          <w:b/>
          <w:bCs/>
          <w:color w:val="2E5496"/>
          <w:sz w:val="25"/>
          <w:szCs w:val="25"/>
        </w:rPr>
        <w:t xml:space="preserve">5.6 Data-platform exchange</w:t>
      </w:r>
    </w:p>
    <w:p>
      <w:pPr>
        <w:spacing w:after="90" w:before="0" w:line="276"/>
      </w:pPr>
      <w:r>
        <w:rPr>
          <w:color w:val="222831"/>
          <w:sz w:val="21"/>
          <w:szCs w:val="21"/>
        </w:rPr>
        <w:t xml:space="preserve">The SIF's relationship with the data platform is narrow. It comes down to two integration patterns and one hard boundary: the SIF pushes operational data to the platform, and it consumes curated data from the platform to serve a consumer. The SIF does not store, transform, curate or analyse data, and it does not move data in bulk, those are the platform's job. Snowflake is a destination and a source across a governed boundary, never a default integration mechanism between operational systems.</w:t>
      </w:r>
    </w:p>
    <w:p>
      <w:pPr>
        <w:spacing w:after="100" w:before="0" w:line="276"/>
      </w:pPr>
      <w:r>
        <w:rPr>
          <w:color w:val="222831"/>
          <w:sz w:val="21"/>
          <w:szCs w:val="21"/>
        </w:rPr>
        <w:t xml:space="preserve">Keeping that boundary explicit is what stops the two worlds bleeding into each other. The table below states, for each direction, what the SIF owns and what the data platform owns. The canonical model (5.7.1) is the shared contract across the line, so operational and analytical consumers see one semantics rather than two.</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300"/>
        <w:gridCol w:w="3530"/>
        <w:gridCol w:w="3530"/>
      </w:tblGrid>
      <w:tr>
        <w:trPr>
          <w:tblHeader/>
        </w:trPr>
        <w:tc>
          <w:tcPr>
            <w:tcW w:type="dxa" w:w="2300"/>
            <w:shd w:fill="24446E" w:color="auto" w:val="clear"/>
            <w:tcMar>
              <w:top w:type="dxa" w:w="70"/>
              <w:left w:type="dxa" w:w="110"/>
              <w:bottom w:type="dxa" w:w="70"/>
              <w:right w:type="dxa" w:w="110"/>
            </w:tcMar>
          </w:tcPr>
          <w:p>
            <w:r>
              <w:rPr>
                <w:b/>
                <w:bCs/>
                <w:color w:val="FFFFFF"/>
                <w:sz w:val="18"/>
                <w:szCs w:val="18"/>
              </w:rPr>
              <w:t xml:space="preserve">Direction</w:t>
            </w:r>
          </w:p>
        </w:tc>
        <w:tc>
          <w:tcPr>
            <w:tcW w:type="dxa" w:w="3530"/>
            <w:shd w:fill="24446E" w:color="auto" w:val="clear"/>
            <w:tcMar>
              <w:top w:type="dxa" w:w="70"/>
              <w:left w:type="dxa" w:w="110"/>
              <w:bottom w:type="dxa" w:w="70"/>
              <w:right w:type="dxa" w:w="110"/>
            </w:tcMar>
          </w:tcPr>
          <w:p>
            <w:r>
              <w:rPr>
                <w:b/>
                <w:bCs/>
                <w:color w:val="FFFFFF"/>
                <w:sz w:val="18"/>
                <w:szCs w:val="18"/>
              </w:rPr>
              <w:t xml:space="preserve">The SIF is responsible for</w:t>
            </w:r>
          </w:p>
        </w:tc>
        <w:tc>
          <w:tcPr>
            <w:tcW w:type="dxa" w:w="3530"/>
            <w:shd w:fill="24446E" w:color="auto" w:val="clear"/>
            <w:tcMar>
              <w:top w:type="dxa" w:w="70"/>
              <w:left w:type="dxa" w:w="110"/>
              <w:bottom w:type="dxa" w:w="70"/>
              <w:right w:type="dxa" w:w="110"/>
            </w:tcMar>
          </w:tcPr>
          <w:p>
            <w:r>
              <w:rPr>
                <w:b/>
                <w:bCs/>
                <w:color w:val="FFFFFF"/>
                <w:sz w:val="18"/>
                <w:szCs w:val="18"/>
              </w:rPr>
              <w:t xml:space="preserve">The data platform is responsible for</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Push, to the platform (5.6.1)</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Publishing operational data and events to the landing zone; the canonical contract; reliable, idempotent delivery up to landing.</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Everything from landing onward, ingestion, storage, transformation, curation, analytics; ownership of the result stores.</w:t>
            </w:r>
          </w:p>
        </w:tc>
      </w:tr>
      <w:tr>
        <w:tc>
          <w:tcPr>
            <w:tcW w:type="dxa" w:w="2300"/>
            <w:shd w:fill="F4F6FA" w:color="auto" w:val="clear"/>
            <w:tcMar>
              <w:top w:type="dxa" w:w="70"/>
              <w:left w:type="dxa" w:w="110"/>
              <w:bottom w:type="dxa" w:w="70"/>
              <w:right w:type="dxa" w:w="110"/>
            </w:tcMar>
            <w:vAlign w:val="center"/>
          </w:tcPr>
          <w:p>
            <w:pPr>
              <w:spacing w:after="10" w:line="258"/>
            </w:pPr>
            <w:r>
              <w:rPr>
                <w:sz w:val="18"/>
                <w:szCs w:val="18"/>
              </w:rPr>
              <w:t xml:space="preserve">Consume &amp; serve, from the platform (5.6.2)</w:t>
            </w:r>
          </w:p>
        </w:tc>
        <w:tc>
          <w:tcPr>
            <w:tcW w:type="dxa" w:w="3530"/>
            <w:shd w:fill="F4F6FA" w:color="auto" w:val="clear"/>
            <w:tcMar>
              <w:top w:type="dxa" w:w="70"/>
              <w:left w:type="dxa" w:w="110"/>
              <w:bottom w:type="dxa" w:w="70"/>
              <w:right w:type="dxa" w:w="110"/>
            </w:tcMar>
            <w:vAlign w:val="center"/>
          </w:tcPr>
          <w:p>
            <w:pPr>
              <w:spacing w:after="10" w:line="258"/>
            </w:pPr>
            <w:r>
              <w:rPr>
                <w:sz w:val="18"/>
                <w:szCs w:val="18"/>
              </w:rPr>
              <w:t xml:space="preserve">Exposing a curated product to consumers through APIM, contract, authentication, caching, SLA, and pulling it via a thin serving layer.</w:t>
            </w:r>
          </w:p>
        </w:tc>
        <w:tc>
          <w:tcPr>
            <w:tcW w:type="dxa" w:w="3530"/>
            <w:shd w:fill="F4F6FA" w:color="auto" w:val="clear"/>
            <w:tcMar>
              <w:top w:type="dxa" w:w="70"/>
              <w:left w:type="dxa" w:w="110"/>
              <w:bottom w:type="dxa" w:w="70"/>
              <w:right w:type="dxa" w:w="110"/>
            </w:tcMar>
            <w:vAlign w:val="center"/>
          </w:tcPr>
          <w:p>
            <w:pPr>
              <w:spacing w:after="10" w:line="258"/>
            </w:pPr>
            <w:r>
              <w:rPr>
                <w:sz w:val="18"/>
                <w:szCs w:val="18"/>
              </w:rPr>
              <w:t xml:space="preserve">Producing and curating the data product; its quality and freshness; the analytical model behind it.</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Bulk / batch (5.6.3)</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Only raising a trigger or completion event.</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Executing the bulk load and owning the pipeline and its outputs.</w:t>
            </w:r>
          </w:p>
        </w:tc>
      </w:tr>
    </w:tbl>
    <w:p>
      <w:pPr>
        <w:pStyle w:val="Heading3"/>
        <w:spacing w:after="70" w:before="180"/>
      </w:pPr>
      <w:r>
        <w:rPr>
          <w:b/>
          <w:bCs/>
          <w:color w:val="1F3864"/>
          <w:sz w:val="22"/>
          <w:szCs w:val="22"/>
        </w:rPr>
        <w:t xml:space="preserve">5.6.1  Push to the data platform</w:t>
      </w:r>
    </w:p>
    <w:p>
      <w:pPr>
        <w:spacing w:after="90" w:before="10"/>
      </w:pPr>
      <w:r>
        <w:rPr>
          <w:i/>
          <w:iCs/>
          <w:color w:val="5A6470"/>
          <w:sz w:val="21"/>
          <w:szCs w:val="21"/>
        </w:rPr>
        <w:t xml:space="preserve">Push operational data and events into the platform's landing zone, without coupling operations to the warehouse.</w:t>
      </w:r>
    </w:p>
    <w:p>
      <w:pPr>
        <w:spacing w:after="90" w:before="0"/>
      </w:pPr>
      <w:r>
        <w:rPr>
          <w:i/>
          <w:iCs/>
          <w:color w:val="2E5496"/>
          <w:sz w:val="17"/>
          <w:szCs w:val="17"/>
        </w:rPr>
        <w:t xml:space="preserve">Reference deck equivalent: </w:t>
      </w:r>
      <w:r>
        <w:rPr>
          <w:i/>
          <w:iCs/>
          <w:color w:val="5A6470"/>
          <w:sz w:val="17"/>
          <w:szCs w:val="17"/>
        </w:rPr>
        <w:t xml:space="preserve">Event-Driven Data Sync</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Reporting and analytics need operational data, but pointing operational systems at the warehouse, or the warehouse at them, couples the two and drags analytical latency into the transaction path.</w:t>
      </w:r>
    </w:p>
    <w:p>
      <w:pPr>
        <w:spacing w:after="120" w:before="40" w:line="276"/>
      </w:pPr>
      <w:r>
        <w:rPr>
          <w:b/>
          <w:bCs/>
          <w:color w:val="1F3864"/>
          <w:sz w:val="21"/>
          <w:szCs w:val="21"/>
        </w:rPr>
        <w:t xml:space="preserve">Solution. </w:t>
      </w:r>
      <w:r>
        <w:rPr>
          <w:color w:val="222831"/>
          <w:sz w:val="21"/>
          <w:szCs w:val="21"/>
        </w:rPr>
        <w:t xml:space="preserve">Publish operational events to Event Hubs or Service Bus in the canonical form; a capture process or Function lands them in the platform's landing zone. Operations never depend on the warehouse, and the warehouse consumes at its own pace. The SIF's job ends at the landing zone, everything downstream is the platform's.</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operational events are needed for analytics and must stay out of the transaction path.  </w:t>
      </w:r>
      <w:r>
        <w:rPr>
          <w:b/>
          <w:bCs/>
          <w:color w:val="8A3B2E"/>
          <w:sz w:val="21"/>
          <w:szCs w:val="21"/>
        </w:rPr>
        <w:t xml:space="preserve">Avoid it when </w:t>
      </w:r>
      <w:r>
        <w:rPr>
          <w:color w:val="222831"/>
          <w:sz w:val="21"/>
          <w:szCs w:val="21"/>
        </w:rPr>
        <w:t xml:space="preserve">the data is needed synchronously in an operational flow (keep it in the SIF), or it is a bulk historical load.</w:t>
      </w:r>
    </w:p>
    <w:p>
      <w:pPr>
        <w:spacing w:after="120" w:before="40" w:line="276"/>
      </w:pPr>
      <w:r>
        <w:rPr>
          <w:b/>
          <w:bCs/>
          <w:color w:val="1F3864"/>
          <w:sz w:val="21"/>
          <w:szCs w:val="21"/>
        </w:rPr>
        <w:t xml:space="preserve">Risks &amp; considerations. </w:t>
      </w:r>
      <w:r>
        <w:rPr>
          <w:color w:val="222831"/>
          <w:sz w:val="21"/>
          <w:szCs w:val="21"/>
        </w:rPr>
        <w:t xml:space="preserve">Guard against schema drift between operations and analytics with an explicit event contract, and classify and minimise PII before it lands in the warehouse. Loads are at-least-once, so make them idempotent.</w:t>
      </w:r>
    </w:p>
    <w:p>
      <w:pPr>
        <w:spacing w:after="120" w:before="40" w:line="276"/>
      </w:pPr>
      <w:r>
        <w:rPr>
          <w:b/>
          <w:bCs/>
          <w:color w:val="1F3864"/>
          <w:sz w:val="21"/>
          <w:szCs w:val="21"/>
        </w:rPr>
        <w:t xml:space="preserve">Security boundary. </w:t>
      </w:r>
      <w:r>
        <w:rPr>
          <w:color w:val="222831"/>
          <w:sz w:val="21"/>
          <w:szCs w:val="21"/>
        </w:rPr>
        <w:t xml:space="preserve">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pPr>
        <w:spacing w:after="120" w:before="40" w:line="276"/>
      </w:pPr>
      <w:r>
        <w:rPr>
          <w:b/>
          <w:bCs/>
          <w:color w:val="1F3864"/>
          <w:sz w:val="21"/>
          <w:szCs w:val="21"/>
        </w:rPr>
        <w:t xml:space="preserve">Anti-pattern. </w:t>
      </w:r>
      <w:r>
        <w:rPr>
          <w:color w:val="222831"/>
          <w:sz w:val="21"/>
          <w:szCs w:val="21"/>
        </w:rPr>
        <w:t xml:space="preserve">Snowflake as a real-time hub between operational systems; operational systems querying the warehouse in a transactional path.</w:t>
      </w:r>
    </w:p>
    <w:p>
      <w:pPr>
        <w:spacing w:after="120" w:before="40" w:line="276"/>
      </w:pPr>
      <w:r>
        <w:rPr>
          <w:b/>
          <w:bCs/>
          <w:color w:val="1F3864"/>
          <w:sz w:val="21"/>
          <w:szCs w:val="21"/>
        </w:rPr>
        <w:t xml:space="preserve">In practice. </w:t>
      </w:r>
      <w:r>
        <w:rPr>
          <w:color w:val="222831"/>
          <w:sz w:val="21"/>
          <w:szCs w:val="21"/>
        </w:rPr>
        <w:t xml:space="preserve">Claim-lifecycle events are offloaded to Snowflake for management reporting.</w:t>
      </w:r>
    </w:p>
    <w:p>
      <w:pPr>
        <w:spacing w:after="150"/>
      </w:pPr>
    </w:p>
    <w:p>
      <w:pPr>
        <w:pStyle w:val="Heading3"/>
        <w:spacing w:after="70" w:before="180"/>
      </w:pPr>
      <w:r>
        <w:rPr>
          <w:b/>
          <w:bCs/>
          <w:color w:val="1F3864"/>
          <w:sz w:val="22"/>
          <w:szCs w:val="22"/>
        </w:rPr>
        <w:t xml:space="preserve">5.6.2  Consume from the data platform and serve to a consumer</w:t>
      </w:r>
    </w:p>
    <w:p>
      <w:pPr>
        <w:spacing w:after="90" w:before="10"/>
      </w:pPr>
      <w:r>
        <w:rPr>
          <w:i/>
          <w:iCs/>
          <w:color w:val="5A6470"/>
          <w:sz w:val="21"/>
          <w:szCs w:val="21"/>
        </w:rPr>
        <w:t xml:space="preserve">Pull curated data from the platform and serve it to a consumer through the gateway, analytical, not a system of record.</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An internal app or partner wants curated, aggregated data that lives in Snowflake, but it should not be running warehouse queries in a latency-sensitive path or treating analytics as the source of truth.</w:t>
      </w:r>
    </w:p>
    <w:p>
      <w:pPr>
        <w:spacing w:after="120" w:before="40" w:line="276"/>
      </w:pPr>
      <w:r>
        <w:rPr>
          <w:b/>
          <w:bCs/>
          <w:color w:val="1F3864"/>
          <w:sz w:val="21"/>
          <w:szCs w:val="21"/>
        </w:rPr>
        <w:t xml:space="preserve">Solution. </w:t>
      </w:r>
      <w:r>
        <w:rPr>
          <w:color w:val="222831"/>
          <w:sz w:val="21"/>
          <w:szCs w:val="21"/>
        </w:rPr>
        <w:t xml:space="preserve">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consumers need governed, curated data products and can tolerate analytical latency.  </w:t>
      </w:r>
      <w:r>
        <w:rPr>
          <w:b/>
          <w:bCs/>
          <w:color w:val="8A3B2E"/>
          <w:sz w:val="21"/>
          <w:szCs w:val="21"/>
        </w:rPr>
        <w:t xml:space="preserve">Avoid it when </w:t>
      </w:r>
      <w:r>
        <w:rPr>
          <w:color w:val="222831"/>
          <w:sz w:val="21"/>
          <w:szCs w:val="21"/>
        </w:rPr>
        <w:t xml:space="preserve">the read is latency-sensitive or transactional, go to the operational system through a request/response API.</w:t>
      </w:r>
    </w:p>
    <w:p>
      <w:pPr>
        <w:spacing w:after="120" w:before="40" w:line="276"/>
      </w:pPr>
      <w:r>
        <w:rPr>
          <w:b/>
          <w:bCs/>
          <w:color w:val="1F3864"/>
          <w:sz w:val="21"/>
          <w:szCs w:val="21"/>
        </w:rPr>
        <w:t xml:space="preserve">Risks &amp; considerations. </w:t>
      </w:r>
      <w:r>
        <w:rPr>
          <w:color w:val="222831"/>
          <w:sz w:val="21"/>
          <w:szCs w:val="21"/>
        </w:rPr>
        <w:t xml:space="preserve">Warehouse latency and cost under API load are real, so cache aggressively and set a clear SLA. Make consumers understand this is a curated, eventually-consistent product, not the operational source of truth.</w:t>
      </w:r>
    </w:p>
    <w:p>
      <w:pPr>
        <w:spacing w:after="120" w:before="40" w:line="276"/>
      </w:pPr>
      <w:r>
        <w:rPr>
          <w:b/>
          <w:bCs/>
          <w:color w:val="1F3864"/>
          <w:sz w:val="21"/>
          <w:szCs w:val="21"/>
        </w:rPr>
        <w:t xml:space="preserve">Security boundary. </w:t>
      </w:r>
      <w:r>
        <w:rPr>
          <w:color w:val="222831"/>
          <w:sz w:val="21"/>
          <w:szCs w:val="21"/>
        </w:rPr>
        <w:t xml:space="preserve">Landing zone: APIM (shared) and the serving Function (spoke); Snowflake read over Private Link. Within Azure: Private Endpoint, managed identity, TLS; the consumer is authenticated at APIM (Entra), data access is least-privilege, and caching limits how much is exposed. Outside Azure: only where the consumer is external, through the edge (Front Door + WAF + APIM, OAuth).</w:t>
      </w:r>
    </w:p>
    <w:p>
      <w:pPr>
        <w:spacing w:after="120" w:before="40" w:line="276"/>
      </w:pPr>
      <w:r>
        <w:rPr>
          <w:b/>
          <w:bCs/>
          <w:color w:val="1F3864"/>
          <w:sz w:val="21"/>
          <w:szCs w:val="21"/>
        </w:rPr>
        <w:t xml:space="preserve">Anti-pattern. </w:t>
      </w:r>
      <w:r>
        <w:rPr>
          <w:color w:val="222831"/>
          <w:sz w:val="21"/>
          <w:szCs w:val="21"/>
        </w:rPr>
        <w:t xml:space="preserve">Synchronous warehouse queries in a hot transactional path; bypassing APIM to hit Snowflake directly.</w:t>
      </w:r>
    </w:p>
    <w:p>
      <w:pPr>
        <w:spacing w:after="120" w:before="40" w:line="276"/>
      </w:pPr>
      <w:r>
        <w:rPr>
          <w:b/>
          <w:bCs/>
          <w:color w:val="1F3864"/>
          <w:sz w:val="21"/>
          <w:szCs w:val="21"/>
        </w:rPr>
        <w:t xml:space="preserve">In practice. </w:t>
      </w:r>
      <w:r>
        <w:rPr>
          <w:color w:val="222831"/>
          <w:sz w:val="21"/>
          <w:szCs w:val="21"/>
        </w:rPr>
        <w:t xml:space="preserve">Aggregated exposure metrics are exposed as a governed product API to an internal application.</w:t>
      </w:r>
    </w:p>
    <w:p>
      <w:pPr>
        <w:spacing w:after="150"/>
      </w:pPr>
    </w:p>
    <w:p>
      <w:pPr>
        <w:pStyle w:val="Heading3"/>
        <w:spacing w:after="70" w:before="180"/>
      </w:pPr>
      <w:r>
        <w:rPr>
          <w:b/>
          <w:bCs/>
          <w:color w:val="1F3864"/>
          <w:sz w:val="22"/>
          <w:szCs w:val="22"/>
        </w:rPr>
        <w:t xml:space="preserve">5.6.3  Bulk data movement (the boundary)</w:t>
      </w:r>
    </w:p>
    <w:p>
      <w:pPr>
        <w:spacing w:after="90" w:before="10"/>
      </w:pPr>
      <w:r>
        <w:rPr>
          <w:i/>
          <w:iCs/>
          <w:color w:val="5A6470"/>
          <w:sz w:val="21"/>
          <w:szCs w:val="21"/>
        </w:rPr>
        <w:t xml:space="preserve">Bulk and batch belong to the data platform; the SIF only signals.</w:t>
      </w:r>
    </w:p>
    <w:p>
      <w:pPr>
        <w:spacing w:after="130" w:before="9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91125" cy="11525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There is always pressure to build "just a quick nightly load" inside the integration platform. That crosses the boundary and puts the wrong workload on the wrong tool.</w:t>
      </w:r>
    </w:p>
    <w:p>
      <w:pPr>
        <w:spacing w:after="120" w:before="40" w:line="276"/>
      </w:pPr>
      <w:r>
        <w:rPr>
          <w:b/>
          <w:bCs/>
          <w:color w:val="1F3864"/>
          <w:sz w:val="21"/>
          <w:szCs w:val="21"/>
        </w:rPr>
        <w:t xml:space="preserve">Solution. </w:t>
      </w:r>
      <w:r>
        <w:rPr>
          <w:color w:val="222831"/>
          <w:sz w:val="21"/>
          <w:szCs w:val="21"/>
        </w:rPr>
        <w:t xml:space="preserve">Large-volume and batch movement is executed by the data platform as ELT into Snowflake. The SIF's only role is to raise a trigger or completion event, and the owner of the output store is named explicitly.</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the movement is large-volume, scheduled or historical, in which case it is not an AIS job at all.  </w:t>
      </w:r>
      <w:r>
        <w:rPr>
          <w:b/>
          <w:bCs/>
          <w:color w:val="8A3B2E"/>
          <w:sz w:val="21"/>
          <w:szCs w:val="21"/>
        </w:rPr>
        <w:t xml:space="preserve">Avoid it when </w:t>
      </w:r>
      <w:r>
        <w:rPr>
          <w:color w:val="222831"/>
          <w:sz w:val="21"/>
          <w:szCs w:val="21"/>
        </w:rPr>
        <w:t xml:space="preserve">always, for building batch ETL inside Logic Apps or Functions to sidestep the data platform.</w:t>
      </w:r>
    </w:p>
    <w:p>
      <w:pPr>
        <w:spacing w:after="120" w:before="40" w:line="276"/>
      </w:pPr>
      <w:r>
        <w:rPr>
          <w:b/>
          <w:bCs/>
          <w:color w:val="1F3864"/>
          <w:sz w:val="21"/>
          <w:szCs w:val="21"/>
        </w:rPr>
        <w:t xml:space="preserve">Risks &amp; considerations. </w:t>
      </w:r>
      <w:r>
        <w:rPr>
          <w:color w:val="222831"/>
          <w:sz w:val="21"/>
          <w:szCs w:val="21"/>
        </w:rPr>
        <w:t xml:space="preserve">The real risk here is organisational, boundary erosion. Enforce it at design review, and make output ownership explicit so result stores do not become orphaned.</w:t>
      </w:r>
    </w:p>
    <w:p>
      <w:pPr>
        <w:spacing w:after="120" w:before="40" w:line="276"/>
      </w:pPr>
      <w:r>
        <w:rPr>
          <w:b/>
          <w:bCs/>
          <w:color w:val="1F3864"/>
          <w:sz w:val="21"/>
          <w:szCs w:val="21"/>
        </w:rPr>
        <w:t xml:space="preserve">Security boundary. </w:t>
      </w:r>
      <w:r>
        <w:rPr>
          <w:color w:val="222831"/>
          <w:sz w:val="21"/>
          <w:szCs w:val="21"/>
        </w:rPr>
        <w:t xml:space="preserve">Landing zone: not a SIF data flow, the SIF only raises a trigger event from within its spokes, and the movement runs on the data platform. Within Azure: the trigger uses managed identity, a Private Endpoint and TLS. Outside Azure: none for the SIF.</w:t>
      </w:r>
    </w:p>
    <w:p>
      <w:pPr>
        <w:spacing w:after="120" w:before="40" w:line="276"/>
      </w:pPr>
      <w:r>
        <w:rPr>
          <w:b/>
          <w:bCs/>
          <w:color w:val="1F3864"/>
          <w:sz w:val="21"/>
          <w:szCs w:val="21"/>
        </w:rPr>
        <w:t xml:space="preserve">Anti-pattern. </w:t>
      </w:r>
      <w:r>
        <w:rPr>
          <w:color w:val="222831"/>
          <w:sz w:val="21"/>
          <w:szCs w:val="21"/>
        </w:rPr>
        <w:t xml:space="preserve">Batch ETL built inside the integration platform; using the SIF as a bulk data mover.</w:t>
      </w:r>
    </w:p>
    <w:p>
      <w:pPr>
        <w:spacing w:after="120" w:before="40" w:line="276"/>
      </w:pPr>
      <w:r>
        <w:rPr>
          <w:b/>
          <w:bCs/>
          <w:color w:val="1F3864"/>
          <w:sz w:val="21"/>
          <w:szCs w:val="21"/>
        </w:rPr>
        <w:t xml:space="preserve">In practice. </w:t>
      </w:r>
      <w:r>
        <w:rPr>
          <w:color w:val="222831"/>
          <w:sz w:val="21"/>
          <w:szCs w:val="21"/>
        </w:rPr>
        <w:t xml:space="preserve">The nightly bordereaux load runs on the data platform; the SIF only signals that source data is available.</w:t>
      </w:r>
    </w:p>
    <w:p>
      <w:pPr>
        <w:spacing w:after="150"/>
      </w:pPr>
    </w:p>
    <w:p>
      <w:pPr>
        <w:pStyle w:val="Heading2"/>
        <w:spacing w:after="100" w:before="220"/>
      </w:pPr>
      <w:r>
        <w:rPr>
          <w:b/>
          <w:bCs/>
          <w:color w:val="2E5496"/>
          <w:sz w:val="25"/>
          <w:szCs w:val="25"/>
        </w:rPr>
        <w:t xml:space="preserve">5.7 Transformation and routing</w:t>
      </w:r>
    </w:p>
    <w:p>
      <w:pPr>
        <w:spacing w:after="100" w:before="0" w:line="276"/>
      </w:pPr>
      <w:r>
        <w:rPr>
          <w:color w:val="222831"/>
          <w:sz w:val="21"/>
          <w:szCs w:val="21"/>
        </w:rPr>
        <w:t xml:space="preserve">These two patterns are cross-cutting, they apply within several of the styles above rather than being a style of their own, but they are important enough, and in this domain common enough, to stand as first-class patterns. Both are classic enterprise-integration patterns; both are heavily used wherever the estate meets external parties.</w:t>
      </w:r>
    </w:p>
    <w:p>
      <w:pPr>
        <w:pStyle w:val="Heading3"/>
        <w:spacing w:after="70" w:before="180"/>
      </w:pPr>
      <w:r>
        <w:rPr>
          <w:b/>
          <w:bCs/>
          <w:color w:val="1F3864"/>
          <w:sz w:val="22"/>
          <w:szCs w:val="22"/>
        </w:rPr>
        <w:t xml:space="preserve">5.7.1  Canonical data model and message translator</w:t>
      </w:r>
    </w:p>
    <w:p>
      <w:pPr>
        <w:spacing w:after="90" w:before="10"/>
      </w:pPr>
      <w:r>
        <w:rPr>
          <w:i/>
          <w:iCs/>
          <w:color w:val="5A6470"/>
          <w:sz w:val="21"/>
          <w:szCs w:val="21"/>
        </w:rPr>
        <w:t xml:space="preserve">Map every external format to one internal canonical model, so internal systems never bind to a partner's format.</w:t>
      </w:r>
    </w:p>
    <w:p>
      <w:pPr>
        <w:spacing w:after="130" w:before="90"/>
        <w:jc w:val="center"/>
      </w:pPr>
      <w:r>
        <w:drawing>
          <wp:inline distT="0" distB="0" distL="0" distR="0">
            <wp:extent cx="51911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191125" cy="184785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Insurance means integrating with many parties, brokers, coverholders,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pPr>
        <w:spacing w:after="120" w:before="40" w:line="276"/>
      </w:pPr>
      <w:r>
        <w:rPr>
          <w:b/>
          <w:bCs/>
          <w:color w:val="1F3864"/>
          <w:sz w:val="21"/>
          <w:szCs w:val="21"/>
        </w:rPr>
        <w:t xml:space="preserve">Solution. </w:t>
      </w:r>
      <w:r>
        <w:rPr>
          <w:color w:val="222831"/>
          <w:sz w:val="21"/>
          <w:szCs w:val="21"/>
        </w:rPr>
        <w:t xml:space="preserve">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53000" cy="95250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you integrate with several external parties or standards for the same business concept, which, in this domain, is almost always.  </w:t>
      </w:r>
      <w:r>
        <w:rPr>
          <w:b/>
          <w:bCs/>
          <w:color w:val="8A3B2E"/>
          <w:sz w:val="21"/>
          <w:szCs w:val="21"/>
        </w:rPr>
        <w:t xml:space="preserve">Avoid it when </w:t>
      </w:r>
      <w:r>
        <w:rPr>
          <w:color w:val="222831"/>
          <w:sz w:val="21"/>
          <w:szCs w:val="21"/>
        </w:rPr>
        <w:t xml:space="preserve">there really is a single, stable format on both sides (rare here), a straight protocol mediation (5.1.3) is enough.</w:t>
      </w:r>
    </w:p>
    <w:p>
      <w:pPr>
        <w:spacing w:after="120" w:before="40" w:line="276"/>
      </w:pPr>
      <w:r>
        <w:rPr>
          <w:b/>
          <w:bCs/>
          <w:color w:val="1F3864"/>
          <w:sz w:val="21"/>
          <w:szCs w:val="21"/>
        </w:rPr>
        <w:t xml:space="preserve">Risks &amp; considerations. </w:t>
      </w:r>
      <w:r>
        <w:rPr>
          <w:color w:val="222831"/>
          <w:sz w:val="21"/>
          <w:szCs w:val="21"/>
        </w:rPr>
        <w:t xml:space="preserve">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pPr>
        <w:spacing w:after="120" w:before="40" w:line="276"/>
      </w:pPr>
      <w:r>
        <w:rPr>
          <w:b/>
          <w:bCs/>
          <w:color w:val="1F3864"/>
          <w:sz w:val="21"/>
          <w:szCs w:val="21"/>
        </w:rPr>
        <w:t xml:space="preserve">Security boundary. </w:t>
      </w:r>
      <w:r>
        <w:rPr>
          <w:color w:val="222831"/>
          <w:sz w:val="21"/>
          <w:szCs w:val="21"/>
        </w:rPr>
        <w:t xml:space="preserve">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pPr>
        <w:spacing w:after="120" w:before="40" w:line="276"/>
      </w:pPr>
      <w:r>
        <w:rPr>
          <w:b/>
          <w:bCs/>
          <w:color w:val="1F3864"/>
          <w:sz w:val="21"/>
          <w:szCs w:val="21"/>
        </w:rPr>
        <w:t xml:space="preserve">Anti-pattern. </w:t>
      </w:r>
      <w:r>
        <w:rPr>
          <w:color w:val="222831"/>
          <w:sz w:val="21"/>
          <w:szCs w:val="21"/>
        </w:rPr>
        <w:t xml:space="preserve">Point-to-point mapping between every internal system and every partner format; letting one broker's or the bureau's schema become the de facto internal model.</w:t>
      </w:r>
    </w:p>
    <w:p>
      <w:pPr>
        <w:spacing w:after="120" w:before="40" w:line="276"/>
      </w:pPr>
      <w:r>
        <w:rPr>
          <w:b/>
          <w:bCs/>
          <w:color w:val="1F3864"/>
          <w:sz w:val="21"/>
          <w:szCs w:val="21"/>
        </w:rPr>
        <w:t xml:space="preserve">In practice. </w:t>
      </w:r>
      <w:r>
        <w:rPr>
          <w:color w:val="222831"/>
          <w:sz w:val="21"/>
          <w:szCs w:val="21"/>
        </w:rPr>
        <w:t xml:space="preserve">Broker EDI, coverholder bordereaux and bureau messages are each translated into Chaucer's canonical risk, premium and claim model; the policy and claims systems consume only the canonical form.</w:t>
      </w:r>
    </w:p>
    <w:p>
      <w:pPr>
        <w:spacing w:after="150"/>
      </w:pPr>
    </w:p>
    <w:p>
      <w:pPr>
        <w:pStyle w:val="Heading3"/>
        <w:spacing w:after="70" w:before="180"/>
      </w:pPr>
      <w:r>
        <w:rPr>
          <w:b/>
          <w:bCs/>
          <w:color w:val="1F3864"/>
          <w:sz w:val="22"/>
          <w:szCs w:val="22"/>
        </w:rPr>
        <w:t xml:space="preserve">5.7.2  Content-based routing</w:t>
      </w:r>
    </w:p>
    <w:p>
      <w:pPr>
        <w:spacing w:after="90" w:before="10"/>
      </w:pPr>
      <w:r>
        <w:rPr>
          <w:i/>
          <w:iCs/>
          <w:color w:val="5A6470"/>
          <w:sz w:val="21"/>
          <w:szCs w:val="21"/>
        </w:rPr>
        <w:t xml:space="preserve">Route a message or event to the right destination based on what is in it.</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Submissions, bordereaux and claims arrive on a common channel but need to go to different places, by line of business, territory, coverholder or claim type.</w:t>
      </w:r>
    </w:p>
    <w:p>
      <w:pPr>
        <w:spacing w:after="120" w:before="40" w:line="276"/>
      </w:pPr>
      <w:r>
        <w:rPr>
          <w:b/>
          <w:bCs/>
          <w:color w:val="1F3864"/>
          <w:sz w:val="21"/>
          <w:szCs w:val="21"/>
        </w:rPr>
        <w:t xml:space="preserve">Solution. </w:t>
      </w:r>
      <w:r>
        <w:rPr>
          <w:color w:val="222831"/>
          <w:sz w:val="21"/>
          <w:szCs w:val="21"/>
        </w:rPr>
        <w:t xml:space="preserve">Route on content using Service Bus subscription filters or Event Grid routing, or a Function for richer rules, so each message reaches the right handler without the producer knowing the routing map.</w:t>
      </w:r>
    </w:p>
    <w:p>
      <w:pPr>
        <w:spacing w:after="20" w:before="60"/>
        <w:jc w:val="center"/>
      </w:pPr>
      <w:r>
        <w:rPr>
          <w:i/>
          <w:iCs/>
          <w:color w:val="5A6470"/>
          <w:sz w:val="17"/>
          <w:szCs w:val="17"/>
        </w:rPr>
        <w:t xml:space="preserve">Azure components</w:t>
      </w:r>
    </w:p>
    <w:p>
      <w:pPr>
        <w:spacing w:after="130" w:before="90"/>
        <w:jc w:val="center"/>
      </w:pPr>
      <w:r>
        <w:drawing>
          <wp:inline distT="0" distB="0" distL="0" distR="0">
            <wp:extent cx="4457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457700" cy="1123950"/>
                    </a:xfrm>
                    <a:prstGeom prst="rect">
                      <a:avLst/>
                    </a:prstGeom>
                  </pic:spPr>
                </pic:pic>
              </a:graphicData>
            </a:graphic>
          </wp:inline>
        </w:drawing>
      </w:r>
    </w:p>
    <w:p>
      <w:pPr>
        <w:spacing w:after="120" w:before="40" w:line="276"/>
      </w:pPr>
      <w:r>
        <w:rPr>
          <w:b/>
          <w:bCs/>
          <w:color w:val="1C5138"/>
          <w:sz w:val="21"/>
          <w:szCs w:val="21"/>
        </w:rPr>
        <w:t xml:space="preserve">Use it when </w:t>
      </w:r>
      <w:r>
        <w:rPr>
          <w:color w:val="222831"/>
          <w:sz w:val="21"/>
          <w:szCs w:val="21"/>
        </w:rPr>
        <w:t xml:space="preserve">items on a shared channel need to diverge to different handlers according to their content.  </w:t>
      </w:r>
      <w:r>
        <w:rPr>
          <w:b/>
          <w:bCs/>
          <w:color w:val="8A3B2E"/>
          <w:sz w:val="21"/>
          <w:szCs w:val="21"/>
        </w:rPr>
        <w:t xml:space="preserve">Avoid it when </w:t>
      </w:r>
      <w:r>
        <w:rPr>
          <w:color w:val="222831"/>
          <w:sz w:val="21"/>
          <w:szCs w:val="21"/>
        </w:rPr>
        <w:t xml:space="preserve">there is only one destination, or the routing depends on external lookups better handled by a short orchestration.</w:t>
      </w:r>
    </w:p>
    <w:p>
      <w:pPr>
        <w:spacing w:after="120" w:before="40" w:line="276"/>
      </w:pPr>
      <w:r>
        <w:rPr>
          <w:b/>
          <w:bCs/>
          <w:color w:val="1F3864"/>
          <w:sz w:val="21"/>
          <w:szCs w:val="21"/>
        </w:rPr>
        <w:t xml:space="preserve">Risks &amp; considerations. </w:t>
      </w:r>
      <w:r>
        <w:rPr>
          <w:color w:val="222831"/>
          <w:sz w:val="21"/>
          <w:szCs w:val="21"/>
        </w:rPr>
        <w:t xml:space="preserve">Routing rules are logic and they drift, so keep them declarative and versioned, and always provide a default or dead-letter route, anything that matches no rule must be caught, not silently lost.</w:t>
      </w:r>
    </w:p>
    <w:p>
      <w:pPr>
        <w:spacing w:after="120" w:before="40" w:line="276"/>
      </w:pPr>
      <w:r>
        <w:rPr>
          <w:b/>
          <w:bCs/>
          <w:color w:val="1F3864"/>
          <w:sz w:val="21"/>
          <w:szCs w:val="21"/>
        </w:rPr>
        <w:t xml:space="preserve">Security boundary. </w:t>
      </w:r>
      <w:r>
        <w:rPr>
          <w:color w:val="222831"/>
          <w:sz w:val="21"/>
          <w:szCs w:val="21"/>
        </w:rPr>
        <w:t xml:space="preserve">Landing zone: the Service Bus/Event Grid routing rules, or a routing Function, in spokes, internal. Within Azure: Private Endpoint, managed identity, TLS, with a default/dead-letter route captured. Outside Azure: none.</w:t>
      </w:r>
    </w:p>
    <w:p>
      <w:pPr>
        <w:spacing w:after="120" w:before="40" w:line="276"/>
      </w:pPr>
      <w:r>
        <w:rPr>
          <w:b/>
          <w:bCs/>
          <w:color w:val="1F3864"/>
          <w:sz w:val="21"/>
          <w:szCs w:val="21"/>
        </w:rPr>
        <w:t xml:space="preserve">Anti-pattern. </w:t>
      </w:r>
      <w:r>
        <w:rPr>
          <w:color w:val="222831"/>
          <w:sz w:val="21"/>
          <w:szCs w:val="21"/>
        </w:rPr>
        <w:t xml:space="preserve">A monolithic if/else router hard-coded in one place; no default route for unmatched content.</w:t>
      </w:r>
    </w:p>
    <w:p>
      <w:pPr>
        <w:spacing w:after="120" w:before="40" w:line="276"/>
      </w:pPr>
      <w:r>
        <w:rPr>
          <w:b/>
          <w:bCs/>
          <w:color w:val="1F3864"/>
          <w:sz w:val="21"/>
          <w:szCs w:val="21"/>
        </w:rPr>
        <w:t xml:space="preserve">In practice. </w:t>
      </w:r>
      <w:r>
        <w:rPr>
          <w:color w:val="222831"/>
          <w:sz w:val="21"/>
          <w:szCs w:val="21"/>
        </w:rPr>
        <w:t xml:space="preserve">Inbound submissions are routed to the motor, property or casualty underwriting queues by line of business.</w:t>
      </w:r>
    </w:p>
    <w:p>
      <w:pPr>
        <w:spacing w:after="150"/>
      </w:pPr>
    </w:p>
    <w:p>
      <w:r>
        <w:br w:type="page"/>
      </w:r>
    </w:p>
    <w:p>
      <w:pPr>
        <w:pStyle w:val="Heading2"/>
        <w:spacing w:after="100" w:before="220"/>
      </w:pPr>
      <w:r>
        <w:rPr>
          <w:b/>
          <w:bCs/>
          <w:color w:val="2E5496"/>
          <w:sz w:val="25"/>
          <w:szCs w:val="25"/>
        </w:rPr>
        <w:t xml:space="preserve">5.8 Applying the patterns, insurance integration scenarios</w:t>
      </w:r>
    </w:p>
    <w:p>
      <w:pPr>
        <w:spacing w:after="120" w:before="0" w:line="276"/>
      </w:pPr>
      <w:r>
        <w:rPr>
          <w:color w:val="222831"/>
          <w:sz w:val="21"/>
          <w:szCs w:val="21"/>
        </w:rPr>
        <w:t xml:space="preserve">The patterns above are the vocabulary; real integrations are sentences built from several of them. This section maps the integrations a Lloyd's specialty insurer actually runs onto the catalogue, so a team recognises their problem and knows where to start. It also serves as a completeness check: every characteristic insurance integration below resolves to patterns already in the framework.</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050"/>
        <w:gridCol w:w="2600"/>
        <w:gridCol w:w="1950"/>
        <w:gridCol w:w="2760"/>
      </w:tblGrid>
      <w:tr>
        <w:trPr>
          <w:tblHeader/>
        </w:trPr>
        <w:tc>
          <w:tcPr>
            <w:tcW w:type="dxa" w:w="2050"/>
            <w:shd w:fill="24446E" w:color="auto" w:val="clear"/>
            <w:tcMar>
              <w:top w:type="dxa" w:w="70"/>
              <w:left w:type="dxa" w:w="110"/>
              <w:bottom w:type="dxa" w:w="70"/>
              <w:right w:type="dxa" w:w="110"/>
            </w:tcMar>
          </w:tcPr>
          <w:p>
            <w:r>
              <w:rPr>
                <w:b/>
                <w:bCs/>
                <w:color w:val="FFFFFF"/>
                <w:sz w:val="18"/>
                <w:szCs w:val="18"/>
              </w:rPr>
              <w:t xml:space="preserve">Scenario</w:t>
            </w:r>
          </w:p>
        </w:tc>
        <w:tc>
          <w:tcPr>
            <w:tcW w:type="dxa" w:w="2600"/>
            <w:shd w:fill="24446E" w:color="auto" w:val="clear"/>
            <w:tcMar>
              <w:top w:type="dxa" w:w="70"/>
              <w:left w:type="dxa" w:w="110"/>
              <w:bottom w:type="dxa" w:w="70"/>
              <w:right w:type="dxa" w:w="110"/>
            </w:tcMar>
          </w:tcPr>
          <w:p>
            <w:r>
              <w:rPr>
                <w:b/>
                <w:bCs/>
                <w:color w:val="FFFFFF"/>
                <w:sz w:val="18"/>
                <w:szCs w:val="18"/>
              </w:rPr>
              <w:t xml:space="preserve">Patterns it composes</w:t>
            </w:r>
          </w:p>
        </w:tc>
        <w:tc>
          <w:tcPr>
            <w:tcW w:type="dxa" w:w="1950"/>
            <w:shd w:fill="24446E" w:color="auto" w:val="clear"/>
            <w:tcMar>
              <w:top w:type="dxa" w:w="70"/>
              <w:left w:type="dxa" w:w="110"/>
              <w:bottom w:type="dxa" w:w="70"/>
              <w:right w:type="dxa" w:w="110"/>
            </w:tcMar>
          </w:tcPr>
          <w:p>
            <w:r>
              <w:rPr>
                <w:b/>
                <w:bCs/>
                <w:color w:val="FFFFFF"/>
                <w:sz w:val="18"/>
                <w:szCs w:val="18"/>
              </w:rPr>
              <w:t xml:space="preserve">Primary components</w:t>
            </w:r>
          </w:p>
        </w:tc>
        <w:tc>
          <w:tcPr>
            <w:tcW w:type="dxa" w:w="2760"/>
            <w:shd w:fill="24446E" w:color="auto" w:val="clear"/>
            <w:tcMar>
              <w:top w:type="dxa" w:w="70"/>
              <w:left w:type="dxa" w:w="110"/>
              <w:bottom w:type="dxa" w:w="70"/>
              <w:right w:type="dxa" w:w="110"/>
            </w:tcMar>
          </w:tcPr>
          <w:p>
            <w:r>
              <w:rPr>
                <w:b/>
                <w:bCs/>
                <w:color w:val="FFFFFF"/>
                <w:sz w:val="18"/>
                <w:szCs w:val="18"/>
              </w:rPr>
              <w:t xml:space="preserve">Domain notes</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Delegated authority &amp; bordereaux (coverholder / DCA risk, premium, claims reporting)</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File-based ingestion (5.5.1); canonical model (5.7.1); content routing (5.7.2); push to platform (5.6.1)</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Logic Apps, Functions, Blob, Service Bus, Snowflake</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Validate to Lloyd's Coverholder Reporting Standards; strategic target is API capture-at-source (the DDM direction), retiring manual bordereaux re-key.</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London market bureau &amp; settlement</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Canonical model (5.7.1); messaging (5.2); orchestration (5.4); push to platform (5.6.1)</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APIM, Logic Apps, Service Bus, Functions</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Integrate with Velonetic core processing (accounting, settlement, claims); align to Core Data Record / ACORD; design for incremental modernisation.</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Broker submission &amp; placement intake</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Inbound API/webhook (5.1.1, 5.3.3); file-based (5.5.1); content routing (5.7.2); composition (5.1.2)</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APIM, Front Door/WAF, Logic Apps, Functions</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Accept submissions by API, file or portal; triage and route to the right underwriting team and system.</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Sanctions &amp; financial-crime screening</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Synchronous request-reply (5.1.4); async with hold (5.2.3); human-in-the-loop (5.4.3)</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APIM, Functions, Logic Apps</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Real-time screening at onboarding and bind; block or refer on a hit; full audit trail.</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Claims lifecycle (FNOL to settlement)</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Inbound webhook/API (5.3.3); orchestration + compensation (5.4.1–2); outbound webhook (5.3.4); push to platform (5.6.1)</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APIM, Logic Apps, Service Bus, Functions</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FNOL intake from portals and TPAs; orchestrate across DCA and loss adjuster; electronic claims to the bureau; status notifications to brokers.</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Reinsurance (ceded)</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Canonical model (5.7.1); file/messaging (5.5, 5.2); orchestration (5.4.1)</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Logic Apps, Functions, Service Bus, Snowflake</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Cede risk, premium and claims to treaty and facultative systems and reinsurers; outbound bordereaux; manage recoveries.</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Regulatory &amp; tax reporting</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Event offload (5.6.1); consume &amp; serve (5.6.2); orchestration (5.4.1); file egress (5.5.2)</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Snowflake, Logic Apps, Functions, APIM</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Solvency II, Lloyd's returns and tax; assembled on the data platform and submitted via orchestrated feeds or files.</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Rating &amp; pricing</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Synchronous request-reply (5.1.4); façade (5.1.1)</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APIM, Functions</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Real-time rating-engine calls during quote and bind.</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Document generation &amp; delivery</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Orchestration (5.4.1); file egress (5.5.2); outbound webhook (5.3.4)</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Logic Apps, Functions, Blob</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Policy schedules and certificates generated and delivered to brokers and insureds.</w:t>
            </w:r>
          </w:p>
        </w:tc>
      </w:tr>
    </w:tbl>
    <w:p>
      <w:pPr>
        <w:pStyle w:val="Heading3"/>
        <w:spacing w:after="70" w:before="180"/>
      </w:pPr>
      <w:r>
        <w:rPr>
          <w:b/>
          <w:bCs/>
          <w:color w:val="1F3864"/>
          <w:sz w:val="22"/>
          <w:szCs w:val="22"/>
        </w:rPr>
        <w:t xml:space="preserve">Flagship: delegated authority and bordereaux</w:t>
      </w:r>
    </w:p>
    <w:p>
      <w:pPr>
        <w:spacing w:after="120" w:before="0" w:line="276"/>
      </w:pPr>
      <w:r>
        <w:rPr>
          <w:color w:val="222831"/>
          <w:sz w:val="21"/>
          <w:szCs w:val="21"/>
        </w:rPr>
        <w:t xml:space="preserve">Bordereaux processing is the integration that most defines specialty insurance, and today it is mostly manual: coverholders and delegated claims administrators send risk, premium and claims spreadsheets on a schedule, and technicians re-key and reconcile them. That is exactly the cost and error the framework targets. The pattern-based approach lands the bordereaux in Blob, reacts on arrival, validates it against the Lloyd's Coverholder Reporting Standards, maps it into the canonical model, quarantines anything that fails, emits clean per-record events into the operational flow, and offloads to Snowflake for regulatory and analytical use.</w:t>
      </w:r>
    </w:p>
    <w:p>
      <w:pPr>
        <w:spacing w:after="130" w:before="90"/>
        <w:jc w:val="center"/>
      </w:pPr>
      <w:r>
        <w:drawing>
          <wp:inline distT="0" distB="0" distL="0" distR="0">
            <wp:extent cx="51911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91125" cy="1076325"/>
                    </a:xfrm>
                    <a:prstGeom prst="rect">
                      <a:avLst/>
                    </a:prstGeom>
                  </pic:spPr>
                </pic:pic>
              </a:graphicData>
            </a:graphic>
          </wp:inline>
        </w:drawing>
      </w:r>
    </w:p>
    <w:p>
      <w:pPr>
        <w:spacing w:after="120" w:before="0" w:line="276"/>
      </w:pPr>
      <w:r>
        <w:rPr>
          <w:color w:val="222831"/>
          <w:sz w:val="21"/>
          <w:szCs w:val="21"/>
        </w:rPr>
        <w:t xml:space="preserve">The important point is direction of travel. This file-based flow is the transition state; the strategic target across the market, and the SIF's own preference, is to capture the same data at source through coverholder APIs, so the bordereaux and its re-keying disappear entirely. The framework supports both, and makes the API-at-source option the cleaner path, so each new coverholder onboarding is a nudge toward the target state rather than another spreadsheet feed to maintain.</w:t>
      </w:r>
    </w:p>
    <w:p>
      <w:pPr>
        <w:pStyle w:val="Heading3"/>
        <w:spacing w:after="70" w:before="180"/>
      </w:pPr>
      <w:r>
        <w:rPr>
          <w:b/>
          <w:bCs/>
          <w:color w:val="1F3864"/>
          <w:sz w:val="22"/>
          <w:szCs w:val="22"/>
        </w:rPr>
        <w:t xml:space="preserve">The market bureau and settlement</w:t>
      </w:r>
    </w:p>
    <w:p>
      <w:pPr>
        <w:spacing w:after="120" w:before="0" w:line="276"/>
      </w:pPr>
      <w:r>
        <w:rPr>
          <w:color w:val="222831"/>
          <w:sz w:val="21"/>
          <w:szCs w:val="21"/>
        </w:rPr>
        <w:t xml:space="preserve">The London market clears accounting, settlement and claims centrally through the bureau operated by Velonetic (the DXC, IUA and Lloyd's joint venture), on long-standing core systems that are being modernised incrementally. The original Blueprint Two vision was retired in 2026, with the market refocusing on protecting the resilience of those core services and evolving them step by step. The architectural implication for Chaucer is steadiness rather than a big-bang: integrate with the bureau's services through the canonical model and the messaging and orchestration patterns, align data to the common standards (the Core Data Record and ACORD) so that policies and claims match cleanly through their lifecycle, and treat the modernisation roadmap as a moving target to track rather than a fixed milestone to build against. Because the framework decouples internal systems from external formats, a change at the bureau becomes a translator change, not an estate-wide one, which is exactly the insulation you want against a roadmap that has already moved several times.</w:t>
      </w:r>
    </w:p>
    <w:p>
      <w:pPr>
        <w:spacing w:after="60" w:before="0" w:line="276"/>
      </w:pPr>
      <w:r>
        <w:rPr>
          <w:color w:val="222831"/>
          <w:sz w:val="21"/>
          <w:szCs w:val="21"/>
        </w:rPr>
        <w:t xml:space="preserve">Two everyday flows are matter because they exercise the webhook and screening patterns directly: first notification of loss typically arrives as an inbound webhook or API call (5.3.3) that is acknowledged fast and processed through claims orchestration, with claim-status changes pushed back to brokers as outbound notifications (5.3.4); and sanctions and financial-crime screening runs as a synchronous call at onboarding and bind (5.1.4), referring hits to a human-in-the-loop hold (5.4.3) rather than letting a risk bind unchecked.</w:t>
      </w:r>
    </w:p>
    <w:p>
      <w:r>
        <w:br w:type="page"/>
      </w:r>
    </w:p>
    <w:p>
      <w:pPr>
        <w:pStyle w:val="Heading1"/>
        <w:spacing w:after="130" w:before="260"/>
      </w:pPr>
      <w:r>
        <w:rPr>
          <w:b/>
          <w:bCs/>
          <w:color w:val="1F3864"/>
          <w:sz w:val="30"/>
          <w:szCs w:val="30"/>
        </w:rPr>
        <w:t xml:space="preserve">6. Guardrails and exceptions</w:t>
      </w:r>
    </w:p>
    <w:p>
      <w:pPr>
        <w:pStyle w:val="Heading2"/>
        <w:spacing w:after="100" w:before="220"/>
      </w:pPr>
      <w:r>
        <w:rPr>
          <w:b/>
          <w:bCs/>
          <w:color w:val="2E5496"/>
          <w:sz w:val="25"/>
          <w:szCs w:val="25"/>
        </w:rPr>
        <w:t xml:space="preserve">6.1 Non-negotiable guardrails</w:t>
      </w:r>
    </w:p>
    <w:p>
      <w:pPr>
        <w:spacing w:after="120" w:before="0" w:line="276"/>
      </w:pPr>
      <w:r>
        <w:rPr>
          <w:color w:val="222831"/>
          <w:sz w:val="21"/>
          <w:szCs w:val="21"/>
        </w:rPr>
        <w:t xml:space="preserve">These are the things a TDA reviewer will look for on every integration, regardless of pattern. They are inherited directly from the security principles and engineering standards, so they are not up for per-project renegotiation, but the exception process below exists for the genuine edge cases.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900"/>
        <w:gridCol w:w="7460"/>
      </w:tblGrid>
      <w:tr>
        <w:trPr>
          <w:tblHeader/>
        </w:trPr>
        <w:tc>
          <w:tcPr>
            <w:tcW w:type="dxa" w:w="1900"/>
            <w:shd w:fill="24446E" w:color="auto" w:val="clear"/>
            <w:tcMar>
              <w:top w:type="dxa" w:w="70"/>
              <w:left w:type="dxa" w:w="110"/>
              <w:bottom w:type="dxa" w:w="70"/>
              <w:right w:type="dxa" w:w="110"/>
            </w:tcMar>
          </w:tcPr>
          <w:p>
            <w:r>
              <w:rPr>
                <w:b/>
                <w:bCs/>
                <w:color w:val="FFFFFF"/>
                <w:sz w:val="18"/>
                <w:szCs w:val="18"/>
              </w:rPr>
              <w:t xml:space="preserve">Area</w:t>
            </w:r>
          </w:p>
        </w:tc>
        <w:tc>
          <w:tcPr>
            <w:tcW w:type="dxa" w:w="7460"/>
            <w:shd w:fill="24446E" w:color="auto" w:val="clear"/>
            <w:tcMar>
              <w:top w:type="dxa" w:w="70"/>
              <w:left w:type="dxa" w:w="110"/>
              <w:bottom w:type="dxa" w:w="70"/>
              <w:right w:type="dxa" w:w="110"/>
            </w:tcMar>
          </w:tcPr>
          <w:p>
            <w:r>
              <w:rPr>
                <w:b/>
                <w:bCs/>
                <w:color w:val="FFFFFF"/>
                <w:sz w:val="18"/>
                <w:szCs w:val="18"/>
              </w:rPr>
              <w:t xml:space="preserve">The rule</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Identity</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Entra ID with managed identities for every service-to-service call, least privilege. No account keys, shared keys or secret-bearing connection strings.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Secrets</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Only where unavoidable, held in Key Vault (Cyber subscription) and referenced, never copied into configuration.</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Network</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Private Endpoints to dependencies; APIM shared and internal; public ingress only through Front Door with WAF and DDoS.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Encryption</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TLS on every hop, private network or not.</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Observability</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Correlation IDs end-to-end; logs, metrics and traces centralised; the SOC has the access it needs.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Resilience</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Zone-redundant by default; cross-region posture set by criticality tier; DR runs at the same security posture as production.</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Contracts &amp; versioning</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APIs and event schemas are versioned and evolve without silently breaking consumers.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Reuse &amp; publication</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Check the catalogue first; publish new services and patterns so the next team can find them.</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Delivery &amp; build</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All assets in source control; repeatable IaC deployment; automation authenticates as managed identities or SPNs.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Business traceability</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Every integration ties to a business outcome and is assigned a criticality tier.</w:t>
            </w:r>
          </w:p>
        </w:tc>
      </w:tr>
    </w:tbl>
    <w:p>
      <w:pPr>
        <w:pStyle w:val="Heading2"/>
        <w:spacing w:after="100" w:before="220"/>
      </w:pPr>
      <w:r>
        <w:rPr>
          <w:b/>
          <w:bCs/>
          <w:color w:val="2E5496"/>
          <w:sz w:val="25"/>
          <w:szCs w:val="25"/>
        </w:rPr>
        <w:t xml:space="preserve">6.2 When you need to deviate</w:t>
      </w:r>
    </w:p>
    <w:p>
      <w:pPr>
        <w:spacing w:after="120" w:before="0" w:line="276"/>
      </w:pPr>
      <w:r>
        <w:rPr>
          <w:color w:val="222831"/>
          <w:sz w:val="21"/>
          <w:szCs w:val="21"/>
        </w:rPr>
        <w:t xml:space="preserve">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pPr>
        <w:pStyle w:val="Heading2"/>
        <w:spacing w:after="100" w:before="220"/>
      </w:pPr>
      <w:r>
        <w:rPr>
          <w:b/>
          <w:bCs/>
          <w:color w:val="2E5496"/>
          <w:sz w:val="25"/>
          <w:szCs w:val="25"/>
        </w:rPr>
        <w:t xml:space="preserve">6.3 TDA gates</w:t>
      </w:r>
    </w:p>
    <w:p>
      <w:pPr>
        <w:spacing w:after="120" w:before="0" w:line="276"/>
      </w:pPr>
      <w:r>
        <w:rPr>
          <w:color w:val="222831"/>
          <w:sz w:val="21"/>
          <w:szCs w:val="21"/>
        </w:rPr>
        <w:t xml:space="preserve">Governance is light but real. At design, the chosen pattern and interaction style are confirmed against the decision tree and the scope boundary. At build, guardrail conformance is evidenced, identity, network, secrets, observability and resilience. And any exception is logged and approved before build proceeds. The intent is not to slow teams down but to make sure the easy path and the approved path are the same path.</w:t>
      </w:r>
    </w:p>
    <w:p>
      <w:pPr>
        <w:pStyle w:val="Heading2"/>
        <w:spacing w:after="100" w:before="220"/>
      </w:pPr>
      <w:r>
        <w:rPr>
          <w:b/>
          <w:bCs/>
          <w:color w:val="2E5496"/>
          <w:sz w:val="25"/>
          <w:szCs w:val="25"/>
        </w:rPr>
        <w:t xml:space="preserve">6.4 Per-pattern security conformance for TDA</w:t>
      </w:r>
    </w:p>
    <w:p>
      <w:pPr>
        <w:spacing w:after="120" w:before="0" w:line="276"/>
      </w:pPr>
      <w:r>
        <w:rPr>
          <w:color w:val="222831"/>
          <w:sz w:val="21"/>
          <w:szCs w:val="21"/>
        </w:rPr>
        <w:t xml:space="preserve">The direct question a TDA reviewer will ask is: does each pattern satisfy the security principles? The answer is yes, when built as specified, and the reason is structural rather than incidental. Almost every pattern is fully internal and never crosses the internet boundary; identity is Entra with managed identities and no keys; secrets live in Key Vault in the Cyber subscription; all dependencies are reached over Private Endpoints with TLS on every hop; and the handful of flows that must face outward are forced through one hardened edge and registered as exceptions. That is defence-in-depth, least-privilege, default-deny and Zero Trust applied, structural rather than incidental.</w:t>
      </w:r>
    </w:p>
    <w:p>
      <w:pPr>
        <w:spacing w:after="120" w:before="0" w:line="276"/>
      </w:pPr>
      <w:r>
        <w:rPr>
          <w:color w:val="222831"/>
          <w:sz w:val="21"/>
          <w:szCs w:val="21"/>
        </w:rPr>
        <w:t xml:space="preserve">Rather than repeat an identical verdict twenty times, the patterns are grouped below by their security profile. The internal group shares one posture; the boundary-crossing group is where TDA attention is warranted.</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050"/>
        <w:gridCol w:w="1450"/>
        <w:gridCol w:w="3360"/>
        <w:gridCol w:w="1500"/>
      </w:tblGrid>
      <w:tr>
        <w:trPr>
          <w:tblHeader/>
        </w:trPr>
        <w:tc>
          <w:tcPr>
            <w:tcW w:type="dxa" w:w="3050"/>
            <w:shd w:fill="24446E" w:color="auto" w:val="clear"/>
            <w:tcMar>
              <w:top w:type="dxa" w:w="70"/>
              <w:left w:type="dxa" w:w="110"/>
              <w:bottom w:type="dxa" w:w="70"/>
              <w:right w:type="dxa" w:w="110"/>
            </w:tcMar>
          </w:tcPr>
          <w:p>
            <w:r>
              <w:rPr>
                <w:b/>
                <w:bCs/>
                <w:color w:val="FFFFFF"/>
                <w:sz w:val="18"/>
                <w:szCs w:val="18"/>
              </w:rPr>
              <w:t xml:space="preserve">Pattern group</w:t>
            </w:r>
          </w:p>
        </w:tc>
        <w:tc>
          <w:tcPr>
            <w:tcW w:type="dxa" w:w="1450"/>
            <w:shd w:fill="24446E" w:color="auto" w:val="clear"/>
            <w:tcMar>
              <w:top w:type="dxa" w:w="70"/>
              <w:left w:type="dxa" w:w="110"/>
              <w:bottom w:type="dxa" w:w="70"/>
              <w:right w:type="dxa" w:w="110"/>
            </w:tcMar>
          </w:tcPr>
          <w:p>
            <w:r>
              <w:rPr>
                <w:b/>
                <w:bCs/>
                <w:color w:val="FFFFFF"/>
                <w:sz w:val="18"/>
                <w:szCs w:val="18"/>
              </w:rPr>
              <w:t xml:space="preserve">Internet boundary</w:t>
            </w:r>
          </w:p>
        </w:tc>
        <w:tc>
          <w:tcPr>
            <w:tcW w:type="dxa" w:w="3360"/>
            <w:shd w:fill="24446E" w:color="auto" w:val="clear"/>
            <w:tcMar>
              <w:top w:type="dxa" w:w="70"/>
              <w:left w:type="dxa" w:w="110"/>
              <w:bottom w:type="dxa" w:w="70"/>
              <w:right w:type="dxa" w:w="110"/>
            </w:tcMar>
          </w:tcPr>
          <w:p>
            <w:r>
              <w:rPr>
                <w:b/>
                <w:bCs/>
                <w:color w:val="FFFFFF"/>
                <w:sz w:val="18"/>
                <w:szCs w:val="18"/>
              </w:rPr>
              <w:t xml:space="preserve">Controlling security posture</w:t>
            </w:r>
          </w:p>
        </w:tc>
        <w:tc>
          <w:tcPr>
            <w:tcW w:type="dxa" w:w="1500"/>
            <w:shd w:fill="24446E" w:color="auto" w:val="clear"/>
            <w:tcMar>
              <w:top w:type="dxa" w:w="70"/>
              <w:left w:type="dxa" w:w="110"/>
              <w:bottom w:type="dxa" w:w="70"/>
              <w:right w:type="dxa" w:w="110"/>
            </w:tcMar>
          </w:tcPr>
          <w:p>
            <w:r>
              <w:rPr>
                <w:b/>
                <w:bCs/>
                <w:color w:val="FFFFFF"/>
                <w:sz w:val="18"/>
                <w:szCs w:val="18"/>
              </w:rPr>
              <w:t xml:space="preserve">TDA verdict</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Internal patterns, 5.1.2–5.1.4, 5.2.x, 5.3.1–5.3.2, 5.3.5 (internal feeds), 5.4.x, 5.6.1, 5.6.3, 5.7.x</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Not crossed</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Components in shared subscription / private workload spokes; Private Endpoints; Entra managed identity, no keys; Key Vault references; TLS every hop; NSG-segmented; default-deny.</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4F6FA" w:color="auto" w:val="clear"/>
            <w:tcMar>
              <w:top w:type="dxa" w:w="70"/>
              <w:left w:type="dxa" w:w="110"/>
              <w:bottom w:type="dxa" w:w="70"/>
              <w:right w:type="dxa" w:w="110"/>
            </w:tcMar>
            <w:vAlign w:val="center"/>
          </w:tcPr>
          <w:p>
            <w:pPr>
              <w:spacing w:after="10" w:line="258"/>
            </w:pPr>
            <w:r>
              <w:rPr>
                <w:sz w:val="18"/>
                <w:szCs w:val="18"/>
              </w:rPr>
              <w:t xml:space="preserve">Managed API façade, 5.1.1 (internal use)</w:t>
            </w:r>
          </w:p>
        </w:tc>
        <w:tc>
          <w:tcPr>
            <w:tcW w:type="dxa" w:w="1450"/>
            <w:shd w:fill="F4F6FA" w:color="auto" w:val="clear"/>
            <w:tcMar>
              <w:top w:type="dxa" w:w="70"/>
              <w:left w:type="dxa" w:w="110"/>
              <w:bottom w:type="dxa" w:w="70"/>
              <w:right w:type="dxa" w:w="110"/>
            </w:tcMar>
            <w:vAlign w:val="center"/>
          </w:tcPr>
          <w:p>
            <w:pPr>
              <w:spacing w:after="10" w:line="258"/>
            </w:pPr>
            <w:r>
              <w:rPr>
                <w:sz w:val="18"/>
                <w:szCs w:val="18"/>
              </w:rPr>
              <w:t xml:space="preserve">Not crossed</w:t>
            </w:r>
          </w:p>
        </w:tc>
        <w:tc>
          <w:tcPr>
            <w:tcW w:type="dxa" w:w="3360"/>
            <w:shd w:fill="F4F6FA" w:color="auto" w:val="clear"/>
            <w:tcMar>
              <w:top w:type="dxa" w:w="70"/>
              <w:left w:type="dxa" w:w="110"/>
              <w:bottom w:type="dxa" w:w="70"/>
              <w:right w:type="dxa" w:w="110"/>
            </w:tcMar>
            <w:vAlign w:val="center"/>
          </w:tcPr>
          <w:p>
            <w:pPr>
              <w:spacing w:after="10" w:line="258"/>
            </w:pPr>
            <w:r>
              <w:rPr>
                <w:sz w:val="18"/>
                <w:szCs w:val="18"/>
              </w:rPr>
              <w:t xml:space="preserve">APIM shared and non-public; Private Endpoint to backend; managed identity; TLS.</w:t>
            </w:r>
          </w:p>
        </w:tc>
        <w:tc>
          <w:tcPr>
            <w:tcW w:type="dxa" w:w="1500"/>
            <w:shd w:fill="F4F6FA"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Consume-and-serve, 5.6.2 (internal consumer)</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Not crossed</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APIM (Entra auth) over a serving layer; Snowflake via Private Link; least-privilege data access; caching.</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4F6FA" w:color="auto" w:val="clear"/>
            <w:tcMar>
              <w:top w:type="dxa" w:w="70"/>
              <w:left w:type="dxa" w:w="110"/>
              <w:bottom w:type="dxa" w:w="70"/>
              <w:right w:type="dxa" w:w="110"/>
            </w:tcMar>
            <w:vAlign w:val="center"/>
          </w:tcPr>
          <w:p>
            <w:pPr>
              <w:spacing w:after="10" w:line="258"/>
            </w:pPr>
            <w:r>
              <w:rPr>
                <w:sz w:val="18"/>
                <w:szCs w:val="18"/>
              </w:rPr>
              <w:t xml:space="preserve">Inbound webhook, 5.3.3</w:t>
            </w:r>
          </w:p>
        </w:tc>
        <w:tc>
          <w:tcPr>
            <w:tcW w:type="dxa" w:w="1450"/>
            <w:shd w:fill="F4F6FA" w:color="auto" w:val="clear"/>
            <w:tcMar>
              <w:top w:type="dxa" w:w="70"/>
              <w:left w:type="dxa" w:w="110"/>
              <w:bottom w:type="dxa" w:w="70"/>
              <w:right w:type="dxa" w:w="110"/>
            </w:tcMar>
            <w:vAlign w:val="center"/>
          </w:tcPr>
          <w:p>
            <w:pPr>
              <w:spacing w:after="10" w:line="258"/>
            </w:pPr>
            <w:r>
              <w:rPr>
                <w:sz w:val="18"/>
                <w:szCs w:val="18"/>
              </w:rPr>
              <w:t xml:space="preserve">Crossed (ingress)</w:t>
            </w:r>
          </w:p>
        </w:tc>
        <w:tc>
          <w:tcPr>
            <w:tcW w:type="dxa" w:w="3360"/>
            <w:shd w:fill="F4F6FA" w:color="auto" w:val="clear"/>
            <w:tcMar>
              <w:top w:type="dxa" w:w="70"/>
              <w:left w:type="dxa" w:w="110"/>
              <w:bottom w:type="dxa" w:w="70"/>
              <w:right w:type="dxa" w:w="110"/>
            </w:tcMar>
            <w:vAlign w:val="center"/>
          </w:tcPr>
          <w:p>
            <w:pPr>
              <w:spacing w:after="10" w:line="258"/>
            </w:pPr>
            <w:r>
              <w:rPr>
                <w:sz w:val="18"/>
                <w:szCs w:val="18"/>
              </w:rPr>
              <w:t xml:space="preserve">Online subscription only; Front Door + WAF + DDoS; APIM single ingress; mTLS/OAuth/signature; IP allow-list; async processing in private spokes; no direct triggers.</w:t>
            </w:r>
          </w:p>
        </w:tc>
        <w:tc>
          <w:tcPr>
            <w:tcW w:type="dxa" w:w="1500"/>
            <w:shd w:fill="F4F6FA" w:color="auto" w:val="clear"/>
            <w:tcMar>
              <w:top w:type="dxa" w:w="70"/>
              <w:left w:type="dxa" w:w="110"/>
              <w:bottom w:type="dxa" w:w="70"/>
              <w:right w:type="dxa" w:w="110"/>
            </w:tcMar>
            <w:vAlign w:val="center"/>
          </w:tcPr>
          <w:p>
            <w:pPr>
              <w:spacing w:after="10" w:line="258"/>
            </w:pPr>
            <w:r>
              <w:rPr>
                <w:sz w:val="18"/>
                <w:szCs w:val="18"/>
              </w:rPr>
              <w:t xml:space="preserve">Conforms with registered exception</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Public API / external consumer, 5.1.1, 5.2.3, 5.6.2 when exposed externally</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Crossed (ingress)</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Same edge as 5.3.3: Front Door + WAF + DDoS + APIM; OAuth/mTLS; online subscription; APIM never exposed directly.</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 with registered exception</w:t>
            </w:r>
          </w:p>
        </w:tc>
      </w:tr>
      <w:tr>
        <w:tc>
          <w:tcPr>
            <w:tcW w:type="dxa" w:w="3050"/>
            <w:shd w:fill="F4F6FA" w:color="auto" w:val="clear"/>
            <w:tcMar>
              <w:top w:type="dxa" w:w="70"/>
              <w:left w:type="dxa" w:w="110"/>
              <w:bottom w:type="dxa" w:w="70"/>
              <w:right w:type="dxa" w:w="110"/>
            </w:tcMar>
            <w:vAlign w:val="center"/>
          </w:tcPr>
          <w:p>
            <w:pPr>
              <w:spacing w:after="10" w:line="258"/>
            </w:pPr>
            <w:r>
              <w:rPr>
                <w:sz w:val="18"/>
                <w:szCs w:val="18"/>
              </w:rPr>
              <w:t xml:space="preserve">Outbound webhook / notification, 5.3.4</w:t>
            </w:r>
          </w:p>
        </w:tc>
        <w:tc>
          <w:tcPr>
            <w:tcW w:type="dxa" w:w="1450"/>
            <w:shd w:fill="F4F6FA" w:color="auto" w:val="clear"/>
            <w:tcMar>
              <w:top w:type="dxa" w:w="70"/>
              <w:left w:type="dxa" w:w="110"/>
              <w:bottom w:type="dxa" w:w="70"/>
              <w:right w:type="dxa" w:w="110"/>
            </w:tcMar>
            <w:vAlign w:val="center"/>
          </w:tcPr>
          <w:p>
            <w:pPr>
              <w:spacing w:after="10" w:line="258"/>
            </w:pPr>
            <w:r>
              <w:rPr>
                <w:sz w:val="18"/>
                <w:szCs w:val="18"/>
              </w:rPr>
              <w:t xml:space="preserve">Crossed (egress)</w:t>
            </w:r>
          </w:p>
        </w:tc>
        <w:tc>
          <w:tcPr>
            <w:tcW w:type="dxa" w:w="3360"/>
            <w:shd w:fill="F4F6FA" w:color="auto" w:val="clear"/>
            <w:tcMar>
              <w:top w:type="dxa" w:w="70"/>
              <w:left w:type="dxa" w:w="110"/>
              <w:bottom w:type="dxa" w:w="70"/>
              <w:right w:type="dxa" w:w="110"/>
            </w:tcMar>
            <w:vAlign w:val="center"/>
          </w:tcPr>
          <w:p>
            <w:pPr>
              <w:spacing w:after="10" w:line="258"/>
            </w:pPr>
            <w:r>
              <w:rPr>
                <w:sz w:val="18"/>
                <w:szCs w:val="18"/>
              </w:rPr>
              <w:t xml:space="preserve">Controlled egress path (routing intent), not default internet; TLS; signed payloads; partner allow-list; Key Vault-held secrets.</w:t>
            </w:r>
          </w:p>
        </w:tc>
        <w:tc>
          <w:tcPr>
            <w:tcW w:type="dxa" w:w="1500"/>
            <w:shd w:fill="F4F6FA"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File-based with partner SFTP, 5.5.1, 5.5.2</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Crossed</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Edge or private connectivity; SFTP-over-SSH with key/cert auth; no anonymous access; IP allow-list; encryption in transit and at rest; Key Vault credentials.</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 with registered exception</w:t>
            </w:r>
          </w:p>
        </w:tc>
      </w:tr>
    </w:tbl>
    <w:p>
      <w:pPr>
        <w:spacing w:after="120" w:before="0" w:line="276"/>
      </w:pPr>
      <w:r>
        <w:rPr>
          <w:color w:val="222831"/>
          <w:sz w:val="21"/>
          <w:szCs w:val="21"/>
        </w:rPr>
        <w:t xml:space="preserve">Two honest caveats for the review, so this is not read as a rubber stamp. First, the verdicts assume the pattern is built to the stated posture, TDA's build gate exists exactly to evidence that (managed identity in place, no keys, Private Endpoints, WAF tuned, exception registered). Second, the boundary-crossing patterns carry residual risk that is managed, not eliminated: partner authentication strength, payload validation, PII handling in files and offloads, and the discipline of keeping the exception register current and time-boxed. Those are the items worth a reviewer's time; the internal majority of the framework is conformant by structure.</w:t>
      </w:r>
    </w:p>
    <w:p>
      <w:r>
        <w:br w:type="page"/>
      </w:r>
    </w:p>
    <w:p>
      <w:pPr>
        <w:pStyle w:val="Heading1"/>
        <w:spacing w:after="130" w:before="260"/>
      </w:pPr>
      <w:r>
        <w:rPr>
          <w:b/>
          <w:bCs/>
          <w:color w:val="1F3864"/>
          <w:sz w:val="30"/>
          <w:szCs w:val="30"/>
        </w:rPr>
        <w:t xml:space="preserve">Appendix A: Anti-pattern quick reference</w:t>
      </w:r>
    </w:p>
    <w:p>
      <w:pPr>
        <w:spacing w:after="120" w:before="0" w:line="276"/>
      </w:pPr>
      <w:r>
        <w:rPr>
          <w:color w:val="222831"/>
          <w:sz w:val="21"/>
          <w:szCs w:val="21"/>
        </w:rPr>
        <w:t xml:space="preserve">A consolidated list of what the framework is trying to prevent, and where to go instead. If a design review turns up any of these, it is a signal to stop and re-choose.</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4180"/>
        <w:gridCol w:w="5180"/>
      </w:tblGrid>
      <w:tr>
        <w:trPr>
          <w:tblHeader/>
        </w:trPr>
        <w:tc>
          <w:tcPr>
            <w:tcW w:type="dxa" w:w="4180"/>
            <w:shd w:fill="24446E" w:color="auto" w:val="clear"/>
            <w:tcMar>
              <w:top w:type="dxa" w:w="70"/>
              <w:left w:type="dxa" w:w="110"/>
              <w:bottom w:type="dxa" w:w="70"/>
              <w:right w:type="dxa" w:w="110"/>
            </w:tcMar>
          </w:tcPr>
          <w:p>
            <w:r>
              <w:rPr>
                <w:b/>
                <w:bCs/>
                <w:color w:val="FFFFFF"/>
                <w:sz w:val="18"/>
                <w:szCs w:val="18"/>
              </w:rPr>
              <w:t xml:space="preserve">Anti-pattern</w:t>
            </w:r>
          </w:p>
        </w:tc>
        <w:tc>
          <w:tcPr>
            <w:tcW w:type="dxa" w:w="5180"/>
            <w:shd w:fill="24446E" w:color="auto" w:val="clear"/>
            <w:tcMar>
              <w:top w:type="dxa" w:w="70"/>
              <w:left w:type="dxa" w:w="110"/>
              <w:bottom w:type="dxa" w:w="70"/>
              <w:right w:type="dxa" w:w="110"/>
            </w:tcMar>
          </w:tcPr>
          <w:p>
            <w:r>
              <w:rPr>
                <w:b/>
                <w:bCs/>
                <w:color w:val="FFFFFF"/>
                <w:sz w:val="18"/>
                <w:szCs w:val="18"/>
              </w:rPr>
              <w:t xml:space="preserve">Instead</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Direct, unmediated point-to-point integration</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Mediate through the platform, an API, a queue or an event (§5).</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Bypassing APIM to expose a backend</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APIM as the single front door; Front Door + WAF for public (§5.1.1).</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Microservices choreography / distributed saga</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Centrally-owned orchestration with compensation (§5.4.2).</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Business logic in gateway policies or Logic Apps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Logic in Functions; control flow in Logic Apps (§5.4).</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Long-running work behind a synchronous call</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Asynchronous request-reply or orchestration (§5.2.3, §5.4).</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Snowflake as a real-time integration hub</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Event offload and data-as-a-product across the boundary (§5.6).</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Batch ETL built inside the integration platform</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The data platform owns bulk movement (§5.6.3).</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Account keys or connection strings for auth</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Managed Identity and Key Vault references (§6.1).</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Public Function/Logic App HTTP triggers</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Front Door + WAF + APIM ingress (§5.3.3).</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Fat events treated as source of truth</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Thin events plus an authoritative read (§5.3.2).</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Assuming exactly-once delivery</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At-least-once plus idempotent consumers (§5.2.5).</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Timer-polling a folder for files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React to blob-created arrival events; decompose to messages (§5.5.1).</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Manually re-keying bordereaux; mapping every partner format point-to-point</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Canonical model + translator; capture at source via API (§5.7.1, §5.8).</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Using the data platform as a hop between two operational systems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The platform is a destination/source only; integrate operationally through the SIF (§5.6).</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Two different data models for operational vs analytical use</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One canonical model as the shared contract across the boundary (§5.6, §5.7.1).</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PII in logs or URLs, or unmasked in analytics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Classify, minimise and tokenise; log metadata not payloads (§3.6).</w:t>
            </w:r>
          </w:p>
        </w:tc>
      </w:tr>
    </w:tbl>
    <w:p>
      <w:pPr>
        <w:pStyle w:val="Heading1"/>
        <w:spacing w:after="130" w:before="260"/>
      </w:pPr>
      <w:r>
        <w:rPr>
          <w:b/>
          <w:bCs/>
          <w:color w:val="1F3864"/>
          <w:sz w:val="30"/>
          <w:szCs w:val="30"/>
        </w:rPr>
        <w:t xml:space="preserve">Appendix B: Glossary</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100"/>
        <w:gridCol w:w="7260"/>
      </w:tblGrid>
      <w:tr>
        <w:trPr>
          <w:tblHeader/>
        </w:trPr>
        <w:tc>
          <w:tcPr>
            <w:tcW w:type="dxa" w:w="2100"/>
            <w:shd w:fill="24446E" w:color="auto" w:val="clear"/>
            <w:tcMar>
              <w:top w:type="dxa" w:w="70"/>
              <w:left w:type="dxa" w:w="110"/>
              <w:bottom w:type="dxa" w:w="70"/>
              <w:right w:type="dxa" w:w="110"/>
            </w:tcMar>
          </w:tcPr>
          <w:p>
            <w:r>
              <w:rPr>
                <w:b/>
                <w:bCs/>
                <w:color w:val="FFFFFF"/>
                <w:sz w:val="18"/>
                <w:szCs w:val="18"/>
              </w:rPr>
              <w:t xml:space="preserve">Term</w:t>
            </w:r>
          </w:p>
        </w:tc>
        <w:tc>
          <w:tcPr>
            <w:tcW w:type="dxa" w:w="7260"/>
            <w:shd w:fill="24446E" w:color="auto" w:val="clear"/>
            <w:tcMar>
              <w:top w:type="dxa" w:w="70"/>
              <w:left w:type="dxa" w:w="110"/>
              <w:bottom w:type="dxa" w:w="70"/>
              <w:right w:type="dxa" w:w="110"/>
            </w:tcMar>
          </w:tcPr>
          <w:p>
            <w:r>
              <w:rPr>
                <w:b/>
                <w:bCs/>
                <w:color w:val="FFFFFF"/>
                <w:sz w:val="18"/>
                <w:szCs w:val="18"/>
              </w:rPr>
              <w:t xml:space="preserve">Meaning</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SIF</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This framework, the Systems Integration Framework.</w:t>
            </w:r>
          </w:p>
        </w:tc>
      </w:tr>
      <w:tr>
        <w:tc>
          <w:tcPr>
            <w:tcW w:type="dxa" w:w="2100"/>
            <w:shd w:fill="F4F6FA" w:color="auto" w:val="clear"/>
            <w:tcMar>
              <w:top w:type="dxa" w:w="70"/>
              <w:left w:type="dxa" w:w="110"/>
              <w:bottom w:type="dxa" w:w="70"/>
              <w:right w:type="dxa" w:w="110"/>
            </w:tcMar>
            <w:vAlign w:val="center"/>
          </w:tcPr>
          <w:p>
            <w:pPr>
              <w:spacing w:after="10" w:line="258"/>
            </w:pPr>
            <w:r>
              <w:rPr>
                <w:sz w:val="18"/>
                <w:szCs w:val="18"/>
              </w:rPr>
              <w:t xml:space="preserve">AIS</w:t>
            </w:r>
          </w:p>
        </w:tc>
        <w:tc>
          <w:tcPr>
            <w:tcW w:type="dxa" w:w="7260"/>
            <w:shd w:fill="F4F6FA" w:color="auto" w:val="clear"/>
            <w:tcMar>
              <w:top w:type="dxa" w:w="70"/>
              <w:left w:type="dxa" w:w="110"/>
              <w:bottom w:type="dxa" w:w="70"/>
              <w:right w:type="dxa" w:w="110"/>
            </w:tcMar>
            <w:vAlign w:val="center"/>
          </w:tcPr>
          <w:p>
            <w:pPr>
              <w:spacing w:after="10" w:line="258"/>
            </w:pPr>
            <w:r>
              <w:rPr>
                <w:sz w:val="18"/>
                <w:szCs w:val="18"/>
              </w:rPr>
              <w:t xml:space="preserve">Azure Integration Services: APIM, Logic Apps, Service Bus, Event Grid, Event Hubs, Functions.</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SOA</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Service-Oriented Architecture, coarse-grained, capability-aligned services with clear ownership. Chaucer's chosen model.</w:t>
            </w:r>
          </w:p>
        </w:tc>
      </w:tr>
      <w:tr>
        <w:tc>
          <w:tcPr>
            <w:tcW w:type="dxa" w:w="2100"/>
            <w:shd w:fill="F4F6FA" w:color="auto" w:val="clear"/>
            <w:tcMar>
              <w:top w:type="dxa" w:w="70"/>
              <w:left w:type="dxa" w:w="110"/>
              <w:bottom w:type="dxa" w:w="70"/>
              <w:right w:type="dxa" w:w="110"/>
            </w:tcMar>
            <w:vAlign w:val="center"/>
          </w:tcPr>
          <w:p>
            <w:pPr>
              <w:spacing w:after="10" w:line="258"/>
            </w:pPr>
            <w:r>
              <w:rPr>
                <w:sz w:val="18"/>
                <w:szCs w:val="18"/>
              </w:rPr>
              <w:t xml:space="preserve">Idempotent</w:t>
            </w:r>
          </w:p>
        </w:tc>
        <w:tc>
          <w:tcPr>
            <w:tcW w:type="dxa" w:w="7260"/>
            <w:shd w:fill="F4F6FA" w:color="auto" w:val="clear"/>
            <w:tcMar>
              <w:top w:type="dxa" w:w="70"/>
              <w:left w:type="dxa" w:w="110"/>
              <w:bottom w:type="dxa" w:w="70"/>
              <w:right w:type="dxa" w:w="110"/>
            </w:tcMar>
            <w:vAlign w:val="center"/>
          </w:tcPr>
          <w:p>
            <w:pPr>
              <w:spacing w:after="10" w:line="258"/>
            </w:pPr>
            <w:r>
              <w:rPr>
                <w:sz w:val="18"/>
                <w:szCs w:val="18"/>
              </w:rPr>
              <w:t xml:space="preserve">Safe to apply more than once with the same effect as applying it once, the antidote to at-least-once delivery.</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Claim-check</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Passing a reference to a large payload rather than the payload itself.</w:t>
            </w:r>
          </w:p>
        </w:tc>
      </w:tr>
      <w:tr>
        <w:tc>
          <w:tcPr>
            <w:tcW w:type="dxa" w:w="2100"/>
            <w:shd w:fill="F4F6FA" w:color="auto" w:val="clear"/>
            <w:tcMar>
              <w:top w:type="dxa" w:w="70"/>
              <w:left w:type="dxa" w:w="110"/>
              <w:bottom w:type="dxa" w:w="70"/>
              <w:right w:type="dxa" w:w="110"/>
            </w:tcMar>
            <w:vAlign w:val="center"/>
          </w:tcPr>
          <w:p>
            <w:pPr>
              <w:spacing w:after="10" w:line="258"/>
            </w:pPr>
            <w:r>
              <w:rPr>
                <w:sz w:val="18"/>
                <w:szCs w:val="18"/>
              </w:rPr>
              <w:t xml:space="preserve">Data platform</w:t>
            </w:r>
          </w:p>
        </w:tc>
        <w:tc>
          <w:tcPr>
            <w:tcW w:type="dxa" w:w="7260"/>
            <w:shd w:fill="F4F6FA" w:color="auto" w:val="clear"/>
            <w:tcMar>
              <w:top w:type="dxa" w:w="70"/>
              <w:left w:type="dxa" w:w="110"/>
              <w:bottom w:type="dxa" w:w="70"/>
              <w:right w:type="dxa" w:w="110"/>
            </w:tcMar>
            <w:vAlign w:val="center"/>
          </w:tcPr>
          <w:p>
            <w:pPr>
              <w:spacing w:after="10" w:line="258"/>
            </w:pPr>
            <w:r>
              <w:rPr>
                <w:sz w:val="18"/>
                <w:szCs w:val="18"/>
              </w:rPr>
              <w:t xml:space="preserve">Snowflake, the analytical platform, reached only across a defined boundary.</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TDA</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Technical Design Authority, approves the framework and any exceptions to it.</w:t>
            </w:r>
          </w:p>
        </w:tc>
      </w:tr>
    </w:tbl>
    <w:p>
      <w:pPr>
        <w:pStyle w:val="Heading1"/>
        <w:spacing w:after="130" w:before="260"/>
      </w:pPr>
      <w:r>
        <w:rPr>
          <w:b/>
          <w:bCs/>
          <w:color w:val="1F3864"/>
          <w:sz w:val="30"/>
          <w:szCs w:val="30"/>
        </w:rPr>
        <w:t xml:space="preserve">Appendix C: Open items for the next revision</w:t>
      </w:r>
    </w:p>
    <w:p>
      <w:pPr>
        <w:spacing w:after="120" w:before="0" w:line="276"/>
      </w:pPr>
      <w:r>
        <w:rPr>
          <w:color w:val="222831"/>
          <w:sz w:val="21"/>
          <w:szCs w:val="21"/>
        </w:rPr>
        <w:t xml:space="preserve">A short list of what still needs confirming, mostly from the workshops and from TDA, before this moves past draft:</w:t>
      </w:r>
    </w:p>
    <w:p>
      <w:pPr>
        <w:pStyle w:val="ListParagraph"/>
        <w:numPr>
          <w:ilvl w:val="0"/>
          <w:numId w:val="2"/>
        </w:numPr>
        <w:spacing w:after="50" w:line="268"/>
      </w:pPr>
      <w:r>
        <w:rPr>
          <w:color w:val="222831"/>
          <w:sz w:val="21"/>
          <w:szCs w:val="21"/>
        </w:rPr>
        <w:t xml:space="preserve">Criticality-tier definitions and their SLA / RTO / RPO targets, to finalise the resilience posture in Section 3.4.</w:t>
      </w:r>
    </w:p>
    <w:p>
      <w:pPr>
        <w:pStyle w:val="ListParagraph"/>
        <w:numPr>
          <w:ilvl w:val="0"/>
          <w:numId w:val="2"/>
        </w:numPr>
        <w:spacing w:after="50" w:line="268"/>
      </w:pPr>
      <w:r>
        <w:rPr>
          <w:color w:val="222831"/>
          <w:sz w:val="21"/>
          <w:szCs w:val="21"/>
        </w:rPr>
        <w:t xml:space="preserve">Whether partner B2B / EDI (AS2, X12) is in scope for the SIF or handled separately.</w:t>
      </w:r>
    </w:p>
    <w:p>
      <w:pPr>
        <w:pStyle w:val="ListParagraph"/>
        <w:numPr>
          <w:ilvl w:val="0"/>
          <w:numId w:val="2"/>
        </w:numPr>
        <w:spacing w:after="50" w:line="268"/>
      </w:pPr>
      <w:r>
        <w:rPr>
          <w:color w:val="222831"/>
          <w:sz w:val="21"/>
          <w:szCs w:val="21"/>
        </w:rPr>
        <w:t xml:space="preserve">How hard the delivery-guarantee requirement is per domain, i.e. where idempotency and outbox move from recommended to mandatory.</w:t>
      </w:r>
    </w:p>
    <w:p>
      <w:pPr>
        <w:pStyle w:val="ListParagraph"/>
        <w:numPr>
          <w:ilvl w:val="0"/>
          <w:numId w:val="2"/>
        </w:numPr>
        <w:spacing w:after="50" w:line="268"/>
      </w:pPr>
      <w:r>
        <w:rPr>
          <w:color w:val="222831"/>
          <w:sz w:val="21"/>
          <w:szCs w:val="21"/>
        </w:rPr>
        <w:t xml:space="preserve">Mapping each pattern to the specific current pain-points surfacing in the workshops, so the framework visibly resolves named problems.</w:t>
      </w:r>
    </w:p>
    <w:p>
      <w:pPr>
        <w:pStyle w:val="ListParagraph"/>
        <w:numPr>
          <w:ilvl w:val="0"/>
          <w:numId w:val="2"/>
        </w:numPr>
        <w:spacing w:after="50" w:line="268"/>
      </w:pPr>
      <w:r>
        <w:rPr>
          <w:color w:val="222831"/>
          <w:sz w:val="21"/>
          <w:szCs w:val="21"/>
        </w:rPr>
        <w:t xml:space="preserve">A network-topology diagram to accompany Section 3.3, drawn from the existing vWAN landing-zone design rather than re-derived here.</w:t>
      </w:r>
    </w:p>
    <w:p>
      <w:pPr>
        <w:pStyle w:val="ListParagraph"/>
        <w:numPr>
          <w:ilvl w:val="0"/>
          <w:numId w:val="2"/>
        </w:numPr>
        <w:spacing w:after="50" w:line="268"/>
      </w:pPr>
      <w:r>
        <w:rPr>
          <w:color w:val="222831"/>
          <w:sz w:val="21"/>
          <w:szCs w:val="21"/>
        </w:rPr>
        <w:t xml:space="preserve">An APIM high-level design ("Part 2"), tiering, multi-region, products/subscriptions, environment and CI/CD strategy, as a companion to this framework, per the original engagement scope.</w:t>
      </w:r>
    </w:p>
    <w:p>
      <w:pPr>
        <w:spacing w:after="160"/>
      </w:pPr>
    </w:p>
    <w:p>
      <w:pPr>
        <w:pStyle w:val="Heading1"/>
        <w:spacing w:after="130" w:before="260"/>
      </w:pPr>
      <w:r>
        <w:rPr>
          <w:b/>
          <w:bCs/>
          <w:color w:val="1F3864"/>
          <w:sz w:val="30"/>
          <w:szCs w:val="30"/>
        </w:rPr>
        <w:t xml:space="preserve">Appendix D: Reconciliation with the Azure integration-patterns reference</w:t>
      </w:r>
    </w:p>
    <w:p>
      <w:pPr>
        <w:spacing w:after="120" w:before="0" w:line="276"/>
      </w:pPr>
      <w:r>
        <w:rPr>
          <w:color w:val="222831"/>
          <w:sz w:val="21"/>
          <w:szCs w:val="21"/>
        </w:rPr>
        <w:t xml:space="preserve">This framework was cross-checked against the organisation's earlier "Integration Patterns in Azure" reference deck. Almost every pattern in that deck maps onto a pattern here; the table records the mapping, the one pattern this framework adds, and the one divergence.</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100"/>
        <w:gridCol w:w="6260"/>
      </w:tblGrid>
      <w:tr>
        <w:trPr>
          <w:tblHeader/>
        </w:trPr>
        <w:tc>
          <w:tcPr>
            <w:tcW w:type="dxa" w:w="3100"/>
            <w:shd w:fill="24446E" w:color="auto" w:val="clear"/>
            <w:tcMar>
              <w:top w:type="dxa" w:w="70"/>
              <w:left w:type="dxa" w:w="110"/>
              <w:bottom w:type="dxa" w:w="70"/>
              <w:right w:type="dxa" w:w="110"/>
            </w:tcMar>
          </w:tcPr>
          <w:p>
            <w:r>
              <w:rPr>
                <w:b/>
                <w:bCs/>
                <w:color w:val="FFFFFF"/>
                <w:sz w:val="18"/>
                <w:szCs w:val="18"/>
              </w:rPr>
              <w:t xml:space="preserve">Reference pattern (deck)</w:t>
            </w:r>
          </w:p>
        </w:tc>
        <w:tc>
          <w:tcPr>
            <w:tcW w:type="dxa" w:w="6260"/>
            <w:shd w:fill="24446E" w:color="auto" w:val="clear"/>
            <w:tcMar>
              <w:top w:type="dxa" w:w="70"/>
              <w:left w:type="dxa" w:w="110"/>
              <w:bottom w:type="dxa" w:w="70"/>
              <w:right w:type="dxa" w:w="110"/>
            </w:tcMar>
          </w:tcPr>
          <w:p>
            <w:r>
              <w:rPr>
                <w:b/>
                <w:bCs/>
                <w:color w:val="FFFFFF"/>
                <w:sz w:val="18"/>
                <w:szCs w:val="18"/>
              </w:rPr>
              <w:t xml:space="preserve">Where it lives in this SIF</w:t>
            </w:r>
          </w:p>
        </w:tc>
      </w:tr>
      <w:tr>
        <w:tc>
          <w:tcPr>
            <w:tcW w:type="dxa" w:w="3100"/>
            <w:shd w:fill="FFFFFF" w:color="auto" w:val="clear"/>
            <w:tcMar>
              <w:top w:type="dxa" w:w="70"/>
              <w:left w:type="dxa" w:w="110"/>
              <w:bottom w:type="dxa" w:w="70"/>
              <w:right w:type="dxa" w:w="110"/>
            </w:tcMar>
            <w:vAlign w:val="center"/>
          </w:tcPr>
          <w:p>
            <w:pPr>
              <w:spacing w:after="10" w:line="258"/>
            </w:pPr>
            <w:r>
              <w:rPr>
                <w:sz w:val="18"/>
                <w:szCs w:val="18"/>
              </w:rPr>
              <w:t xml:space="preserve">Simple Service (Functions)</w:t>
            </w:r>
          </w:p>
        </w:tc>
        <w:tc>
          <w:tcPr>
            <w:tcW w:type="dxa" w:w="6260"/>
            <w:shd w:fill="FFFFFF" w:color="auto" w:val="clear"/>
            <w:tcMar>
              <w:top w:type="dxa" w:w="70"/>
              <w:left w:type="dxa" w:w="110"/>
              <w:bottom w:type="dxa" w:w="70"/>
              <w:right w:type="dxa" w:w="110"/>
            </w:tcMar>
            <w:vAlign w:val="center"/>
          </w:tcPr>
          <w:p>
            <w:pPr>
              <w:spacing w:after="10" w:line="258"/>
            </w:pPr>
            <w:r>
              <w:rPr>
                <w:sz w:val="18"/>
                <w:szCs w:val="18"/>
              </w:rPr>
              <w:t xml:space="preserve">A building block, the implementation layer (Functions) and the orchestration/implementation rule (§5.4), not a standalone integration pattern.</w:t>
            </w:r>
          </w:p>
        </w:tc>
      </w:tr>
      <w:tr>
        <w:tc>
          <w:tcPr>
            <w:tcW w:type="dxa" w:w="3100"/>
            <w:shd w:fill="F4F6FA" w:color="auto" w:val="clear"/>
            <w:tcMar>
              <w:top w:type="dxa" w:w="70"/>
              <w:left w:type="dxa" w:w="110"/>
              <w:bottom w:type="dxa" w:w="70"/>
              <w:right w:type="dxa" w:w="110"/>
            </w:tcMar>
            <w:vAlign w:val="center"/>
          </w:tcPr>
          <w:p>
            <w:pPr>
              <w:spacing w:after="10" w:line="258"/>
            </w:pPr>
            <w:r>
              <w:rPr>
                <w:sz w:val="18"/>
                <w:szCs w:val="18"/>
              </w:rPr>
              <w:t xml:space="preserve">Composite Service</w:t>
            </w:r>
          </w:p>
        </w:tc>
        <w:tc>
          <w:tcPr>
            <w:tcW w:type="dxa" w:w="6260"/>
            <w:shd w:fill="F4F6FA" w:color="auto" w:val="clear"/>
            <w:tcMar>
              <w:top w:type="dxa" w:w="70"/>
              <w:left w:type="dxa" w:w="110"/>
              <w:bottom w:type="dxa" w:w="70"/>
              <w:right w:type="dxa" w:w="110"/>
            </w:tcMar>
            <w:vAlign w:val="center"/>
          </w:tcPr>
          <w:p>
            <w:pPr>
              <w:spacing w:after="10" w:line="258"/>
            </w:pPr>
            <w:r>
              <w:rPr>
                <w:sz w:val="18"/>
                <w:szCs w:val="18"/>
              </w:rPr>
              <w:t xml:space="preserve">API composition (5.1.2) and process orchestration (5.4.1).</w:t>
            </w:r>
          </w:p>
        </w:tc>
      </w:tr>
      <w:tr>
        <w:tc>
          <w:tcPr>
            <w:tcW w:type="dxa" w:w="3100"/>
            <w:shd w:fill="FFFFFF" w:color="auto" w:val="clear"/>
            <w:tcMar>
              <w:top w:type="dxa" w:w="70"/>
              <w:left w:type="dxa" w:w="110"/>
              <w:bottom w:type="dxa" w:w="70"/>
              <w:right w:type="dxa" w:w="110"/>
            </w:tcMar>
            <w:vAlign w:val="center"/>
          </w:tcPr>
          <w:p>
            <w:pPr>
              <w:spacing w:after="10" w:line="258"/>
            </w:pPr>
            <w:r>
              <w:rPr>
                <w:sz w:val="18"/>
                <w:szCs w:val="18"/>
              </w:rPr>
              <w:t xml:space="preserve">Service Proxy / mediation</w:t>
            </w:r>
          </w:p>
        </w:tc>
        <w:tc>
          <w:tcPr>
            <w:tcW w:type="dxa" w:w="6260"/>
            <w:shd w:fill="FFFFFF" w:color="auto" w:val="clear"/>
            <w:tcMar>
              <w:top w:type="dxa" w:w="70"/>
              <w:left w:type="dxa" w:w="110"/>
              <w:bottom w:type="dxa" w:w="70"/>
              <w:right w:type="dxa" w:w="110"/>
            </w:tcMar>
            <w:vAlign w:val="center"/>
          </w:tcPr>
          <w:p>
            <w:pPr>
              <w:spacing w:after="10" w:line="258"/>
            </w:pPr>
            <w:r>
              <w:rPr>
                <w:sz w:val="18"/>
                <w:szCs w:val="18"/>
              </w:rPr>
              <w:t xml:space="preserve">Managed API façade (5.1.1) and protocol/format mediation (5.1.3).</w:t>
            </w:r>
          </w:p>
        </w:tc>
      </w:tr>
      <w:tr>
        <w:tc>
          <w:tcPr>
            <w:tcW w:type="dxa" w:w="3100"/>
            <w:shd w:fill="F4F6FA" w:color="auto" w:val="clear"/>
            <w:tcMar>
              <w:top w:type="dxa" w:w="70"/>
              <w:left w:type="dxa" w:w="110"/>
              <w:bottom w:type="dxa" w:w="70"/>
              <w:right w:type="dxa" w:w="110"/>
            </w:tcMar>
            <w:vAlign w:val="center"/>
          </w:tcPr>
          <w:p>
            <w:pPr>
              <w:spacing w:after="10" w:line="258"/>
            </w:pPr>
            <w:r>
              <w:rPr>
                <w:sz w:val="18"/>
                <w:szCs w:val="18"/>
              </w:rPr>
              <w:t xml:space="preserve">Reliable Acquisition</w:t>
            </w:r>
          </w:p>
        </w:tc>
        <w:tc>
          <w:tcPr>
            <w:tcW w:type="dxa" w:w="6260"/>
            <w:shd w:fill="F4F6FA" w:color="auto" w:val="clear"/>
            <w:tcMar>
              <w:top w:type="dxa" w:w="70"/>
              <w:left w:type="dxa" w:w="110"/>
              <w:bottom w:type="dxa" w:w="70"/>
              <w:right w:type="dxa" w:w="110"/>
            </w:tcMar>
            <w:vAlign w:val="center"/>
          </w:tcPr>
          <w:p>
            <w:pPr>
              <w:spacing w:after="10" w:line="258"/>
            </w:pPr>
            <w:r>
              <w:rPr>
                <w:sz w:val="18"/>
                <w:szCs w:val="18"/>
              </w:rPr>
              <w:t xml:space="preserve">Queue-based load levelling (5.2.1), inbound webhook (5.3.3), or file ingestion (5.5.1), depending on the inbound transport.</w:t>
            </w:r>
          </w:p>
        </w:tc>
      </w:tr>
      <w:tr>
        <w:tc>
          <w:tcPr>
            <w:tcW w:type="dxa" w:w="3100"/>
            <w:shd w:fill="FFFFFF" w:color="auto" w:val="clear"/>
            <w:tcMar>
              <w:top w:type="dxa" w:w="70"/>
              <w:left w:type="dxa" w:w="110"/>
              <w:bottom w:type="dxa" w:w="70"/>
              <w:right w:type="dxa" w:w="110"/>
            </w:tcMar>
            <w:vAlign w:val="center"/>
          </w:tcPr>
          <w:p>
            <w:pPr>
              <w:spacing w:after="10" w:line="258"/>
            </w:pPr>
            <w:r>
              <w:rPr>
                <w:sz w:val="18"/>
                <w:szCs w:val="18"/>
              </w:rPr>
              <w:t xml:space="preserve">Timed Event / Timed Data Sync</w:t>
            </w:r>
          </w:p>
        </w:tc>
        <w:tc>
          <w:tcPr>
            <w:tcW w:type="dxa" w:w="6260"/>
            <w:shd w:fill="FFFFFF" w:color="auto" w:val="clear"/>
            <w:tcMar>
              <w:top w:type="dxa" w:w="70"/>
              <w:left w:type="dxa" w:w="110"/>
              <w:bottom w:type="dxa" w:w="70"/>
              <w:right w:type="dxa" w:w="110"/>
            </w:tcMar>
            <w:vAlign w:val="center"/>
          </w:tcPr>
          <w:p>
            <w:pPr>
              <w:spacing w:after="10" w:line="258"/>
            </w:pPr>
            <w:r>
              <w:rPr>
                <w:sz w:val="18"/>
                <w:szCs w:val="18"/>
              </w:rPr>
              <w:t xml:space="preserve">Added as Scheduled / timed trigger (5.2.6), the gap this reconciliation surfaced.</w:t>
            </w:r>
          </w:p>
        </w:tc>
      </w:tr>
      <w:tr>
        <w:tc>
          <w:tcPr>
            <w:tcW w:type="dxa" w:w="3100"/>
            <w:shd w:fill="F4F6FA" w:color="auto" w:val="clear"/>
            <w:tcMar>
              <w:top w:type="dxa" w:w="70"/>
              <w:left w:type="dxa" w:w="110"/>
              <w:bottom w:type="dxa" w:w="70"/>
              <w:right w:type="dxa" w:w="110"/>
            </w:tcMar>
            <w:vAlign w:val="center"/>
          </w:tcPr>
          <w:p>
            <w:pPr>
              <w:spacing w:after="10" w:line="258"/>
            </w:pPr>
            <w:r>
              <w:rPr>
                <w:sz w:val="18"/>
                <w:szCs w:val="18"/>
              </w:rPr>
              <w:t xml:space="preserve">Queuing Proxy</w:t>
            </w:r>
          </w:p>
        </w:tc>
        <w:tc>
          <w:tcPr>
            <w:tcW w:type="dxa" w:w="6260"/>
            <w:shd w:fill="F4F6FA" w:color="auto" w:val="clear"/>
            <w:tcMar>
              <w:top w:type="dxa" w:w="70"/>
              <w:left w:type="dxa" w:w="110"/>
              <w:bottom w:type="dxa" w:w="70"/>
              <w:right w:type="dxa" w:w="110"/>
            </w:tcMar>
            <w:vAlign w:val="center"/>
          </w:tcPr>
          <w:p>
            <w:pPr>
              <w:spacing w:after="10" w:line="258"/>
            </w:pPr>
            <w:r>
              <w:rPr>
                <w:sz w:val="18"/>
                <w:szCs w:val="18"/>
              </w:rPr>
              <w:t xml:space="preserve">Reliable messaging (5.2.5) and load levelling (5.2.1).</w:t>
            </w:r>
          </w:p>
        </w:tc>
      </w:tr>
      <w:tr>
        <w:tc>
          <w:tcPr>
            <w:tcW w:type="dxa" w:w="3100"/>
            <w:shd w:fill="FFFFFF" w:color="auto" w:val="clear"/>
            <w:tcMar>
              <w:top w:type="dxa" w:w="70"/>
              <w:left w:type="dxa" w:w="110"/>
              <w:bottom w:type="dxa" w:w="70"/>
              <w:right w:type="dxa" w:w="110"/>
            </w:tcMar>
            <w:vAlign w:val="center"/>
          </w:tcPr>
          <w:p>
            <w:pPr>
              <w:spacing w:after="10" w:line="258"/>
            </w:pPr>
            <w:r>
              <w:rPr>
                <w:sz w:val="18"/>
                <w:szCs w:val="18"/>
              </w:rPr>
              <w:t xml:space="preserve">Extract, Transform, Load (ADF)</w:t>
            </w:r>
          </w:p>
        </w:tc>
        <w:tc>
          <w:tcPr>
            <w:tcW w:type="dxa" w:w="6260"/>
            <w:shd w:fill="FFFFFF" w:color="auto" w:val="clear"/>
            <w:tcMar>
              <w:top w:type="dxa" w:w="70"/>
              <w:left w:type="dxa" w:w="110"/>
              <w:bottom w:type="dxa" w:w="70"/>
              <w:right w:type="dxa" w:w="110"/>
            </w:tcMar>
            <w:vAlign w:val="center"/>
          </w:tcPr>
          <w:p>
            <w:pPr>
              <w:spacing w:after="10" w:line="258"/>
            </w:pPr>
            <w:r>
              <w:rPr>
                <w:sz w:val="18"/>
                <w:szCs w:val="18"/>
              </w:rPr>
              <w:t xml:space="preserve">Deliberate divergence: ETL is not a SIF pattern. It is a data-platform responsibility across the boundary (5.6.3); the SIF only triggers it.</w:t>
            </w:r>
          </w:p>
        </w:tc>
      </w:tr>
      <w:tr>
        <w:tc>
          <w:tcPr>
            <w:tcW w:type="dxa" w:w="3100"/>
            <w:shd w:fill="F4F6FA" w:color="auto" w:val="clear"/>
            <w:tcMar>
              <w:top w:type="dxa" w:w="70"/>
              <w:left w:type="dxa" w:w="110"/>
              <w:bottom w:type="dxa" w:w="70"/>
              <w:right w:type="dxa" w:w="110"/>
            </w:tcMar>
            <w:vAlign w:val="center"/>
          </w:tcPr>
          <w:p>
            <w:pPr>
              <w:spacing w:after="10" w:line="258"/>
            </w:pPr>
            <w:r>
              <w:rPr>
                <w:sz w:val="18"/>
                <w:szCs w:val="18"/>
              </w:rPr>
              <w:t xml:space="preserve">Reliable Dispatch</w:t>
            </w:r>
          </w:p>
        </w:tc>
        <w:tc>
          <w:tcPr>
            <w:tcW w:type="dxa" w:w="6260"/>
            <w:shd w:fill="F4F6FA" w:color="auto" w:val="clear"/>
            <w:tcMar>
              <w:top w:type="dxa" w:w="70"/>
              <w:left w:type="dxa" w:w="110"/>
              <w:bottom w:type="dxa" w:w="70"/>
              <w:right w:type="dxa" w:w="110"/>
            </w:tcMar>
            <w:vAlign w:val="center"/>
          </w:tcPr>
          <w:p>
            <w:pPr>
              <w:spacing w:after="10" w:line="258"/>
            </w:pPr>
            <w:r>
              <w:rPr>
                <w:sz w:val="18"/>
                <w:szCs w:val="18"/>
              </w:rPr>
              <w:t xml:space="preserve">Asynchronous messaging (5.2.x) and orchestration (5.4.1).</w:t>
            </w:r>
          </w:p>
        </w:tc>
      </w:tr>
      <w:tr>
        <w:tc>
          <w:tcPr>
            <w:tcW w:type="dxa" w:w="3100"/>
            <w:shd w:fill="FFFFFF" w:color="auto" w:val="clear"/>
            <w:tcMar>
              <w:top w:type="dxa" w:w="70"/>
              <w:left w:type="dxa" w:w="110"/>
              <w:bottom w:type="dxa" w:w="70"/>
              <w:right w:type="dxa" w:w="110"/>
            </w:tcMar>
            <w:vAlign w:val="center"/>
          </w:tcPr>
          <w:p>
            <w:pPr>
              <w:spacing w:after="10" w:line="258"/>
            </w:pPr>
            <w:r>
              <w:rPr>
                <w:sz w:val="18"/>
                <w:szCs w:val="18"/>
              </w:rPr>
              <w:t xml:space="preserve">Message Bridge / Async Mediation</w:t>
            </w:r>
          </w:p>
        </w:tc>
        <w:tc>
          <w:tcPr>
            <w:tcW w:type="dxa" w:w="6260"/>
            <w:shd w:fill="FFFFFF" w:color="auto" w:val="clear"/>
            <w:tcMar>
              <w:top w:type="dxa" w:w="70"/>
              <w:left w:type="dxa" w:w="110"/>
              <w:bottom w:type="dxa" w:w="70"/>
              <w:right w:type="dxa" w:w="110"/>
            </w:tcMar>
            <w:vAlign w:val="center"/>
          </w:tcPr>
          <w:p>
            <w:pPr>
              <w:spacing w:after="10" w:line="258"/>
            </w:pPr>
            <w:r>
              <w:rPr>
                <w:sz w:val="18"/>
                <w:szCs w:val="18"/>
              </w:rPr>
              <w:t xml:space="preserve">Asynchronous messaging (5.2.x) and publish/subscribe (5.3.1).</w:t>
            </w:r>
          </w:p>
        </w:tc>
      </w:tr>
      <w:tr>
        <w:tc>
          <w:tcPr>
            <w:tcW w:type="dxa" w:w="3100"/>
            <w:shd w:fill="F4F6FA" w:color="auto" w:val="clear"/>
            <w:tcMar>
              <w:top w:type="dxa" w:w="70"/>
              <w:left w:type="dxa" w:w="110"/>
              <w:bottom w:type="dxa" w:w="70"/>
              <w:right w:type="dxa" w:w="110"/>
            </w:tcMar>
            <w:vAlign w:val="center"/>
          </w:tcPr>
          <w:p>
            <w:pPr>
              <w:spacing w:after="10" w:line="258"/>
            </w:pPr>
            <w:r>
              <w:rPr>
                <w:sz w:val="18"/>
                <w:szCs w:val="18"/>
              </w:rPr>
              <w:t xml:space="preserve">Event-Driven Data Sync</w:t>
            </w:r>
          </w:p>
        </w:tc>
        <w:tc>
          <w:tcPr>
            <w:tcW w:type="dxa" w:w="6260"/>
            <w:shd w:fill="F4F6FA" w:color="auto" w:val="clear"/>
            <w:tcMar>
              <w:top w:type="dxa" w:w="70"/>
              <w:left w:type="dxa" w:w="110"/>
              <w:bottom w:type="dxa" w:w="70"/>
              <w:right w:type="dxa" w:w="110"/>
            </w:tcMar>
            <w:vAlign w:val="center"/>
          </w:tcPr>
          <w:p>
            <w:pPr>
              <w:spacing w:after="10" w:line="258"/>
            </w:pPr>
            <w:r>
              <w:rPr>
                <w:sz w:val="18"/>
                <w:szCs w:val="18"/>
              </w:rPr>
              <w:t xml:space="preserve">Event-driven patterns (5.3.x) and push to the data platform (5.6.1).</w:t>
            </w:r>
          </w:p>
        </w:tc>
      </w:tr>
      <w:tr>
        <w:tc>
          <w:tcPr>
            <w:tcW w:type="dxa" w:w="3100"/>
            <w:shd w:fill="FFFFFF" w:color="auto" w:val="clear"/>
            <w:tcMar>
              <w:top w:type="dxa" w:w="70"/>
              <w:left w:type="dxa" w:w="110"/>
              <w:bottom w:type="dxa" w:w="70"/>
              <w:right w:type="dxa" w:w="110"/>
            </w:tcMar>
            <w:vAlign w:val="center"/>
          </w:tcPr>
          <w:p>
            <w:pPr>
              <w:spacing w:after="10" w:line="258"/>
            </w:pPr>
            <w:r>
              <w:rPr>
                <w:sz w:val="18"/>
                <w:szCs w:val="18"/>
              </w:rPr>
              <w:t xml:space="preserve">Async Orchestration</w:t>
            </w:r>
          </w:p>
        </w:tc>
        <w:tc>
          <w:tcPr>
            <w:tcW w:type="dxa" w:w="6260"/>
            <w:shd w:fill="FFFFFF" w:color="auto" w:val="clear"/>
            <w:tcMar>
              <w:top w:type="dxa" w:w="70"/>
              <w:left w:type="dxa" w:w="110"/>
              <w:bottom w:type="dxa" w:w="70"/>
              <w:right w:type="dxa" w:w="110"/>
            </w:tcMar>
            <w:vAlign w:val="center"/>
          </w:tcPr>
          <w:p>
            <w:pPr>
              <w:spacing w:after="10" w:line="258"/>
            </w:pPr>
            <w:r>
              <w:rPr>
                <w:sz w:val="18"/>
                <w:szCs w:val="18"/>
              </w:rPr>
              <w:t xml:space="preserve">Process orchestration (5.4.1), asynchronous.</w:t>
            </w:r>
          </w:p>
        </w:tc>
      </w:tr>
    </w:tbl>
    <w:p>
      <w:pPr>
        <w:spacing w:after="60" w:before="0" w:line="276"/>
      </w:pPr>
      <w:r>
        <w:rPr>
          <w:color w:val="222831"/>
          <w:sz w:val="21"/>
          <w:szCs w:val="21"/>
        </w:rPr>
        <w:t xml:space="preserve">The one intentional difference, for TDA: the reference deck treats ETL (Azure Data Factory) as an integration pattern. This framework does not, ETL and bulk movement sit inside the data platform, and the SIF meets the platform only at the two governed hand-offs in Section 5.6. That is intentional, and consistent with the boundary this framework draws throughout.</w:t>
      </w:r>
    </w:p>
    <w:p>
      <w:pPr>
        <w:spacing w:after="120"/>
      </w:pPr>
    </w:p>
    <w:p>
      <w:pPr>
        <w:jc w:val="center"/>
      </w:pPr>
      <w:r>
        <w:rPr>
          <w:i/>
          <w:iCs/>
          <w:color w:val="5A6470"/>
          <w:sz w:val="20"/>
          <w:szCs w:val="20"/>
        </w:rPr>
        <w:t xml:space="preserve">End of draft v1.1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pBdr>
      <w:tabs>
        <w:tab w:val="right" w:pos="9360"/>
      </w:tabs>
    </w:pPr>
    <w:r>
      <w:rPr>
        <w:color w:val="5A6470"/>
        <w:sz w:val="15"/>
        <w:szCs w:val="15"/>
      </w:rPr>
      <w:t xml:space="preserve">Chaucer  ·  Systems Integration Framework  ·  Draft v1.1</w:t>
    </w:r>
    <w:r>
      <w:rPr>
        <w:sz w:val="15"/>
        <w:szCs w:val="15"/>
      </w:rPr>
      <w:t xml:space="preserve">	</w:t>
    </w:r>
    <w:r>
      <w:rPr>
        <w:color w:val="5A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380" w:hanging="22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5496"/>
      <w:sz w:val="25"/>
      <w:szCs w:val="25"/>
    </w:rPr>
  </w:style>
  <w:style w:type="paragraph" w:styleId="Heading3">
    <w:name w:val="Heading 3"/>
    <w:basedOn w:val="Normal"/>
    <w:next w:val="Normal"/>
    <w:qFormat/>
    <w:pPr>
      <w:spacing w:after="70" w:before="18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5681b706f214e5807c408029bab991b5e50365.png"/><Relationship Id="rId9" Type="http://schemas.openxmlformats.org/officeDocument/2006/relationships/image" Target="media/5367b7c89a94a7541f53557d5a1371703bba38bf.png"/><Relationship Id="rId10" Type="http://schemas.openxmlformats.org/officeDocument/2006/relationships/image" Target="media/55c0f0b662888471fc0a3855c54d636e25ef0762.png"/><Relationship Id="rId11" Type="http://schemas.openxmlformats.org/officeDocument/2006/relationships/image" Target="media/00c08b3f2d9bfc6a904f81b8ba2af66537272a1a.png"/><Relationship Id="rId12" Type="http://schemas.openxmlformats.org/officeDocument/2006/relationships/image" Target="media/067021482b559ad6d20d2e251bf075512720c178.png"/><Relationship Id="rId13" Type="http://schemas.openxmlformats.org/officeDocument/2006/relationships/image" Target="media/0320e45c3b2c3b04ad6792cac5026d8f0ac3c95c.png"/><Relationship Id="rId14" Type="http://schemas.openxmlformats.org/officeDocument/2006/relationships/image" Target="media/4654b623326af629e717c01991617d5c49dc9dd1.png"/><Relationship Id="rId15" Type="http://schemas.openxmlformats.org/officeDocument/2006/relationships/image" Target="media/d85a335f22f78285618566da21ae52f69bbec602.png"/><Relationship Id="rId16" Type="http://schemas.openxmlformats.org/officeDocument/2006/relationships/image" Target="media/6cf962e14cc0b7a6a14a4aa574133036c6216b14.png"/><Relationship Id="rId17" Type="http://schemas.openxmlformats.org/officeDocument/2006/relationships/image" Target="media/728c9794ad1c72033dc780e4214fcede53e6797c.png"/><Relationship Id="rId18" Type="http://schemas.openxmlformats.org/officeDocument/2006/relationships/image" Target="media/544d12f7bbf4ab282d5e5fef9a82fa0497d3eb8d.png"/><Relationship Id="rId19" Type="http://schemas.openxmlformats.org/officeDocument/2006/relationships/image" Target="media/aad48b5b54468ccaf277e2d1254d0ce8bb2e30bd.png"/><Relationship Id="rId20" Type="http://schemas.openxmlformats.org/officeDocument/2006/relationships/image" Target="media/5a9971d4552b6404ae48ebc7c8fd4ace8be051bd.png"/><Relationship Id="rId21" Type="http://schemas.openxmlformats.org/officeDocument/2006/relationships/image" Target="media/b96e3ee1adaf75ab6e0bf5358b716e2ea067fcc6.png"/><Relationship Id="rId22" Type="http://schemas.openxmlformats.org/officeDocument/2006/relationships/image" Target="media/81749c3b1608fb67cb51027623e18d92f9f2a6a1.png"/><Relationship Id="rId23" Type="http://schemas.openxmlformats.org/officeDocument/2006/relationships/image" Target="media/ec548b59943773a780382f22d0dede09607e0b5d.png"/><Relationship Id="rId24" Type="http://schemas.openxmlformats.org/officeDocument/2006/relationships/image" Target="media/f35992ae2234e70b76c2b7ce89831ab4b0ef3c69.png"/><Relationship Id="rId25" Type="http://schemas.openxmlformats.org/officeDocument/2006/relationships/image" Target="media/b8455bed46f3e5ff30b763c5e76d8cafabf1f0a4.png"/><Relationship Id="rId26" Type="http://schemas.openxmlformats.org/officeDocument/2006/relationships/image" Target="media/4bc1011d76abdc2ef404ba3366dde58328665a01.png"/><Relationship Id="rId27" Type="http://schemas.openxmlformats.org/officeDocument/2006/relationships/image" Target="media/c14a58d529c59177c78ada37e8bd2300b04cce38.png"/><Relationship Id="rId28" Type="http://schemas.openxmlformats.org/officeDocument/2006/relationships/image" Target="media/f76b7694f8d657e63e78f2f6e8089413a5b0d7bb.png"/><Relationship Id="rId29" Type="http://schemas.openxmlformats.org/officeDocument/2006/relationships/image" Target="media/97d18e9b7aba5b99e2c59cbb1a4960d85a92ed0f.png"/><Relationship Id="rId30" Type="http://schemas.openxmlformats.org/officeDocument/2006/relationships/image" Target="media/977b4880fe10a8598c553ad85fb071eef78dc066.png"/><Relationship Id="rId31" Type="http://schemas.openxmlformats.org/officeDocument/2006/relationships/image" Target="media/ea95b22161250c0c36240354f0d3e0e7534a8a63.png"/><Relationship Id="rId32" Type="http://schemas.openxmlformats.org/officeDocument/2006/relationships/image" Target="media/55867c5eb055d81b327d63b48eecda0de17bc2a0.png"/><Relationship Id="rId33" Type="http://schemas.openxmlformats.org/officeDocument/2006/relationships/image" Target="media/8feacc64593d58472e5c987c145c3558dc92883c.png"/><Relationship Id="rId34" Type="http://schemas.openxmlformats.org/officeDocument/2006/relationships/image" Target="media/b7021f146de8e7befba94933881742222b9f4c21.png"/><Relationship Id="rId35" Type="http://schemas.openxmlformats.org/officeDocument/2006/relationships/image" Target="media/8caa03a6918e16a69f77770cc15086a8b1d6ec36.png"/><Relationship Id="rId36" Type="http://schemas.openxmlformats.org/officeDocument/2006/relationships/image" Target="media/cedf7049f5ebca7c624dc53481641b986f039191.png"/><Relationship Id="rId37" Type="http://schemas.openxmlformats.org/officeDocument/2006/relationships/image" Target="media/fa2d28d55785194aa7556905f06192a29474d9f8.png"/><Relationship Id="rId38" Type="http://schemas.openxmlformats.org/officeDocument/2006/relationships/image" Target="media/e9bee8076321cb989fa2ca409229dae5affb2e62.png"/><Relationship Id="rId39" Type="http://schemas.openxmlformats.org/officeDocument/2006/relationships/image" Target="media/bb44a64a0f57dcc5d89bc0d79f3c5e9a2693e6ec.png"/><Relationship Id="rId40" Type="http://schemas.openxmlformats.org/officeDocument/2006/relationships/image" Target="media/0a0c73c06f6b48cbf234ca96d487f9c747034bc9.png"/><Relationship Id="rId41" Type="http://schemas.openxmlformats.org/officeDocument/2006/relationships/image" Target="media/1e01d1457936e025f2179aeb113a7960ee64cbc4.png"/><Relationship Id="rId42" Type="http://schemas.openxmlformats.org/officeDocument/2006/relationships/image" Target="media/c70da7353705028ed162579335af7ddbbc3bda51.png"/><Relationship Id="rId43" Type="http://schemas.openxmlformats.org/officeDocument/2006/relationships/image" Target="media/2b0daff500175094cee06165f5d334d620c3e975.png"/><Relationship Id="rId44" Type="http://schemas.openxmlformats.org/officeDocument/2006/relationships/image" Target="media/982ec0095eaf52dba861ef3d96d7ee34a305e2c9.png"/><Relationship Id="rId45" Type="http://schemas.openxmlformats.org/officeDocument/2006/relationships/image" Target="media/9ac40868768a3c355ba363bf7637a3921f1412c3.png"/><Relationship Id="rId46" Type="http://schemas.openxmlformats.org/officeDocument/2006/relationships/image" Target="media/3264b5eab93d61e129146dc8534d4b97c010e5ef.png"/><Relationship Id="rId47" Type="http://schemas.openxmlformats.org/officeDocument/2006/relationships/image" Target="media/56ee3da6745c30bf2ee5c74db41048c277899218.png"/><Relationship Id="rId48" Type="http://schemas.openxmlformats.org/officeDocument/2006/relationships/image" Target="media/147083dc96a3cf652113ffd3c1e8795d045f2b40.png"/><Relationship Id="rId49" Type="http://schemas.openxmlformats.org/officeDocument/2006/relationships/image" Target="media/77a86d0e6a881cba54b9a5c5ff2116ac095a7237.png"/><Relationship Id="rId50" Type="http://schemas.openxmlformats.org/officeDocument/2006/relationships/image" Target="media/948211dd8b0e3608ab31af8c4b85f7fa71e75bca.png"/><Relationship Id="rId51" Type="http://schemas.openxmlformats.org/officeDocument/2006/relationships/image" Target="media/103adcd8e3d43717d6d1a8366955deeabae25a98.png"/><Relationship Id="rId52" Type="http://schemas.openxmlformats.org/officeDocument/2006/relationships/image" Target="media/aa0781fe052aecf69991824351c22b96a94ac078.png"/><Relationship Id="rId53" Type="http://schemas.openxmlformats.org/officeDocument/2006/relationships/image" Target="media/74cde3034cabd76dc530ebce9b764fccd94c2686.png"/><Relationship Id="rId54" Type="http://schemas.openxmlformats.org/officeDocument/2006/relationships/image" Target="media/6441bc0e1a7c63e2e64c8639fdc7eb321e0dd334.png"/><Relationship Id="rId55" Type="http://schemas.openxmlformats.org/officeDocument/2006/relationships/image" Target="media/d359406966e6097f8b560e254fc250905b977c8d.png"/><Relationship Id="rId56" Type="http://schemas.openxmlformats.org/officeDocument/2006/relationships/image" Target="media/600c71cdab7e173c3160abc2d3e073a6987e6ddb.png"/><Relationship Id="rId57" Type="http://schemas.openxmlformats.org/officeDocument/2006/relationships/image" Target="media/d2ca76039bada7f485748e861ed2920747192c1b.png"/><Relationship Id="rId58" Type="http://schemas.openxmlformats.org/officeDocument/2006/relationships/image" Target="media/f051e8e21729e5669192ff1e9e06f9d4c3889fd9.png"/><Relationship Id="rId59" Type="http://schemas.openxmlformats.org/officeDocument/2006/relationships/image" Target="media/128e7aa9601fae6bea2b3d4cd02b3848bd24144e.png"/><Relationship Id="rId60" Type="http://schemas.openxmlformats.org/officeDocument/2006/relationships/image" Target="media/d3f5be6473a9c11252e820b4654aa73fe0c4a1d5.png"/><Relationship Id="rId61" Type="http://schemas.openxmlformats.org/officeDocument/2006/relationships/image" Target="media/6d4347d4db7a174f793b1b99c31040fbd9348016.png"/><Relationship Id="rId62" Type="http://schemas.openxmlformats.org/officeDocument/2006/relationships/image" Target="media/df54bf7aa90a27b30cd841cd5b4bc51f19723abf.png"/><Relationship Id="rId63" Type="http://schemas.openxmlformats.org/officeDocument/2006/relationships/image" Target="media/ae906c4156b5073db0bcd204560a67c90670679d.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creator>Chaucer Integration Architecture</dc:creator>
  <cp:lastModifiedBy>Un-named</cp:lastModifiedBy>
  <cp:revision>1</cp:revision>
  <dcterms:created xsi:type="dcterms:W3CDTF">2026-09-01T12:19:43.973Z</dcterms:created>
  <dcterms:modified xsi:type="dcterms:W3CDTF">2026-09-01T12:19:43.973Z</dcterms:modified>
</cp:coreProperties>
</file>

<file path=docProps/custom.xml><?xml version="1.0" encoding="utf-8"?>
<Properties xmlns="http://schemas.openxmlformats.org/officeDocument/2006/custom-properties" xmlns:vt="http://schemas.openxmlformats.org/officeDocument/2006/docPropsVTypes"/>
</file>