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5A79" w14:textId="31013EE3" w:rsidR="00614F2E" w:rsidRPr="00D727CA" w:rsidRDefault="00614F2E" w:rsidP="00614F2E">
      <w:pPr>
        <w:pStyle w:val="Title"/>
        <w:framePr w:wrap="around"/>
      </w:pPr>
    </w:p>
    <w:p w14:paraId="4784B07E" w14:textId="77777777" w:rsidR="00614F2E" w:rsidRPr="00614F2E" w:rsidRDefault="00614F2E" w:rsidP="00614F2E"/>
    <w:p w14:paraId="4873B820" w14:textId="77777777" w:rsidR="00614F2E" w:rsidRDefault="00614F2E" w:rsidP="00614F2E"/>
    <w:p w14:paraId="1A6B821D" w14:textId="77777777" w:rsidR="00FD6099" w:rsidRDefault="00FD6099" w:rsidP="00614F2E"/>
    <w:p w14:paraId="296B47E3" w14:textId="77777777" w:rsidR="00FD6099" w:rsidRDefault="00FD6099" w:rsidP="00614F2E"/>
    <w:p w14:paraId="13B18F88" w14:textId="77777777" w:rsidR="00FD6099" w:rsidRDefault="00FD6099" w:rsidP="00614F2E"/>
    <w:p w14:paraId="1DDC1380" w14:textId="77777777" w:rsidR="00FD6099" w:rsidRDefault="00FD6099" w:rsidP="00614F2E"/>
    <w:p w14:paraId="1EE4C6BB" w14:textId="77777777" w:rsidR="00FD6099" w:rsidRDefault="00FD6099" w:rsidP="00614F2E"/>
    <w:p w14:paraId="49A8B45F" w14:textId="77777777" w:rsidR="00FD6099" w:rsidRDefault="00FD6099" w:rsidP="00614F2E"/>
    <w:p w14:paraId="681C8271" w14:textId="77777777" w:rsidR="00FD6099" w:rsidRDefault="00FD6099" w:rsidP="00614F2E"/>
    <w:p w14:paraId="28C51267" w14:textId="77777777" w:rsidR="00FD6099" w:rsidRDefault="00FD6099" w:rsidP="00614F2E"/>
    <w:p w14:paraId="2B5FBBBB" w14:textId="77777777" w:rsidR="00FD6099" w:rsidRDefault="00FD6099" w:rsidP="00614F2E"/>
    <w:p w14:paraId="12B1C543" w14:textId="77777777" w:rsidR="00FD6099" w:rsidRDefault="00FD6099" w:rsidP="00614F2E"/>
    <w:p w14:paraId="48E94407" w14:textId="77777777" w:rsidR="00FD6099" w:rsidRDefault="00FD6099" w:rsidP="00614F2E"/>
    <w:p w14:paraId="37E38C39" w14:textId="77777777" w:rsidR="00FD6099" w:rsidRDefault="00FD6099" w:rsidP="00614F2E"/>
    <w:p w14:paraId="2F872BB8" w14:textId="77777777" w:rsidR="00FD6099" w:rsidRDefault="00FD6099" w:rsidP="00614F2E"/>
    <w:p w14:paraId="6FA4F07B" w14:textId="77777777" w:rsidR="00FD6099" w:rsidRDefault="00FD6099" w:rsidP="00614F2E"/>
    <w:p w14:paraId="25AA9931" w14:textId="77777777" w:rsidR="00FD6099" w:rsidRDefault="00FD6099" w:rsidP="00614F2E"/>
    <w:p w14:paraId="1CC3C60B" w14:textId="77777777" w:rsidR="00FD6099" w:rsidRDefault="00FD6099" w:rsidP="00614F2E"/>
    <w:p w14:paraId="1D915449" w14:textId="77777777" w:rsidR="00FD6099" w:rsidRDefault="00FD6099" w:rsidP="00614F2E"/>
    <w:p w14:paraId="6B5B4883" w14:textId="77777777" w:rsidR="00FD6099" w:rsidRDefault="00FD6099" w:rsidP="00614F2E"/>
    <w:p w14:paraId="3A3DDB36" w14:textId="77777777" w:rsidR="002D25EA" w:rsidRDefault="002D25EA" w:rsidP="002D25EA">
      <w:pPr>
        <w:pStyle w:val="Title"/>
        <w:framePr w:wrap="around" w:hAnchor="page" w:x="1511" w:y="6501"/>
      </w:pPr>
      <w:r>
        <w:rPr>
          <w:rFonts w:cs="Arial"/>
          <w:color w:val="005A8A" w:themeColor="background2"/>
          <w:sz w:val="40"/>
          <w:szCs w:val="40"/>
        </w:rPr>
        <w:t>Azure API Management</w:t>
      </w:r>
    </w:p>
    <w:p w14:paraId="720F6E65" w14:textId="77777777" w:rsidR="002D25EA" w:rsidRPr="001E1B57" w:rsidRDefault="002D25EA" w:rsidP="002D25EA">
      <w:pPr>
        <w:pStyle w:val="Title"/>
        <w:framePr w:wrap="around" w:hAnchor="page" w:x="1511" w:y="6501"/>
        <w:rPr>
          <w:rFonts w:cs="Arial"/>
          <w:color w:val="005A8A" w:themeColor="background2"/>
          <w:sz w:val="40"/>
          <w:szCs w:val="40"/>
        </w:rPr>
      </w:pPr>
      <w:r>
        <w:rPr>
          <w:rFonts w:cs="Arial"/>
          <w:color w:val="005A8A" w:themeColor="background2"/>
          <w:sz w:val="40"/>
          <w:szCs w:val="40"/>
        </w:rPr>
        <w:t>High Level Design</w:t>
      </w:r>
    </w:p>
    <w:p w14:paraId="25D81A2A" w14:textId="77777777" w:rsidR="002D25EA" w:rsidRPr="001E1B57" w:rsidRDefault="002D25EA" w:rsidP="002D25EA">
      <w:pPr>
        <w:pStyle w:val="Title"/>
        <w:framePr w:wrap="around" w:hAnchor="page" w:x="1511" w:y="6501"/>
        <w:rPr>
          <w:rFonts w:cs="Arial"/>
          <w:bCs/>
          <w:color w:val="005A8A" w:themeColor="background2"/>
          <w:sz w:val="40"/>
          <w:szCs w:val="40"/>
        </w:rPr>
      </w:pPr>
      <w:r>
        <w:rPr>
          <w:rFonts w:cs="Arial"/>
          <w:bCs/>
          <w:color w:val="005A8A" w:themeColor="background2"/>
          <w:sz w:val="40"/>
          <w:szCs w:val="40"/>
        </w:rPr>
        <w:t>v0.1 (DRAFT)</w:t>
      </w:r>
    </w:p>
    <w:p w14:paraId="27F9BB2F" w14:textId="77777777" w:rsidR="00FD6099" w:rsidRDefault="00FD6099" w:rsidP="00614F2E"/>
    <w:p w14:paraId="328EBBA3" w14:textId="77777777" w:rsidR="00FD6099" w:rsidRDefault="00FD6099" w:rsidP="00614F2E"/>
    <w:p w14:paraId="28C13395" w14:textId="77777777" w:rsidR="00FD6099" w:rsidRDefault="00FD6099" w:rsidP="00614F2E"/>
    <w:p w14:paraId="16E4AD07" w14:textId="77777777" w:rsidR="00FD6099" w:rsidRDefault="00FD6099" w:rsidP="00614F2E"/>
    <w:p w14:paraId="5DCEAD79" w14:textId="77777777" w:rsidR="00FD6099" w:rsidRDefault="00FD6099" w:rsidP="00614F2E"/>
    <w:p w14:paraId="5CE1E32E" w14:textId="77777777" w:rsidR="00FD6099" w:rsidRDefault="00FD6099" w:rsidP="00614F2E"/>
    <w:p w14:paraId="60D54EF3" w14:textId="77777777" w:rsidR="00FD6099" w:rsidRDefault="00FD6099" w:rsidP="00614F2E"/>
    <w:p w14:paraId="7242A80D" w14:textId="77777777" w:rsidR="00FD6099" w:rsidRDefault="00FD6099" w:rsidP="00614F2E"/>
    <w:p w14:paraId="0235EA85" w14:textId="77777777" w:rsidR="00FD6099" w:rsidRDefault="00FD6099" w:rsidP="00614F2E"/>
    <w:p w14:paraId="6972A417" w14:textId="77777777" w:rsidR="00FD6099" w:rsidRDefault="00FD6099" w:rsidP="00614F2E"/>
    <w:p w14:paraId="6E0DF3E7" w14:textId="77777777" w:rsidR="00FD6099" w:rsidRDefault="00FD6099" w:rsidP="00614F2E"/>
    <w:p w14:paraId="2852C4D4" w14:textId="77777777" w:rsidR="00FD6099" w:rsidRDefault="00FD6099" w:rsidP="00614F2E"/>
    <w:p w14:paraId="0A55BFAD" w14:textId="77777777" w:rsidR="00FD6099" w:rsidRDefault="00FD6099" w:rsidP="00614F2E"/>
    <w:p w14:paraId="16A70E57" w14:textId="77777777" w:rsidR="00FD6099" w:rsidRDefault="00FD6099" w:rsidP="00614F2E"/>
    <w:p w14:paraId="21DDE5D1" w14:textId="77777777" w:rsidR="00FD6099" w:rsidRDefault="00FD6099" w:rsidP="00614F2E"/>
    <w:p w14:paraId="58C63DF8" w14:textId="77777777" w:rsidR="00FD6099" w:rsidRDefault="00FD6099" w:rsidP="00614F2E"/>
    <w:p w14:paraId="48443207" w14:textId="77777777" w:rsidR="00FD6099" w:rsidRDefault="00FD6099" w:rsidP="00614F2E"/>
    <w:p w14:paraId="7B4015B3" w14:textId="77777777" w:rsidR="00FD6099" w:rsidRDefault="00FD6099" w:rsidP="00614F2E"/>
    <w:p w14:paraId="648D6817" w14:textId="77777777" w:rsidR="00FD6099" w:rsidRDefault="00FD6099" w:rsidP="00614F2E"/>
    <w:p w14:paraId="1FDF2222" w14:textId="77777777" w:rsidR="00FD6099" w:rsidRDefault="00FD6099" w:rsidP="00614F2E"/>
    <w:p w14:paraId="4E2D3BC8" w14:textId="77777777" w:rsidR="00FD6099" w:rsidRDefault="00FD6099" w:rsidP="00614F2E"/>
    <w:p w14:paraId="385B41CC" w14:textId="77777777" w:rsidR="00FD6099" w:rsidRDefault="00FD6099" w:rsidP="00614F2E"/>
    <w:p w14:paraId="1FF7F64B" w14:textId="77777777" w:rsidR="00FD6099" w:rsidRDefault="00FD6099" w:rsidP="00614F2E"/>
    <w:p w14:paraId="06B06428" w14:textId="77777777" w:rsidR="00FD6099" w:rsidRDefault="00FD6099" w:rsidP="00614F2E"/>
    <w:p w14:paraId="37FEFBE4" w14:textId="77777777" w:rsidR="00FD6099" w:rsidRDefault="00FD6099" w:rsidP="00614F2E"/>
    <w:p w14:paraId="4C123DDB" w14:textId="77777777" w:rsidR="00FD6099" w:rsidRDefault="00FD6099" w:rsidP="00614F2E"/>
    <w:p w14:paraId="72DBE734" w14:textId="77777777" w:rsidR="00FD6099" w:rsidRDefault="00FD6099" w:rsidP="00614F2E"/>
    <w:p w14:paraId="79419E43" w14:textId="77777777" w:rsidR="00FD6099" w:rsidRDefault="00FD6099" w:rsidP="00614F2E"/>
    <w:p w14:paraId="65617197" w14:textId="77777777" w:rsidR="00FD6099" w:rsidRDefault="00FD6099" w:rsidP="00614F2E"/>
    <w:sdt>
      <w:sdtPr>
        <w:rPr>
          <w:rFonts w:ascii="Noe Text" w:eastAsia="Noe Text" w:hAnsi="Noe Text" w:cs="Noe Text"/>
          <w:color w:val="333333"/>
          <w:sz w:val="21"/>
          <w:szCs w:val="21"/>
        </w:rPr>
        <w:id w:val="-1128771889"/>
        <w:docPartObj>
          <w:docPartGallery w:val="Table of Contents"/>
          <w:docPartUnique/>
        </w:docPartObj>
      </w:sdtPr>
      <w:sdtEndPr>
        <w:rPr>
          <w:b/>
          <w:bCs/>
        </w:rPr>
      </w:sdtEndPr>
      <w:sdtContent>
        <w:p w14:paraId="4E3979E0" w14:textId="10EFE625" w:rsidR="002D25EA" w:rsidRDefault="002D25EA">
          <w:pPr>
            <w:pStyle w:val="TOCHeading"/>
          </w:pPr>
          <w:r>
            <w:t>Contents</w:t>
          </w:r>
        </w:p>
        <w:p w14:paraId="7E3DD780" w14:textId="050AF7D6" w:rsidR="0082236C" w:rsidRDefault="002D25EA">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fldChar w:fldCharType="begin"/>
            <w:instrText xml:space="preserve"> TOC \o "1-3" \h \z \u </w:instrText>
            <w:fldChar w:fldCharType="separate"/>
          </w:r>
          <w:hyperlink w:anchor="_Toc240539725" w:history="1">
            <w:r>
              <w:rPr>
                <w:rStyle w:val="Hyperlink"/>
                <w:rFonts w:eastAsiaTheme="minorHAnsi"/>
                <w:noProof/>
                <w:lang w:eastAsia="en-US"/>
              </w:rPr>
              <w:t>1. Document Control</w:t>
            </w:r>
            <w:r>
              <w:rPr>
                <w:noProof/>
                <w:webHidden/>
              </w:rPr>
              <w:tab/>
              <w:fldChar w:fldCharType="begin"/>
              <w:instrText xml:space="preserve"> PAGEREF _Toc240539725 \h </w:instrText>
              <w:fldChar w:fldCharType="separate"/>
              <w:t>4</w:t>
              <w:fldChar w:fldCharType="end"/>
            </w:r>
          </w:hyperlink>
        </w:p>
        <w:p w14:paraId="25814E33" w14:textId="74C4AA93"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26" w:history="1">
            <w:r>
              <w:rPr>
                <w:rStyle w:val="Hyperlink"/>
                <w:rFonts w:eastAsia="Times New Roman" w:cs="Times New Roman"/>
                <w:noProof/>
                <w:lang w:eastAsia="en-US"/>
              </w:rPr>
              <w:t>1.1 Document History</w:t>
            </w:r>
            <w:r>
              <w:rPr>
                <w:noProof/>
                <w:webHidden/>
              </w:rPr>
              <w:tab/>
              <w:fldChar w:fldCharType="begin"/>
              <w:instrText xml:space="preserve"> PAGEREF _Toc240539726 \h </w:instrText>
              <w:fldChar w:fldCharType="separate"/>
              <w:t>4</w:t>
              <w:fldChar w:fldCharType="end"/>
            </w:r>
          </w:hyperlink>
        </w:p>
        <w:p w14:paraId="6CA1C860" w14:textId="6037AC9A"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27" w:history="1">
            <w:r>
              <w:rPr>
                <w:rStyle w:val="Hyperlink"/>
                <w:rFonts w:eastAsia="Times New Roman" w:cs="Times New Roman"/>
                <w:noProof/>
                <w:lang w:eastAsia="en-US"/>
              </w:rPr>
              <w:t>1.2 Document Authors</w:t>
            </w:r>
            <w:r>
              <w:rPr>
                <w:noProof/>
                <w:webHidden/>
              </w:rPr>
              <w:tab/>
              <w:fldChar w:fldCharType="begin"/>
              <w:instrText xml:space="preserve"> PAGEREF _Toc240539727 \h </w:instrText>
              <w:fldChar w:fldCharType="separate"/>
              <w:t>4</w:t>
              <w:fldChar w:fldCharType="end"/>
            </w:r>
          </w:hyperlink>
        </w:p>
        <w:p w14:paraId="15910084" w14:textId="497F0E81"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28" w:history="1">
            <w:r>
              <w:rPr>
                <w:rStyle w:val="Hyperlink"/>
                <w:rFonts w:eastAsia="Times New Roman" w:cs="Times New Roman"/>
                <w:noProof/>
                <w:lang w:eastAsia="en-US"/>
              </w:rPr>
              <w:t>1.3 Document Assurance</w:t>
            </w:r>
            <w:r>
              <w:rPr>
                <w:noProof/>
                <w:webHidden/>
              </w:rPr>
              <w:tab/>
              <w:fldChar w:fldCharType="begin"/>
              <w:instrText xml:space="preserve"> PAGEREF _Toc240539728 \h </w:instrText>
              <w:fldChar w:fldCharType="separate"/>
              <w:t>4</w:t>
              <w:fldChar w:fldCharType="end"/>
            </w:r>
          </w:hyperlink>
        </w:p>
        <w:p w14:paraId="76CD8252" w14:textId="334B41F7"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29" w:history="1">
            <w:r>
              <w:rPr>
                <w:rStyle w:val="Hyperlink"/>
                <w:rFonts w:eastAsia="Times New Roman" w:cs="Times New Roman"/>
                <w:noProof/>
                <w:lang w:eastAsia="en-US"/>
              </w:rPr>
              <w:t>1.4 TDA Approval</w:t>
            </w:r>
            <w:r>
              <w:rPr>
                <w:noProof/>
                <w:webHidden/>
              </w:rPr>
              <w:tab/>
              <w:fldChar w:fldCharType="begin"/>
              <w:instrText xml:space="preserve"> PAGEREF _Toc240539729 \h </w:instrText>
              <w:fldChar w:fldCharType="separate"/>
              <w:t>4</w:t>
              <w:fldChar w:fldCharType="end"/>
            </w:r>
          </w:hyperlink>
        </w:p>
        <w:p w14:paraId="450D70BC" w14:textId="3615B0BD"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0" w:history="1">
            <w:r>
              <w:rPr>
                <w:rStyle w:val="Hyperlink"/>
                <w:rFonts w:eastAsia="Times New Roman" w:cs="Times New Roman"/>
                <w:noProof/>
                <w:lang w:eastAsia="en-US"/>
              </w:rPr>
              <w:t>1.5 Document References</w:t>
            </w:r>
            <w:r>
              <w:rPr>
                <w:noProof/>
                <w:webHidden/>
              </w:rPr>
              <w:tab/>
              <w:fldChar w:fldCharType="begin"/>
              <w:instrText xml:space="preserve"> PAGEREF _Toc240539730 \h </w:instrText>
              <w:fldChar w:fldCharType="separate"/>
              <w:t>4</w:t>
              <w:fldChar w:fldCharType="end"/>
            </w:r>
          </w:hyperlink>
        </w:p>
        <w:p w14:paraId="2FAABA55" w14:textId="5F748D98"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1" w:history="1">
            <w:r>
              <w:rPr>
                <w:rStyle w:val="Hyperlink"/>
                <w:rFonts w:eastAsia="Times New Roman" w:cs="Times New Roman"/>
                <w:noProof/>
                <w:lang w:eastAsia="en-US"/>
              </w:rPr>
              <w:t>2. Executive Summary</w:t>
            </w:r>
            <w:r>
              <w:rPr>
                <w:noProof/>
                <w:webHidden/>
              </w:rPr>
              <w:tab/>
              <w:fldChar w:fldCharType="begin"/>
              <w:instrText xml:space="preserve"> PAGEREF _Toc240539731 \h </w:instrText>
              <w:fldChar w:fldCharType="separate"/>
              <w:t>4</w:t>
              <w:fldChar w:fldCharType="end"/>
            </w:r>
          </w:hyperlink>
        </w:p>
        <w:p w14:paraId="43BB2725" w14:textId="737F37BD"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2" w:history="1">
            <w:r>
              <w:rPr>
                <w:rStyle w:val="Hyperlink"/>
                <w:rFonts w:eastAsiaTheme="minorHAnsi"/>
                <w:noProof/>
                <w:lang w:eastAsia="en-US"/>
              </w:rPr>
              <w:t>3. Design Decision</w:t>
            </w:r>
            <w:r>
              <w:rPr>
                <w:noProof/>
                <w:webHidden/>
              </w:rPr>
              <w:tab/>
              <w:fldChar w:fldCharType="begin"/>
              <w:instrText xml:space="preserve"> PAGEREF _Toc240539732 \h </w:instrText>
              <w:fldChar w:fldCharType="separate"/>
              <w:t>5</w:t>
              <w:fldChar w:fldCharType="end"/>
            </w:r>
          </w:hyperlink>
        </w:p>
        <w:p w14:paraId="7DD98F3A" w14:textId="3C2DC7D0"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3" w:history="1">
            <w:r>
              <w:rPr>
                <w:rStyle w:val="Hyperlink"/>
                <w:rFonts w:eastAsia="Times New Roman" w:cs="Times New Roman"/>
                <w:noProof/>
                <w:lang w:eastAsia="en-US"/>
              </w:rPr>
              <w:t>3.1 Architectural Decisions</w:t>
            </w:r>
            <w:r>
              <w:rPr>
                <w:noProof/>
                <w:webHidden/>
              </w:rPr>
              <w:tab/>
              <w:fldChar w:fldCharType="begin"/>
              <w:instrText xml:space="preserve"> PAGEREF _Toc240539733 \h </w:instrText>
              <w:fldChar w:fldCharType="separate"/>
              <w:t>5</w:t>
              <w:fldChar w:fldCharType="end"/>
            </w:r>
          </w:hyperlink>
        </w:p>
        <w:p w14:paraId="1E58ADA4" w14:textId="0633226C"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4" w:history="1">
            <w:r>
              <w:rPr>
                <w:rStyle w:val="Hyperlink"/>
                <w:rFonts w:eastAsia="Times New Roman" w:cs="Times New Roman"/>
                <w:noProof/>
                <w:lang w:eastAsia="en-US"/>
              </w:rPr>
              <w:t>3.2 Requirements Traceability</w:t>
            </w:r>
            <w:r>
              <w:rPr>
                <w:noProof/>
                <w:webHidden/>
              </w:rPr>
              <w:tab/>
              <w:fldChar w:fldCharType="begin"/>
              <w:instrText xml:space="preserve"> PAGEREF _Toc240539734 \h </w:instrText>
              <w:fldChar w:fldCharType="separate"/>
              <w:t>5</w:t>
              <w:fldChar w:fldCharType="end"/>
            </w:r>
          </w:hyperlink>
        </w:p>
        <w:p w14:paraId="4B0A32EF" w14:textId="3CA54A71"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5" w:history="1">
            <w:r>
              <w:rPr>
                <w:rStyle w:val="Hyperlink"/>
                <w:rFonts w:eastAsiaTheme="minorHAnsi"/>
                <w:noProof/>
                <w:lang w:eastAsia="en-US"/>
              </w:rPr>
              <w:t>4. Architecture Context and Scope</w:t>
            </w:r>
            <w:r>
              <w:rPr>
                <w:noProof/>
                <w:webHidden/>
              </w:rPr>
              <w:tab/>
              <w:fldChar w:fldCharType="begin"/>
              <w:instrText xml:space="preserve"> PAGEREF _Toc240539735 \h </w:instrText>
              <w:fldChar w:fldCharType="separate"/>
              <w:t>6</w:t>
              <w:fldChar w:fldCharType="end"/>
            </w:r>
          </w:hyperlink>
        </w:p>
        <w:p w14:paraId="6150EA2A" w14:textId="3BBDC2A4"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6" w:history="1">
            <w:r>
              <w:rPr>
                <w:rStyle w:val="Hyperlink"/>
                <w:rFonts w:eastAsia="Times New Roman" w:cs="Times New Roman"/>
                <w:noProof/>
                <w:lang w:eastAsia="en-US"/>
              </w:rPr>
              <w:t>4.1 Scope</w:t>
            </w:r>
            <w:r>
              <w:rPr>
                <w:noProof/>
                <w:webHidden/>
              </w:rPr>
              <w:tab/>
              <w:fldChar w:fldCharType="begin"/>
              <w:instrText xml:space="preserve"> PAGEREF _Toc240539736 \h </w:instrText>
              <w:fldChar w:fldCharType="separate"/>
              <w:t>6</w:t>
              <w:fldChar w:fldCharType="end"/>
            </w:r>
          </w:hyperlink>
        </w:p>
        <w:p w14:paraId="78344A4F" w14:textId="40CDAB91"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7" w:history="1">
            <w:r>
              <w:rPr>
                <w:rStyle w:val="Hyperlink"/>
                <w:rFonts w:eastAsia="Times New Roman" w:cs="Times New Roman"/>
                <w:noProof/>
                <w:lang w:eastAsia="en-US"/>
              </w:rPr>
              <w:t>4.2 Target Audience</w:t>
            </w:r>
            <w:r>
              <w:rPr>
                <w:noProof/>
                <w:webHidden/>
              </w:rPr>
              <w:tab/>
              <w:fldChar w:fldCharType="begin"/>
              <w:instrText xml:space="preserve"> PAGEREF _Toc240539737 \h </w:instrText>
              <w:fldChar w:fldCharType="separate"/>
              <w:t>6</w:t>
              <w:fldChar w:fldCharType="end"/>
            </w:r>
          </w:hyperlink>
        </w:p>
        <w:p w14:paraId="0913BEF9" w14:textId="63EA3D13"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8" w:history="1">
            <w:r>
              <w:rPr>
                <w:rStyle w:val="Hyperlink"/>
                <w:rFonts w:eastAsia="Times New Roman" w:cs="Times New Roman"/>
                <w:noProof/>
                <w:lang w:eastAsia="en-US"/>
              </w:rPr>
              <w:t>4.3 Current State Summary</w:t>
            </w:r>
            <w:r>
              <w:rPr>
                <w:noProof/>
                <w:webHidden/>
              </w:rPr>
              <w:tab/>
              <w:fldChar w:fldCharType="begin"/>
              <w:instrText xml:space="preserve"> PAGEREF _Toc240539738 \h </w:instrText>
              <w:fldChar w:fldCharType="separate"/>
              <w:t>6</w:t>
              <w:fldChar w:fldCharType="end"/>
            </w:r>
          </w:hyperlink>
        </w:p>
        <w:p w14:paraId="55921D1D" w14:textId="2CCDF092"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39" w:history="1">
            <w:r>
              <w:rPr>
                <w:rStyle w:val="Hyperlink"/>
                <w:rFonts w:eastAsia="Times New Roman" w:cs="Times New Roman"/>
                <w:noProof/>
                <w:lang w:eastAsia="en-US"/>
              </w:rPr>
              <w:t>4.4 Existing API and Integration Landscape</w:t>
            </w:r>
            <w:r>
              <w:rPr>
                <w:noProof/>
                <w:webHidden/>
              </w:rPr>
              <w:tab/>
              <w:fldChar w:fldCharType="begin"/>
              <w:instrText xml:space="preserve"> PAGEREF _Toc240539739 \h </w:instrText>
              <w:fldChar w:fldCharType="separate"/>
              <w:t>6</w:t>
              <w:fldChar w:fldCharType="end"/>
            </w:r>
          </w:hyperlink>
        </w:p>
        <w:p w14:paraId="6173C663" w14:textId="654C96CA"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0" w:history="1">
            <w:r>
              <w:rPr>
                <w:rStyle w:val="Hyperlink"/>
                <w:rFonts w:eastAsia="Times New Roman" w:cs="Times New Roman"/>
                <w:noProof/>
                <w:lang w:eastAsia="en-US"/>
              </w:rPr>
              <w:t>4.5 Current API Consumption and Exposure Model</w:t>
            </w:r>
            <w:r>
              <w:rPr>
                <w:noProof/>
                <w:webHidden/>
              </w:rPr>
              <w:tab/>
              <w:fldChar w:fldCharType="begin"/>
              <w:instrText xml:space="preserve"> PAGEREF _Toc240539740 \h </w:instrText>
              <w:fldChar w:fldCharType="separate"/>
              <w:t>6</w:t>
              <w:fldChar w:fldCharType="end"/>
            </w:r>
          </w:hyperlink>
        </w:p>
        <w:p w14:paraId="318EB08A" w14:textId="60C8C7E4"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1" w:history="1">
            <w:r>
              <w:rPr>
                <w:rStyle w:val="Hyperlink"/>
                <w:rFonts w:eastAsiaTheme="minorHAnsi"/>
                <w:noProof/>
                <w:lang w:eastAsia="en-US"/>
              </w:rPr>
              <w:t>5. APIM Role and Positioning</w:t>
            </w:r>
            <w:r>
              <w:rPr>
                <w:noProof/>
                <w:webHidden/>
              </w:rPr>
              <w:tab/>
              <w:fldChar w:fldCharType="begin"/>
              <w:instrText xml:space="preserve"> PAGEREF _Toc240539741 \h </w:instrText>
              <w:fldChar w:fldCharType="separate"/>
              <w:t>7</w:t>
              <w:fldChar w:fldCharType="end"/>
            </w:r>
          </w:hyperlink>
        </w:p>
        <w:p w14:paraId="4A17592D" w14:textId="2A3C43F2"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2" w:history="1">
            <w:r>
              <w:rPr>
                <w:rStyle w:val="Hyperlink"/>
                <w:rFonts w:eastAsia="Times New Roman" w:cs="Times New Roman"/>
                <w:noProof/>
                <w:lang w:eastAsia="en-US"/>
              </w:rPr>
              <w:t>5.1 Architecture Principles</w:t>
            </w:r>
            <w:r>
              <w:rPr>
                <w:noProof/>
                <w:webHidden/>
              </w:rPr>
              <w:tab/>
              <w:fldChar w:fldCharType="begin"/>
              <w:instrText xml:space="preserve"> PAGEREF _Toc240539742 \h </w:instrText>
              <w:fldChar w:fldCharType="separate"/>
              <w:t>7</w:t>
              <w:fldChar w:fldCharType="end"/>
            </w:r>
          </w:hyperlink>
        </w:p>
        <w:p w14:paraId="7CC4F247" w14:textId="6861F571"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3" w:history="1">
            <w:r>
              <w:rPr>
                <w:rStyle w:val="Hyperlink"/>
                <w:rFonts w:eastAsia="Times New Roman" w:cs="Times New Roman"/>
                <w:noProof/>
                <w:lang w:eastAsia="en-US"/>
              </w:rPr>
              <w:t>5.2 Solution Summary</w:t>
            </w:r>
            <w:r>
              <w:rPr>
                <w:noProof/>
                <w:webHidden/>
              </w:rPr>
              <w:tab/>
              <w:fldChar w:fldCharType="begin"/>
              <w:instrText xml:space="preserve"> PAGEREF _Toc240539743 \h </w:instrText>
              <w:fldChar w:fldCharType="separate"/>
              <w:t>7</w:t>
              <w:fldChar w:fldCharType="end"/>
            </w:r>
          </w:hyperlink>
        </w:p>
        <w:p w14:paraId="2A8F9351" w14:textId="744CAC8C"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4" w:history="1">
            <w:r>
              <w:rPr>
                <w:rStyle w:val="Hyperlink"/>
                <w:rFonts w:eastAsia="Times New Roman" w:cs="Times New Roman"/>
                <w:noProof/>
                <w:lang w:eastAsia="en-US"/>
              </w:rPr>
              <w:t>6. APIM Service Architecture</w:t>
            </w:r>
            <w:r>
              <w:rPr>
                <w:noProof/>
                <w:webHidden/>
              </w:rPr>
              <w:tab/>
              <w:fldChar w:fldCharType="begin"/>
              <w:instrText xml:space="preserve"> PAGEREF _Toc240539744 \h </w:instrText>
              <w:fldChar w:fldCharType="separate"/>
              <w:t>8</w:t>
              <w:fldChar w:fldCharType="end"/>
            </w:r>
          </w:hyperlink>
        </w:p>
        <w:p w14:paraId="61135846" w14:textId="3E770DFA"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5" w:history="1">
            <w:r>
              <w:rPr>
                <w:rStyle w:val="Hyperlink"/>
                <w:rFonts w:eastAsia="Times New Roman" w:cs="Times New Roman"/>
                <w:noProof/>
                <w:lang w:eastAsia="en-US"/>
              </w:rPr>
              <w:t>7. Network and Connectivity Design</w:t>
            </w:r>
            <w:r>
              <w:rPr>
                <w:noProof/>
                <w:webHidden/>
              </w:rPr>
              <w:tab/>
              <w:fldChar w:fldCharType="begin"/>
              <w:instrText xml:space="preserve"> PAGEREF _Toc240539745 \h </w:instrText>
              <w:fldChar w:fldCharType="separate"/>
              <w:t>9</w:t>
              <w:fldChar w:fldCharType="end"/>
            </w:r>
          </w:hyperlink>
        </w:p>
        <w:p w14:paraId="3E2E6B11" w14:textId="170C0DD2"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6" w:history="1">
            <w:r>
              <w:rPr>
                <w:rStyle w:val="Hyperlink"/>
                <w:rFonts w:eastAsia="Times New Roman" w:cs="Times New Roman"/>
                <w:noProof/>
                <w:lang w:eastAsia="en-US"/>
              </w:rPr>
              <w:t>8. Traffic Management and Edge Security</w:t>
            </w:r>
            <w:r>
              <w:rPr>
                <w:noProof/>
                <w:webHidden/>
              </w:rPr>
              <w:tab/>
              <w:fldChar w:fldCharType="begin"/>
              <w:instrText xml:space="preserve"> PAGEREF _Toc240539746 \h </w:instrText>
              <w:fldChar w:fldCharType="separate"/>
              <w:t>21</w:t>
              <w:fldChar w:fldCharType="end"/>
            </w:r>
          </w:hyperlink>
        </w:p>
        <w:p w14:paraId="15CE4BC3" w14:textId="3A423DE4"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7" w:history="1">
            <w:r>
              <w:rPr>
                <w:rStyle w:val="Hyperlink"/>
                <w:rFonts w:eastAsia="Times New Roman" w:cs="Times New Roman"/>
                <w:noProof/>
                <w:lang w:eastAsia="en-US"/>
              </w:rPr>
              <w:t>9. Authentication and Security Design</w:t>
            </w:r>
            <w:r>
              <w:rPr>
                <w:noProof/>
                <w:webHidden/>
              </w:rPr>
              <w:tab/>
              <w:fldChar w:fldCharType="begin"/>
              <w:instrText xml:space="preserve"> PAGEREF _Toc240539747 \h </w:instrText>
              <w:fldChar w:fldCharType="separate"/>
              <w:t>21</w:t>
              <w:fldChar w:fldCharType="end"/>
            </w:r>
          </w:hyperlink>
        </w:p>
        <w:p w14:paraId="263D307D" w14:textId="1EF1BE61"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8" w:history="1">
            <w:r>
              <w:rPr>
                <w:rStyle w:val="Hyperlink"/>
                <w:rFonts w:eastAsia="Times New Roman" w:cs="Times New Roman"/>
                <w:noProof/>
                <w:lang w:eastAsia="en-US"/>
              </w:rPr>
              <w:t>10. API Product, Consumer and Developer Portal Model</w:t>
            </w:r>
            <w:r>
              <w:rPr>
                <w:noProof/>
                <w:webHidden/>
              </w:rPr>
              <w:tab/>
              <w:fldChar w:fldCharType="begin"/>
              <w:instrText xml:space="preserve"> PAGEREF _Toc240539748 \h </w:instrText>
              <w:fldChar w:fldCharType="separate"/>
              <w:t>29</w:t>
              <w:fldChar w:fldCharType="end"/>
            </w:r>
          </w:hyperlink>
        </w:p>
        <w:p w14:paraId="1479EB2D" w14:textId="09EBCB69"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49" w:history="1">
            <w:r>
              <w:rPr>
                <w:rStyle w:val="Hyperlink"/>
                <w:rFonts w:eastAsiaTheme="minorHAnsi"/>
                <w:noProof/>
                <w:lang w:eastAsia="en-US"/>
              </w:rPr>
              <w:t>11. API Design, Policies and Governance</w:t>
            </w:r>
            <w:r>
              <w:rPr>
                <w:noProof/>
                <w:webHidden/>
              </w:rPr>
              <w:tab/>
              <w:fldChar w:fldCharType="begin"/>
              <w:instrText xml:space="preserve"> PAGEREF _Toc240539749 \h </w:instrText>
              <w:fldChar w:fldCharType="separate"/>
              <w:t>36</w:t>
              <w:fldChar w:fldCharType="end"/>
            </w:r>
          </w:hyperlink>
        </w:p>
        <w:p w14:paraId="243FE6EE" w14:textId="7FEBE754"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0" w:history="1">
            <w:r>
              <w:rPr>
                <w:rStyle w:val="Hyperlink"/>
                <w:rFonts w:eastAsia="Times New Roman" w:cs="Times New Roman"/>
                <w:noProof/>
                <w:lang w:eastAsia="en-US"/>
              </w:rPr>
              <w:t>11.1 Engineering and Naming Standards</w:t>
            </w:r>
            <w:r>
              <w:rPr>
                <w:noProof/>
                <w:webHidden/>
              </w:rPr>
              <w:tab/>
              <w:fldChar w:fldCharType="begin"/>
              <w:instrText xml:space="preserve"> PAGEREF _Toc240539750 \h </w:instrText>
              <w:fldChar w:fldCharType="separate"/>
              <w:t>36</w:t>
              <w:fldChar w:fldCharType="end"/>
            </w:r>
          </w:hyperlink>
        </w:p>
        <w:p w14:paraId="428AFA2C" w14:textId="31BD8A21"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1" w:history="1">
            <w:r>
              <w:rPr>
                <w:rStyle w:val="Hyperlink"/>
                <w:rFonts w:eastAsia="Times New Roman" w:cs="Times New Roman"/>
                <w:noProof/>
                <w:lang w:eastAsia="en-US"/>
              </w:rPr>
              <w:t>11.2 Design Standards, Policy Enforcement and Governance</w:t>
            </w:r>
            <w:r>
              <w:rPr>
                <w:noProof/>
                <w:webHidden/>
              </w:rPr>
              <w:tab/>
              <w:fldChar w:fldCharType="begin"/>
              <w:instrText xml:space="preserve"> PAGEREF _Toc240539751 \h </w:instrText>
              <w:fldChar w:fldCharType="separate"/>
              <w:t>36</w:t>
              <w:fldChar w:fldCharType="end"/>
            </w:r>
          </w:hyperlink>
        </w:p>
        <w:p w14:paraId="68AC4F49" w14:textId="033740B5"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2" w:history="1">
            <w:r>
              <w:rPr>
                <w:rStyle w:val="Hyperlink"/>
                <w:rFonts w:eastAsia="Times New Roman" w:cs="Times New Roman"/>
                <w:noProof/>
                <w:lang w:eastAsia="en-US"/>
              </w:rPr>
              <w:t>12. API Lifecycle and Versioning Strategy</w:t>
            </w:r>
            <w:r>
              <w:rPr>
                <w:noProof/>
                <w:webHidden/>
              </w:rPr>
              <w:tab/>
              <w:fldChar w:fldCharType="begin"/>
              <w:instrText xml:space="preserve"> PAGEREF _Toc240539752 \h </w:instrText>
              <w:fldChar w:fldCharType="separate"/>
              <w:t>40</w:t>
              <w:fldChar w:fldCharType="end"/>
            </w:r>
          </w:hyperlink>
        </w:p>
        <w:p w14:paraId="356A938A" w14:textId="70C8C3E4"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3" w:history="1">
            <w:r>
              <w:rPr>
                <w:rStyle w:val="Hyperlink"/>
                <w:rFonts w:eastAsia="Times New Roman" w:cs="Times New Roman"/>
                <w:noProof/>
                <w:lang w:eastAsia="en-US"/>
              </w:rPr>
              <w:t>13. Observability and Operations</w:t>
            </w:r>
            <w:r>
              <w:rPr>
                <w:noProof/>
                <w:webHidden/>
              </w:rPr>
              <w:tab/>
              <w:fldChar w:fldCharType="begin"/>
              <w:instrText xml:space="preserve"> PAGEREF _Toc240539753 \h </w:instrText>
              <w:fldChar w:fldCharType="separate"/>
              <w:t>42</w:t>
              <w:fldChar w:fldCharType="end"/>
            </w:r>
          </w:hyperlink>
        </w:p>
        <w:p w14:paraId="54AADDD0" w14:textId="3E4D3D1A"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4" w:history="1">
            <w:r>
              <w:rPr>
                <w:rStyle w:val="Hyperlink"/>
                <w:rFonts w:eastAsia="Times New Roman" w:cs="Times New Roman"/>
                <w:noProof/>
                <w:lang w:eastAsia="en-US"/>
              </w:rPr>
              <w:t>14. Environment and Release Strategy</w:t>
            </w:r>
            <w:r>
              <w:rPr>
                <w:noProof/>
                <w:webHidden/>
              </w:rPr>
              <w:tab/>
              <w:fldChar w:fldCharType="begin"/>
              <w:instrText xml:space="preserve"> PAGEREF _Toc240539754 \h </w:instrText>
              <w:fldChar w:fldCharType="separate"/>
              <w:t>44</w:t>
              <w:fldChar w:fldCharType="end"/>
            </w:r>
          </w:hyperlink>
        </w:p>
        <w:p w14:paraId="3A0C55BF" w14:textId="5F85B214"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5" w:history="1">
            <w:r>
              <w:rPr>
                <w:rStyle w:val="Hyperlink"/>
                <w:rFonts w:eastAsia="Times New Roman" w:cs="Times New Roman"/>
                <w:noProof/>
                <w:lang w:eastAsia="en-US"/>
              </w:rPr>
              <w:t>15. High Availability and Disaster Recovery Design</w:t>
            </w:r>
            <w:r>
              <w:rPr>
                <w:noProof/>
                <w:webHidden/>
              </w:rPr>
              <w:tab/>
              <w:fldChar w:fldCharType="begin"/>
              <w:instrText xml:space="preserve"> PAGEREF _Toc240539755 \h </w:instrText>
              <w:fldChar w:fldCharType="separate"/>
              <w:t>46</w:t>
              <w:fldChar w:fldCharType="end"/>
            </w:r>
          </w:hyperlink>
        </w:p>
        <w:p w14:paraId="06424A6B" w14:textId="4F87B0A8"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6" w:history="1">
            <w:r>
              <w:rPr>
                <w:rStyle w:val="Hyperlink"/>
                <w:rFonts w:eastAsia="Times New Roman" w:cs="Times New Roman"/>
                <w:noProof/>
                <w:lang w:eastAsia="en-US"/>
              </w:rPr>
              <w:t>15.1 Disaster Recovery Testing Approach</w:t>
            </w:r>
            <w:r>
              <w:rPr>
                <w:noProof/>
                <w:webHidden/>
              </w:rPr>
              <w:tab/>
              <w:fldChar w:fldCharType="begin"/>
              <w:instrText xml:space="preserve"> PAGEREF _Toc240539756 \h </w:instrText>
              <w:fldChar w:fldCharType="separate"/>
              <w:t>49</w:t>
              <w:fldChar w:fldCharType="end"/>
            </w:r>
          </w:hyperlink>
        </w:p>
        <w:p w14:paraId="382DB008" w14:textId="0CB1AB4C"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7" w:history="1">
            <w:r>
              <w:rPr>
                <w:rStyle w:val="Hyperlink"/>
                <w:rFonts w:eastAsia="Times New Roman" w:cs="Times New Roman"/>
                <w:noProof/>
                <w:lang w:eastAsia="en-US"/>
              </w:rPr>
              <w:t>16. Capacity, Cost and Service Tiers</w:t>
            </w:r>
            <w:r>
              <w:rPr>
                <w:noProof/>
                <w:webHidden/>
              </w:rPr>
              <w:tab/>
              <w:fldChar w:fldCharType="begin"/>
              <w:instrText xml:space="preserve"> PAGEREF _Toc240539757 \h </w:instrText>
              <w:fldChar w:fldCharType="separate"/>
              <w:t>49</w:t>
              <w:fldChar w:fldCharType="end"/>
            </w:r>
          </w:hyperlink>
        </w:p>
        <w:p w14:paraId="4BC6EF7C" w14:textId="3F268E16"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8" w:history="1">
            <w:r>
              <w:rPr>
                <w:rStyle w:val="Hyperlink"/>
                <w:rFonts w:eastAsiaTheme="minorHAnsi"/>
                <w:noProof/>
                <w:lang w:eastAsia="en-US"/>
              </w:rPr>
              <w:t>17. Risks, Assumptions and Decisions</w:t>
            </w:r>
            <w:r>
              <w:rPr>
                <w:noProof/>
                <w:webHidden/>
              </w:rPr>
              <w:tab/>
              <w:fldChar w:fldCharType="begin"/>
              <w:instrText xml:space="preserve"> PAGEREF _Toc240539758 \h </w:instrText>
              <w:fldChar w:fldCharType="separate"/>
              <w:t>52</w:t>
              <w:fldChar w:fldCharType="end"/>
            </w:r>
          </w:hyperlink>
        </w:p>
        <w:p w14:paraId="29DE33F3" w14:textId="51F75F52"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59" w:history="1">
            <w:r>
              <w:rPr>
                <w:rStyle w:val="Hyperlink"/>
                <w:rFonts w:eastAsia="Times New Roman" w:cs="Times New Roman"/>
                <w:noProof/>
                <w:lang w:eastAsia="en-US"/>
              </w:rPr>
              <w:t>17.1 High Level Impact Assessment</w:t>
            </w:r>
            <w:r>
              <w:rPr>
                <w:noProof/>
                <w:webHidden/>
              </w:rPr>
              <w:tab/>
              <w:fldChar w:fldCharType="begin"/>
              <w:instrText xml:space="preserve"> PAGEREF _Toc240539759 \h </w:instrText>
              <w:fldChar w:fldCharType="separate"/>
              <w:t>52</w:t>
              <w:fldChar w:fldCharType="end"/>
            </w:r>
          </w:hyperlink>
        </w:p>
        <w:p w14:paraId="4C7BCB31" w14:textId="0BCCA08D"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0" w:history="1">
            <w:r>
              <w:rPr>
                <w:rStyle w:val="Hyperlink"/>
                <w:rFonts w:eastAsia="Times New Roman" w:cs="Times New Roman"/>
                <w:noProof/>
                <w:lang w:eastAsia="en-US"/>
              </w:rPr>
              <w:t>17.2 Business Architecture</w:t>
            </w:r>
            <w:r>
              <w:rPr>
                <w:noProof/>
                <w:webHidden/>
              </w:rPr>
              <w:tab/>
              <w:fldChar w:fldCharType="begin"/>
              <w:instrText xml:space="preserve"> PAGEREF _Toc240539760 \h </w:instrText>
              <w:fldChar w:fldCharType="separate"/>
              <w:t>52</w:t>
              <w:fldChar w:fldCharType="end"/>
            </w:r>
          </w:hyperlink>
        </w:p>
        <w:p w14:paraId="442EEF71" w14:textId="337C5423"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1" w:history="1">
            <w:r>
              <w:rPr>
                <w:rStyle w:val="Hyperlink"/>
                <w:rFonts w:eastAsia="Times New Roman" w:cs="Times New Roman"/>
                <w:noProof/>
                <w:lang w:eastAsia="en-US"/>
              </w:rPr>
              <w:t>17.3 Data Architecture</w:t>
            </w:r>
            <w:r>
              <w:rPr>
                <w:noProof/>
                <w:webHidden/>
              </w:rPr>
              <w:tab/>
              <w:fldChar w:fldCharType="begin"/>
              <w:instrText xml:space="preserve"> PAGEREF _Toc240539761 \h </w:instrText>
              <w:fldChar w:fldCharType="separate"/>
              <w:t>52</w:t>
              <w:fldChar w:fldCharType="end"/>
            </w:r>
          </w:hyperlink>
        </w:p>
        <w:p w14:paraId="57A49751" w14:textId="025FAB57"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2" w:history="1">
            <w:r>
              <w:rPr>
                <w:rStyle w:val="Hyperlink"/>
                <w:rFonts w:eastAsia="Times New Roman" w:cs="Times New Roman"/>
                <w:noProof/>
                <w:lang w:eastAsia="en-US"/>
              </w:rPr>
              <w:t>17.4 Application Architecture</w:t>
            </w:r>
            <w:r>
              <w:rPr>
                <w:noProof/>
                <w:webHidden/>
              </w:rPr>
              <w:tab/>
              <w:fldChar w:fldCharType="begin"/>
              <w:instrText xml:space="preserve"> PAGEREF _Toc240539762 \h </w:instrText>
              <w:fldChar w:fldCharType="separate"/>
              <w:t>52</w:t>
              <w:fldChar w:fldCharType="end"/>
            </w:r>
          </w:hyperlink>
        </w:p>
        <w:p w14:paraId="604DF363" w14:textId="590A80D8"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3" w:history="1">
            <w:r>
              <w:rPr>
                <w:rStyle w:val="Hyperlink"/>
                <w:rFonts w:eastAsia="Times New Roman" w:cs="Times New Roman"/>
                <w:noProof/>
                <w:lang w:eastAsia="en-US"/>
              </w:rPr>
              <w:t>17.5 Technology Architecture</w:t>
            </w:r>
            <w:r>
              <w:rPr>
                <w:noProof/>
                <w:webHidden/>
              </w:rPr>
              <w:tab/>
              <w:fldChar w:fldCharType="begin"/>
              <w:instrText xml:space="preserve"> PAGEREF _Toc240539763 \h </w:instrText>
              <w:fldChar w:fldCharType="separate"/>
              <w:t>52</w:t>
              <w:fldChar w:fldCharType="end"/>
            </w:r>
          </w:hyperlink>
        </w:p>
        <w:p w14:paraId="297F0B90" w14:textId="5DB95C29"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4" w:history="1">
            <w:r>
              <w:rPr>
                <w:rStyle w:val="Hyperlink"/>
                <w:rFonts w:eastAsia="Times New Roman" w:cs="Times New Roman"/>
                <w:noProof/>
                <w:lang w:eastAsia="en-US"/>
              </w:rPr>
              <w:t>17.6 Service Architecture</w:t>
            </w:r>
            <w:r>
              <w:rPr>
                <w:noProof/>
                <w:webHidden/>
              </w:rPr>
              <w:tab/>
              <w:fldChar w:fldCharType="begin"/>
              <w:instrText xml:space="preserve"> PAGEREF _Toc240539764 \h </w:instrText>
              <w:fldChar w:fldCharType="separate"/>
              <w:t>53</w:t>
              <w:fldChar w:fldCharType="end"/>
            </w:r>
          </w:hyperlink>
        </w:p>
        <w:p w14:paraId="09EB4AB0" w14:textId="55B45CEB"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5" w:history="1">
            <w:r>
              <w:rPr>
                <w:rStyle w:val="Hyperlink"/>
                <w:rFonts w:eastAsia="Times New Roman" w:cs="Times New Roman"/>
                <w:noProof/>
                <w:lang w:eastAsia="en-US"/>
              </w:rPr>
              <w:t>17.7 Assumptions</w:t>
            </w:r>
            <w:r>
              <w:rPr>
                <w:noProof/>
                <w:webHidden/>
              </w:rPr>
              <w:tab/>
              <w:fldChar w:fldCharType="begin"/>
              <w:instrText xml:space="preserve"> PAGEREF _Toc240539765 \h </w:instrText>
              <w:fldChar w:fldCharType="separate"/>
              <w:t>53</w:t>
              <w:fldChar w:fldCharType="end"/>
            </w:r>
          </w:hyperlink>
        </w:p>
        <w:p w14:paraId="229CFE55" w14:textId="3895C461"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6" w:history="1">
            <w:r>
              <w:rPr>
                <w:rStyle w:val="Hyperlink"/>
                <w:rFonts w:eastAsia="Times New Roman" w:cs="Times New Roman"/>
                <w:noProof/>
                <w:lang w:eastAsia="en-US"/>
              </w:rPr>
              <w:t>17.8 Risks</w:t>
            </w:r>
            <w:r>
              <w:rPr>
                <w:noProof/>
                <w:webHidden/>
              </w:rPr>
              <w:tab/>
              <w:fldChar w:fldCharType="begin"/>
              <w:instrText xml:space="preserve"> PAGEREF _Toc240539766 \h </w:instrText>
              <w:fldChar w:fldCharType="separate"/>
              <w:t>54</w:t>
              <w:fldChar w:fldCharType="end"/>
            </w:r>
          </w:hyperlink>
        </w:p>
        <w:p w14:paraId="7BD5C5C9" w14:textId="3F2815A3"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7" w:history="1">
            <w:r>
              <w:rPr>
                <w:rStyle w:val="Hyperlink"/>
                <w:rFonts w:eastAsia="Times New Roman" w:cs="Times New Roman"/>
                <w:noProof/>
                <w:lang w:eastAsia="en-US"/>
              </w:rPr>
              <w:t>17.9 Issues</w:t>
            </w:r>
            <w:r>
              <w:rPr>
                <w:noProof/>
                <w:webHidden/>
              </w:rPr>
              <w:tab/>
              <w:fldChar w:fldCharType="begin"/>
              <w:instrText xml:space="preserve"> PAGEREF _Toc240539767 \h </w:instrText>
              <w:fldChar w:fldCharType="separate"/>
              <w:t>55</w:t>
              <w:fldChar w:fldCharType="end"/>
            </w:r>
          </w:hyperlink>
        </w:p>
        <w:p w14:paraId="5311B817" w14:textId="595F4FC8"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8" w:history="1">
            <w:r>
              <w:rPr>
                <w:rStyle w:val="Hyperlink"/>
                <w:rFonts w:eastAsia="Times New Roman" w:cs="Times New Roman"/>
                <w:noProof/>
                <w:lang w:eastAsia="en-US"/>
              </w:rPr>
              <w:t>17.10 Dependencies</w:t>
            </w:r>
            <w:r>
              <w:rPr>
                <w:noProof/>
                <w:webHidden/>
              </w:rPr>
              <w:tab/>
              <w:fldChar w:fldCharType="begin"/>
              <w:instrText xml:space="preserve"> PAGEREF _Toc240539768 \h </w:instrText>
              <w:fldChar w:fldCharType="separate"/>
              <w:t>55</w:t>
              <w:fldChar w:fldCharType="end"/>
            </w:r>
          </w:hyperlink>
        </w:p>
        <w:p w14:paraId="69D01ECC" w14:textId="51FEC868" w:rsidR="0082236C" w:rsidRDefault="0082236C">
          <w:pPr>
            <w:pStyle w:val="TOC1"/>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69" w:history="1">
            <w:r>
              <w:rPr>
                <w:rStyle w:val="Hyperlink"/>
                <w:rFonts w:eastAsiaTheme="minorHAnsi"/>
                <w:noProof/>
                <w:lang w:eastAsia="en-US"/>
              </w:rPr>
              <w:t>18. Appendices</w:t>
            </w:r>
            <w:r>
              <w:rPr>
                <w:noProof/>
                <w:webHidden/>
              </w:rPr>
              <w:tab/>
              <w:fldChar w:fldCharType="begin"/>
              <w:instrText xml:space="preserve"> PAGEREF _Toc240539769 \h </w:instrText>
              <w:fldChar w:fldCharType="separate"/>
              <w:t>56</w:t>
              <w:fldChar w:fldCharType="end"/>
            </w:r>
          </w:hyperlink>
        </w:p>
        <w:p w14:paraId="703A6D25" w14:textId="62076504"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70" w:history="1">
            <w:r>
              <w:rPr>
                <w:rStyle w:val="Hyperlink"/>
                <w:rFonts w:eastAsia="Times New Roman" w:cs="Times New Roman"/>
                <w:noProof/>
                <w:lang w:eastAsia="en-US"/>
              </w:rPr>
              <w:t>18.1 Microsoft Reference Architectures</w:t>
            </w:r>
            <w:r>
              <w:rPr>
                <w:noProof/>
                <w:webHidden/>
              </w:rPr>
              <w:tab/>
              <w:fldChar w:fldCharType="begin"/>
              <w:instrText xml:space="preserve"> PAGEREF _Toc240539770 \h </w:instrText>
              <w:fldChar w:fldCharType="separate"/>
              <w:t>56</w:t>
              <w:fldChar w:fldCharType="end"/>
            </w:r>
          </w:hyperlink>
        </w:p>
        <w:p w14:paraId="0C7A1A02" w14:textId="37A854B1"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71" w:history="1">
            <w:r>
              <w:rPr>
                <w:rStyle w:val="Hyperlink"/>
                <w:rFonts w:eastAsia="Times New Roman" w:cs="Times New Roman"/>
                <w:noProof/>
                <w:lang w:eastAsia="en-US"/>
              </w:rPr>
              <w:t>18.2 Companion Documents</w:t>
            </w:r>
            <w:r>
              <w:rPr>
                <w:noProof/>
                <w:webHidden/>
              </w:rPr>
              <w:tab/>
              <w:fldChar w:fldCharType="begin"/>
              <w:instrText xml:space="preserve"> PAGEREF _Toc240539771 \h </w:instrText>
              <w:fldChar w:fldCharType="separate"/>
              <w:t>56</w:t>
              <w:fldChar w:fldCharType="end"/>
            </w:r>
          </w:hyperlink>
        </w:p>
        <w:p w14:paraId="4344720D" w14:textId="76CAFF5E"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72" w:history="1">
            <w:r>
              <w:rPr>
                <w:rStyle w:val="Hyperlink"/>
                <w:rFonts w:eastAsia="Times New Roman" w:cs="Times New Roman"/>
                <w:noProof/>
                <w:lang w:eastAsia="en-US"/>
              </w:rPr>
              <w:t>18.3 Alignment with the Azure Well-Architected Framework</w:t>
            </w:r>
            <w:r>
              <w:rPr>
                <w:noProof/>
                <w:webHidden/>
              </w:rPr>
              <w:tab/>
              <w:fldChar w:fldCharType="begin"/>
              <w:instrText xml:space="preserve"> PAGEREF _Toc240539772 \h </w:instrText>
              <w:fldChar w:fldCharType="separate"/>
              <w:t>56</w:t>
              <w:fldChar w:fldCharType="end"/>
            </w:r>
          </w:hyperlink>
        </w:p>
        <w:p w14:paraId="33D846D2" w14:textId="5B2E6238"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73" w:history="1">
            <w:r>
              <w:rPr>
                <w:rStyle w:val="Hyperlink"/>
                <w:rFonts w:eastAsia="Times New Roman" w:cs="Times New Roman"/>
                <w:noProof/>
                <w:lang w:eastAsia="en-US"/>
              </w:rPr>
              <w:t>18.4 Glossary and Definitions</w:t>
            </w:r>
            <w:r>
              <w:rPr>
                <w:noProof/>
                <w:webHidden/>
              </w:rPr>
              <w:tab/>
              <w:fldChar w:fldCharType="begin"/>
              <w:instrText xml:space="preserve"> PAGEREF _Toc240539773 \h </w:instrText>
              <w:fldChar w:fldCharType="separate"/>
              <w:t>57</w:t>
              <w:fldChar w:fldCharType="end"/>
            </w:r>
          </w:hyperlink>
        </w:p>
        <w:p w14:paraId="0B21C7ED" w14:textId="110003FE"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74" w:history="1">
            <w:r>
              <w:rPr>
                <w:rStyle w:val="Hyperlink"/>
                <w:rFonts w:eastAsia="Times New Roman" w:cs="Times New Roman"/>
                <w:noProof/>
                <w:lang w:eastAsia="en-US"/>
              </w:rPr>
              <w:t>18.5 Non-Functional Requirements</w:t>
            </w:r>
            <w:r>
              <w:rPr>
                <w:noProof/>
                <w:webHidden/>
              </w:rPr>
              <w:tab/>
              <w:fldChar w:fldCharType="begin"/>
              <w:instrText xml:space="preserve"> PAGEREF _Toc240539774 \h </w:instrText>
              <w:fldChar w:fldCharType="separate"/>
              <w:t>57</w:t>
              <w:fldChar w:fldCharType="end"/>
            </w:r>
          </w:hyperlink>
        </w:p>
        <w:p w14:paraId="29FF7636" w14:textId="209748F7"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75" w:history="1">
            <w:r>
              <w:rPr>
                <w:rStyle w:val="Hyperlink"/>
                <w:rFonts w:eastAsia="Times New Roman" w:cs="Times New Roman"/>
                <w:noProof/>
                <w:lang w:eastAsia="en-US"/>
              </w:rPr>
              <w:t>18.6 Sample Policy Fragments, Naming and OpenAPI Skeleton</w:t>
            </w:r>
            <w:r>
              <w:rPr>
                <w:noProof/>
                <w:webHidden/>
              </w:rPr>
              <w:tab/>
              <w:fldChar w:fldCharType="begin"/>
              <w:instrText xml:space="preserve"> PAGEREF _Toc240539775 \h </w:instrText>
              <w:fldChar w:fldCharType="separate"/>
              <w:t>57</w:t>
              <w:fldChar w:fldCharType="end"/>
            </w:r>
          </w:hyperlink>
        </w:p>
        <w:p w14:paraId="4866C86A" w14:textId="5C63243E" w:rsidR="0082236C" w:rsidRDefault="0082236C">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40539776" w:history="1">
            <w:r>
              <w:rPr>
                <w:rStyle w:val="Hyperlink"/>
                <w:rFonts w:eastAsia="Times New Roman" w:cs="Times New Roman"/>
                <w:noProof/>
                <w:lang w:eastAsia="en-US"/>
              </w:rPr>
              <w:t>18.7 Integration Migration and Cut-over Strategy</w:t>
            </w:r>
            <w:r>
              <w:rPr>
                <w:noProof/>
                <w:webHidden/>
              </w:rPr>
              <w:tab/>
              <w:fldChar w:fldCharType="begin"/>
              <w:instrText xml:space="preserve"> PAGEREF _Toc240539776 \h </w:instrText>
              <w:fldChar w:fldCharType="separate"/>
              <w:t>58</w:t>
              <w:fldChar w:fldCharType="end"/>
            </w:r>
          </w:hyperlink>
        </w:p>
        <w:p w14:paraId="0E055700" w14:textId="2A235956" w:rsidR="002D25EA" w:rsidRDefault="002D25EA">
          <w:r>
            <w:rPr>
              <w:b/>
              <w:bCs/>
            </w:rPr>
            <w:fldChar w:fldCharType="end"/>
          </w:r>
        </w:p>
      </w:sdtContent>
    </w:sdt>
    <w:p w14:paraId="73A5C283" w14:textId="5A7874D6" w:rsidR="002D25EA" w:rsidRPr="002D25EA" w:rsidRDefault="002D25EA" w:rsidP="002D25EA">
      <w:pPr>
        <w:pStyle w:val="Heading1"/>
        <w:pageBreakBefore/>
        <w:spacing w:after="0"/>
        <w:ind w:left="426" w:hanging="432"/>
        <w:rPr>
          <w:rFonts w:asciiTheme="minorHAnsi" w:eastAsiaTheme="minorHAnsi" w:hAnsiTheme="minorHAnsi" w:cstheme="minorBidi"/>
          <w:b w:val="0"/>
          <w:bCs w:val="0"/>
          <w:color w:val="000000" w:themeColor="text1" w:themeShade="80"/>
          <w:sz w:val="24"/>
          <w:szCs w:val="20"/>
          <w:lang w:eastAsia="en-US"/>
        </w:rPr>
      </w:pPr>
      <w:bookmarkStart w:id="0" w:name="_Toc240539725"/>
      <w:r>
        <w:rPr>
          <w:rFonts w:asciiTheme="minorHAnsi" w:eastAsiaTheme="minorHAnsi" w:hAnsiTheme="minorHAnsi" w:cstheme="minorBidi"/>
          <w:b w:val="0"/>
          <w:bCs w:val="0"/>
          <w:color w:val="000000" w:themeColor="text1" w:themeShade="80"/>
          <w:sz w:val="24"/>
          <w:szCs w:val="20"/>
          <w:lang w:eastAsia="en-US"/>
        </w:rPr>
        <w:lastRenderedPageBreak/>
        <w:t>Document Control</w:t>
      </w:r>
      <w:bookmarkEnd w:id="0"/>
    </w:p>
    <w:p w14:paraId="392422E9"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 w:name="_Toc240539726"/>
      <w:r>
        <w:rPr>
          <w:rFonts w:asciiTheme="minorHAnsi" w:eastAsia="Times New Roman" w:hAnsiTheme="minorHAnsi" w:cs="Times New Roman"/>
          <w:b w:val="0"/>
          <w:color w:val="132040" w:themeColor="accent1" w:themeShade="BF"/>
          <w:sz w:val="24"/>
          <w:szCs w:val="26"/>
          <w:lang w:eastAsia="en-US"/>
        </w:rPr>
        <w:t>Document History</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284C6E" w14:paraId="226426A9" w14:textId="77777777" w:rsidTr="00284C6E">
        <w:trPr>
          <w:tblHeader/>
        </w:trPr>
        <w:tc>
          <w:tcPr>
            <w:tcW w:w="2325" w:type="dxa"/>
            <w:shd w:val="clear" w:color="auto" w:fill="C1CDEC" w:themeFill="accent1" w:themeFillTint="33"/>
            <w:tcMar>
              <w:top w:w="70" w:type="dxa"/>
              <w:left w:w="100" w:type="dxa"/>
              <w:bottom w:w="70" w:type="dxa"/>
              <w:right w:w="100" w:type="dxa"/>
            </w:tcMar>
            <w:vAlign w:val="center"/>
          </w:tcPr>
          <w:p w14:paraId="3A5C2048" w14:textId="77777777" w:rsidR="002D25EA" w:rsidRPr="00284C6E" w:rsidRDefault="002D25EA" w:rsidP="00D9409F">
            <w:pPr>
              <w:rPr>
                <w:color w:val="000000" w:themeColor="text1"/>
                <w:sz w:val="20"/>
                <w:szCs w:val="20"/>
              </w:rPr>
            </w:pPr>
            <w:r>
              <w:rPr>
                <w:b/>
                <w:bCs/>
                <w:color w:val="000000" w:themeColor="text1"/>
                <w:sz w:val="20"/>
                <w:szCs w:val="20"/>
              </w:rPr>
              <w:t>Version</w:t>
            </w:r>
          </w:p>
        </w:tc>
        <w:tc>
          <w:tcPr>
            <w:tcW w:w="2325" w:type="dxa"/>
            <w:shd w:val="clear" w:color="auto" w:fill="C1CDEC" w:themeFill="accent1" w:themeFillTint="33"/>
            <w:tcMar>
              <w:top w:w="70" w:type="dxa"/>
              <w:left w:w="100" w:type="dxa"/>
              <w:bottom w:w="70" w:type="dxa"/>
              <w:right w:w="100" w:type="dxa"/>
            </w:tcMar>
            <w:vAlign w:val="center"/>
          </w:tcPr>
          <w:p w14:paraId="7B4F499D" w14:textId="77777777" w:rsidR="002D25EA" w:rsidRPr="00284C6E" w:rsidRDefault="002D25EA" w:rsidP="00D9409F">
            <w:pPr>
              <w:rPr>
                <w:color w:val="000000" w:themeColor="text1"/>
                <w:sz w:val="20"/>
                <w:szCs w:val="20"/>
              </w:rPr>
            </w:pPr>
            <w:r>
              <w:rPr>
                <w:b/>
                <w:bCs/>
                <w:color w:val="000000" w:themeColor="text1"/>
                <w:sz w:val="20"/>
                <w:szCs w:val="20"/>
              </w:rPr>
              <w:t>Date</w:t>
            </w:r>
          </w:p>
        </w:tc>
        <w:tc>
          <w:tcPr>
            <w:tcW w:w="2325" w:type="dxa"/>
            <w:shd w:val="clear" w:color="auto" w:fill="C1CDEC" w:themeFill="accent1" w:themeFillTint="33"/>
            <w:tcMar>
              <w:top w:w="70" w:type="dxa"/>
              <w:left w:w="100" w:type="dxa"/>
              <w:bottom w:w="70" w:type="dxa"/>
              <w:right w:w="100" w:type="dxa"/>
            </w:tcMar>
            <w:vAlign w:val="center"/>
          </w:tcPr>
          <w:p w14:paraId="2BC7F59C" w14:textId="77777777" w:rsidR="002D25EA" w:rsidRPr="00284C6E" w:rsidRDefault="002D25EA" w:rsidP="00D9409F">
            <w:pPr>
              <w:rPr>
                <w:color w:val="000000" w:themeColor="text1"/>
                <w:sz w:val="20"/>
                <w:szCs w:val="20"/>
              </w:rPr>
            </w:pPr>
            <w:r>
              <w:rPr>
                <w:b/>
                <w:bCs/>
                <w:color w:val="000000" w:themeColor="text1"/>
                <w:sz w:val="20"/>
                <w:szCs w:val="20"/>
              </w:rPr>
              <w:t>Author</w:t>
            </w:r>
          </w:p>
        </w:tc>
        <w:tc>
          <w:tcPr>
            <w:tcW w:w="2325" w:type="dxa"/>
            <w:shd w:val="clear" w:color="auto" w:fill="C1CDEC" w:themeFill="accent1" w:themeFillTint="33"/>
            <w:tcMar>
              <w:top w:w="70" w:type="dxa"/>
              <w:left w:w="100" w:type="dxa"/>
              <w:bottom w:w="70" w:type="dxa"/>
              <w:right w:w="100" w:type="dxa"/>
            </w:tcMar>
            <w:vAlign w:val="center"/>
          </w:tcPr>
          <w:p w14:paraId="312638F7" w14:textId="77777777" w:rsidR="002D25EA" w:rsidRPr="00284C6E" w:rsidRDefault="002D25EA" w:rsidP="00D9409F">
            <w:pPr>
              <w:rPr>
                <w:color w:val="000000" w:themeColor="text1"/>
                <w:sz w:val="20"/>
                <w:szCs w:val="20"/>
              </w:rPr>
            </w:pPr>
            <w:r>
              <w:rPr>
                <w:b/>
                <w:bCs/>
                <w:color w:val="000000" w:themeColor="text1"/>
                <w:sz w:val="20"/>
                <w:szCs w:val="20"/>
              </w:rPr>
              <w:t>Change</w:t>
            </w:r>
          </w:p>
        </w:tc>
      </w:tr>
      <w:tr w:rsidR="002D25EA" w14:paraId="5BC67670" w14:textId="77777777" w:rsidTr="00D9409F">
        <w:tc>
          <w:tcPr>
            <w:tcW w:w="2325" w:type="dxa"/>
            <w:tcMar>
              <w:top w:w="70" w:type="dxa"/>
              <w:left w:w="100" w:type="dxa"/>
              <w:bottom w:w="70" w:type="dxa"/>
              <w:right w:w="100" w:type="dxa"/>
            </w:tcMar>
            <w:vAlign w:val="center"/>
          </w:tcPr>
          <w:p w14:paraId="772BED72" w14:textId="77777777" w:rsidR="002D25EA" w:rsidRPr="00284C6E" w:rsidRDefault="002D25EA" w:rsidP="00D9409F">
            <w:pPr>
              <w:rPr>
                <w:sz w:val="20"/>
                <w:szCs w:val="20"/>
              </w:rPr>
            </w:pPr>
            <w:r>
              <w:rPr>
                <w:sz w:val="20"/>
                <w:szCs w:val="20"/>
              </w:rPr>
              <w:t>0.1</w:t>
            </w:r>
          </w:p>
        </w:tc>
        <w:tc>
          <w:tcPr>
            <w:tcW w:w="2325" w:type="dxa"/>
            <w:tcMar>
              <w:top w:w="70" w:type="dxa"/>
              <w:left w:w="100" w:type="dxa"/>
              <w:bottom w:w="70" w:type="dxa"/>
              <w:right w:w="100" w:type="dxa"/>
            </w:tcMar>
            <w:vAlign w:val="center"/>
          </w:tcPr>
          <w:p w14:paraId="6B411643" w14:textId="56D0FB04" w:rsidR="002D25EA" w:rsidRPr="00284C6E" w:rsidRDefault="00321A20" w:rsidP="00D9409F">
            <w:pPr>
              <w:rPr>
                <w:sz w:val="20"/>
                <w:szCs w:val="20"/>
              </w:rPr>
            </w:pPr>
            <w:r>
              <w:rPr>
                <w:sz w:val="20"/>
                <w:szCs w:val="20"/>
              </w:rPr>
              <w:t>17 September 2026</w:t>
            </w:r>
          </w:p>
        </w:tc>
        <w:tc>
          <w:tcPr>
            <w:tcW w:w="2325" w:type="dxa"/>
            <w:tcMar>
              <w:top w:w="70" w:type="dxa"/>
              <w:left w:w="100" w:type="dxa"/>
              <w:bottom w:w="70" w:type="dxa"/>
              <w:right w:w="100" w:type="dxa"/>
            </w:tcMar>
            <w:vAlign w:val="center"/>
          </w:tcPr>
          <w:p w14:paraId="3AFFFF40" w14:textId="509E5272" w:rsidR="002D25EA" w:rsidRPr="00284C6E" w:rsidRDefault="00321A20" w:rsidP="00D9409F">
            <w:pPr>
              <w:rPr>
                <w:sz w:val="20"/>
                <w:szCs w:val="20"/>
              </w:rPr>
            </w:pPr>
            <w:r>
              <w:rPr>
                <w:sz w:val="20"/>
                <w:szCs w:val="20"/>
              </w:rPr>
              <w:t>Puneet Kumar</w:t>
            </w:r>
          </w:p>
        </w:tc>
        <w:tc>
          <w:tcPr>
            <w:tcW w:w="2325" w:type="dxa"/>
            <w:tcMar>
              <w:top w:w="70" w:type="dxa"/>
              <w:left w:w="100" w:type="dxa"/>
              <w:bottom w:w="70" w:type="dxa"/>
              <w:right w:w="100" w:type="dxa"/>
            </w:tcMar>
            <w:vAlign w:val="center"/>
          </w:tcPr>
          <w:p w14:paraId="09F01E48" w14:textId="77777777" w:rsidR="002D25EA" w:rsidRPr="00284C6E" w:rsidRDefault="002D25EA" w:rsidP="00D9409F">
            <w:pPr>
              <w:rPr>
                <w:sz w:val="20"/>
                <w:szCs w:val="20"/>
              </w:rPr>
            </w:pPr>
            <w:r>
              <w:rPr>
                <w:sz w:val="20"/>
                <w:szCs w:val="20"/>
              </w:rPr>
              <w:t>Initial draft restructured to the Organization’s HLD template</w:t>
            </w:r>
          </w:p>
        </w:tc>
      </w:tr>
    </w:tbl>
    <w:p w14:paraId="67BA8F0F"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 w:name="_Toc240539727"/>
      <w:r>
        <w:rPr>
          <w:rFonts w:asciiTheme="minorHAnsi" w:eastAsia="Times New Roman" w:hAnsiTheme="minorHAnsi" w:cs="Times New Roman"/>
          <w:b w:val="0"/>
          <w:color w:val="132040" w:themeColor="accent1" w:themeShade="BF"/>
          <w:sz w:val="24"/>
          <w:szCs w:val="26"/>
          <w:lang w:eastAsia="en-US"/>
        </w:rPr>
        <w:t>Document Authors</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5454FDA6" w14:textId="77777777" w:rsidTr="00284C6E">
        <w:trPr>
          <w:tblHeader/>
        </w:trPr>
        <w:tc>
          <w:tcPr>
            <w:tcW w:w="4650" w:type="dxa"/>
            <w:shd w:val="clear" w:color="auto" w:fill="C1CDEC" w:themeFill="accent1" w:themeFillTint="33"/>
            <w:tcMar>
              <w:top w:w="70" w:type="dxa"/>
              <w:left w:w="100" w:type="dxa"/>
              <w:bottom w:w="70" w:type="dxa"/>
              <w:right w:w="100" w:type="dxa"/>
            </w:tcMar>
            <w:vAlign w:val="center"/>
          </w:tcPr>
          <w:p w14:paraId="7B0F339F" w14:textId="77777777" w:rsidR="002D25EA" w:rsidRPr="00284C6E" w:rsidRDefault="002D25EA" w:rsidP="00D9409F">
            <w:pPr>
              <w:rPr>
                <w:b/>
                <w:bCs/>
                <w:color w:val="000000" w:themeColor="text1"/>
                <w:sz w:val="20"/>
                <w:szCs w:val="20"/>
              </w:rPr>
            </w:pPr>
            <w:r>
              <w:rPr>
                <w:b/>
                <w:bCs/>
                <w:color w:val="000000" w:themeColor="text1"/>
                <w:sz w:val="20"/>
                <w:szCs w:val="20"/>
              </w:rPr>
              <w:t>Role</w:t>
            </w:r>
          </w:p>
        </w:tc>
        <w:tc>
          <w:tcPr>
            <w:tcW w:w="4650" w:type="dxa"/>
            <w:shd w:val="clear" w:color="auto" w:fill="C1CDEC" w:themeFill="accent1" w:themeFillTint="33"/>
            <w:tcMar>
              <w:top w:w="70" w:type="dxa"/>
              <w:left w:w="100" w:type="dxa"/>
              <w:bottom w:w="70" w:type="dxa"/>
              <w:right w:w="100" w:type="dxa"/>
            </w:tcMar>
            <w:vAlign w:val="center"/>
          </w:tcPr>
          <w:p w14:paraId="113C60A9" w14:textId="77777777" w:rsidR="002D25EA" w:rsidRPr="00284C6E" w:rsidRDefault="002D25EA" w:rsidP="00D9409F">
            <w:pPr>
              <w:rPr>
                <w:b/>
                <w:bCs/>
                <w:color w:val="000000" w:themeColor="text1"/>
                <w:sz w:val="20"/>
                <w:szCs w:val="20"/>
              </w:rPr>
            </w:pPr>
            <w:r>
              <w:rPr>
                <w:b/>
                <w:bCs/>
                <w:color w:val="000000" w:themeColor="text1"/>
                <w:sz w:val="20"/>
                <w:szCs w:val="20"/>
              </w:rPr>
              <w:t>Name / Team</w:t>
            </w:r>
          </w:p>
        </w:tc>
      </w:tr>
      <w:tr w:rsidR="002D25EA" w14:paraId="78A03398" w14:textId="77777777" w:rsidTr="00D9409F">
        <w:tc>
          <w:tcPr>
            <w:tcW w:w="4650" w:type="dxa"/>
            <w:tcMar>
              <w:top w:w="70" w:type="dxa"/>
              <w:left w:w="100" w:type="dxa"/>
              <w:bottom w:w="70" w:type="dxa"/>
              <w:right w:w="100" w:type="dxa"/>
            </w:tcMar>
            <w:vAlign w:val="center"/>
          </w:tcPr>
          <w:p w14:paraId="5B93A35E" w14:textId="46DA3233" w:rsidR="002D25EA" w:rsidRPr="002C2E30"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49EF33BA" w14:textId="5A67454B" w:rsidR="002D25EA" w:rsidRPr="002C2E30" w:rsidRDefault="002D25EA" w:rsidP="00D9409F">
            <w:pPr>
              <w:rPr>
                <w:color w:val="000000" w:themeColor="text1"/>
                <w:sz w:val="20"/>
                <w:szCs w:val="20"/>
              </w:rPr>
            </w:pPr>
          </w:p>
        </w:tc>
      </w:tr>
      <w:tr w:rsidR="002D25EA" w14:paraId="3234D2DA" w14:textId="77777777" w:rsidTr="00D9409F">
        <w:tc>
          <w:tcPr>
            <w:tcW w:w="4650" w:type="dxa"/>
            <w:tcMar>
              <w:top w:w="70" w:type="dxa"/>
              <w:left w:w="100" w:type="dxa"/>
              <w:bottom w:w="70" w:type="dxa"/>
              <w:right w:w="100" w:type="dxa"/>
            </w:tcMar>
            <w:vAlign w:val="center"/>
          </w:tcPr>
          <w:p w14:paraId="34E843EF" w14:textId="04421B64" w:rsidR="002D25EA" w:rsidRPr="002C2E30"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4D82E916" w14:textId="3BC4B435" w:rsidR="002D25EA" w:rsidRPr="002C2E30" w:rsidRDefault="002D25EA" w:rsidP="00D9409F">
            <w:pPr>
              <w:rPr>
                <w:color w:val="000000" w:themeColor="text1"/>
                <w:sz w:val="20"/>
                <w:szCs w:val="20"/>
              </w:rPr>
            </w:pPr>
          </w:p>
        </w:tc>
      </w:tr>
    </w:tbl>
    <w:p w14:paraId="2F89B137"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 w:name="_Toc240539728"/>
      <w:r>
        <w:rPr>
          <w:rFonts w:asciiTheme="minorHAnsi" w:eastAsia="Times New Roman" w:hAnsiTheme="minorHAnsi" w:cs="Times New Roman"/>
          <w:b w:val="0"/>
          <w:color w:val="132040" w:themeColor="accent1" w:themeShade="BF"/>
          <w:sz w:val="24"/>
          <w:szCs w:val="26"/>
          <w:lang w:eastAsia="en-US"/>
        </w:rPr>
        <w:t>Document Assurance</w:t>
      </w:r>
      <w:bookmarkEnd w:id="3"/>
    </w:p>
    <w:p w14:paraId="5060516A" w14:textId="77777777" w:rsidR="002D25EA" w:rsidRDefault="002D25EA" w:rsidP="002D25EA">
      <w:pPr>
        <w:spacing w:after="140"/>
      </w:pPr>
      <w:r>
        <w:rPr>
          <w:i/>
          <w:iCs/>
          <w:color w:val="999999"/>
        </w:rPr>
        <w:t>[To be completed: assurance reviewers and sign-off to be recorded by the Organization.]</w:t>
      </w:r>
    </w:p>
    <w:p w14:paraId="1A201F75"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 w:name="_Toc240539729"/>
      <w:r>
        <w:rPr>
          <w:rFonts w:asciiTheme="minorHAnsi" w:eastAsia="Times New Roman" w:hAnsiTheme="minorHAnsi" w:cs="Times New Roman"/>
          <w:b w:val="0"/>
          <w:color w:val="132040" w:themeColor="accent1" w:themeShade="BF"/>
          <w:sz w:val="24"/>
          <w:szCs w:val="26"/>
          <w:lang w:eastAsia="en-US"/>
        </w:rPr>
        <w:t>TDA Approval</w:t>
      </w:r>
      <w:bookmarkEnd w:id="4"/>
    </w:p>
    <w:p w14:paraId="5D639E13" w14:textId="77777777" w:rsidR="002D25EA" w:rsidRDefault="002D25EA" w:rsidP="002D25EA">
      <w:pPr>
        <w:spacing w:after="140"/>
      </w:pPr>
      <w:r>
        <w:rPr>
          <w:i/>
          <w:iCs/>
          <w:color w:val="999999"/>
        </w:rPr>
        <w:t>[To be completed: Technical Design Authority approval to be recorded.]</w:t>
      </w:r>
    </w:p>
    <w:p w14:paraId="51B41F2F"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5" w:name="_Toc240539730"/>
      <w:r>
        <w:rPr>
          <w:rFonts w:asciiTheme="minorHAnsi" w:eastAsia="Times New Roman" w:hAnsiTheme="minorHAnsi" w:cs="Times New Roman"/>
          <w:b w:val="0"/>
          <w:color w:val="132040" w:themeColor="accent1" w:themeShade="BF"/>
          <w:sz w:val="24"/>
          <w:szCs w:val="26"/>
          <w:lang w:eastAsia="en-US"/>
        </w:rPr>
        <w:t>Document References</w:t>
      </w:r>
      <w:bookmarkEnd w:id="5"/>
    </w:p>
    <w:p w14:paraId="061D3794" w14:textId="77777777" w:rsidR="002D25EA" w:rsidRDefault="002D25EA" w:rsidP="002D25EA">
      <w:pPr>
        <w:spacing w:after="140"/>
      </w:pPr>
      <w:r>
        <w:rPr>
          <w:i/>
          <w:iCs/>
          <w:color w:val="555555"/>
        </w:rPr>
        <w:t>Diagrams in this document are the Organization-adapted renderings of the pattern each article describes, not reproductions of Microsoft's own diagrams. Refer to the linked articles for Microsoft's original diagrams and downloadable Visio files.</w:t>
      </w:r>
    </w:p>
    <w:p w14:paraId="29E9D2A7" w14:textId="77777777" w:rsidR="002D25EA" w:rsidRDefault="002D25EA" w:rsidP="002D25EA">
      <w:pPr>
        <w:pStyle w:val="ListParagraph"/>
        <w:numPr>
          <w:ilvl w:val="0"/>
          <w:numId w:val="2"/>
        </w:numPr>
        <w:spacing w:after="70"/>
      </w:pPr>
      <w:r>
        <w:t>Basic enterprise integration on Azure: learn.microsoft.com/azure/architecture/reference-architectures/enterprise-integration/basic-enterprise-integration</w:t>
      </w:r>
    </w:p>
    <w:p w14:paraId="0A4318C1" w14:textId="77777777" w:rsidR="002D25EA" w:rsidRDefault="002D25EA" w:rsidP="002D25EA">
      <w:pPr>
        <w:pStyle w:val="ListParagraph"/>
        <w:numPr>
          <w:ilvl w:val="0"/>
          <w:numId w:val="2"/>
        </w:numPr>
        <w:spacing w:after="70"/>
      </w:pPr>
      <w:r>
        <w:t>Protect APIs with Application Gateway and API Management: learn.microsoft.com/azure/architecture/web-apps/api-management/architectures/protect-apis</w:t>
      </w:r>
    </w:p>
    <w:p w14:paraId="4B194D8C" w14:textId="77777777" w:rsidR="002D25EA" w:rsidRDefault="002D25EA" w:rsidP="002D25EA">
      <w:pPr>
        <w:pStyle w:val="ListParagraph"/>
        <w:numPr>
          <w:ilvl w:val="0"/>
          <w:numId w:val="2"/>
        </w:numPr>
        <w:spacing w:after="70"/>
      </w:pPr>
      <w:r>
        <w:t>Azure API Management landing zone accelerator: learn.microsoft.com/azure/cloud-adoption-framework/scenarios/app-platform/api-management/landing-zone-accelerator</w:t>
      </w:r>
    </w:p>
    <w:p w14:paraId="16326016"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6" w:name="_Toc240539731"/>
      <w:r>
        <w:rPr>
          <w:rFonts w:asciiTheme="minorHAnsi" w:eastAsia="Times New Roman" w:hAnsiTheme="minorHAnsi" w:cs="Times New Roman"/>
          <w:b w:val="0"/>
          <w:color w:val="132040" w:themeColor="accent1" w:themeShade="BF"/>
          <w:sz w:val="24"/>
          <w:szCs w:val="26"/>
          <w:lang w:eastAsia="en-US"/>
        </w:rPr>
        <w:t>Executive Summary</w:t>
      </w:r>
      <w:bookmarkEnd w:id="6"/>
    </w:p>
    <w:p w14:paraId="4A2F6C14" w14:textId="77777777" w:rsidR="00FC4645" w:rsidRPr="00FC4645" w:rsidRDefault="00FC4645" w:rsidP="00FC4645">
      <w:pPr>
        <w:spacing w:after="140"/>
      </w:pPr>
      <w:r>
        <w:t>Azure API Management provides a single secure and governed platform for all organisational APIs, including internal, external, and partner integrations. This document describes the recommended implementation approach, covering architecture, security, operational governance, and cost considerations, drawing on proven practices from a comparable enterprise integration programme.</w:t>
      </w:r>
    </w:p>
    <w:p w14:paraId="7A3FEA55" w14:textId="7514CCAF" w:rsidR="002D25EA" w:rsidRDefault="002D25EA" w:rsidP="002D25EA">
      <w:pPr>
        <w:spacing w:after="1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2762F17" w14:textId="77777777" w:rsidTr="00284C6E">
        <w:trPr>
          <w:tblHeader/>
        </w:trPr>
        <w:tc>
          <w:tcPr>
            <w:tcW w:w="3100" w:type="dxa"/>
            <w:shd w:val="clear" w:color="auto" w:fill="C1CDEC" w:themeFill="accent1" w:themeFillTint="33"/>
            <w:tcMar>
              <w:top w:w="70" w:type="dxa"/>
              <w:left w:w="100" w:type="dxa"/>
              <w:bottom w:w="70" w:type="dxa"/>
              <w:right w:w="100" w:type="dxa"/>
            </w:tcMar>
            <w:vAlign w:val="center"/>
          </w:tcPr>
          <w:p w14:paraId="010DB14C" w14:textId="77777777" w:rsidR="002D25EA" w:rsidRPr="00284C6E" w:rsidRDefault="002D25EA" w:rsidP="00D9409F">
            <w:pPr>
              <w:rPr>
                <w:b/>
                <w:bCs/>
                <w:color w:val="000000" w:themeColor="text1"/>
                <w:sz w:val="20"/>
                <w:szCs w:val="20"/>
              </w:rPr>
            </w:pPr>
            <w:r>
              <w:rPr>
                <w:b/>
                <w:bCs/>
                <w:color w:val="000000" w:themeColor="text1"/>
                <w:sz w:val="20"/>
                <w:szCs w:val="20"/>
              </w:rPr>
              <w:t>The Ask</w:t>
            </w:r>
          </w:p>
        </w:tc>
        <w:tc>
          <w:tcPr>
            <w:tcW w:w="3100" w:type="dxa"/>
            <w:shd w:val="clear" w:color="auto" w:fill="C1CDEC" w:themeFill="accent1" w:themeFillTint="33"/>
            <w:tcMar>
              <w:top w:w="70" w:type="dxa"/>
              <w:left w:w="100" w:type="dxa"/>
              <w:bottom w:w="70" w:type="dxa"/>
              <w:right w:w="100" w:type="dxa"/>
            </w:tcMar>
            <w:vAlign w:val="center"/>
          </w:tcPr>
          <w:p w14:paraId="0557722D" w14:textId="77777777" w:rsidR="002D25EA" w:rsidRPr="00284C6E" w:rsidRDefault="002D25EA" w:rsidP="00D9409F">
            <w:pPr>
              <w:rPr>
                <w:b/>
                <w:bCs/>
                <w:color w:val="000000" w:themeColor="text1"/>
                <w:sz w:val="20"/>
                <w:szCs w:val="20"/>
              </w:rPr>
            </w:pPr>
            <w:r>
              <w:rPr>
                <w:b/>
                <w:bCs/>
                <w:color w:val="000000" w:themeColor="text1"/>
                <w:sz w:val="20"/>
                <w:szCs w:val="20"/>
              </w:rPr>
              <w:t>Our Response</w:t>
            </w:r>
          </w:p>
        </w:tc>
        <w:tc>
          <w:tcPr>
            <w:tcW w:w="3100" w:type="dxa"/>
            <w:shd w:val="clear" w:color="auto" w:fill="C1CDEC" w:themeFill="accent1" w:themeFillTint="33"/>
            <w:tcMar>
              <w:top w:w="70" w:type="dxa"/>
              <w:left w:w="100" w:type="dxa"/>
              <w:bottom w:w="70" w:type="dxa"/>
              <w:right w:w="100" w:type="dxa"/>
            </w:tcMar>
            <w:vAlign w:val="center"/>
          </w:tcPr>
          <w:p w14:paraId="06C3D95B" w14:textId="77777777" w:rsidR="002D25EA" w:rsidRPr="00284C6E" w:rsidRDefault="002D25EA" w:rsidP="00D9409F">
            <w:pPr>
              <w:rPr>
                <w:b/>
                <w:bCs/>
                <w:color w:val="000000" w:themeColor="text1"/>
                <w:sz w:val="20"/>
                <w:szCs w:val="20"/>
              </w:rPr>
            </w:pPr>
            <w:r>
              <w:rPr>
                <w:b/>
                <w:bCs/>
                <w:color w:val="000000" w:themeColor="text1"/>
                <w:sz w:val="20"/>
                <w:szCs w:val="20"/>
              </w:rPr>
              <w:t>The Outcome</w:t>
            </w:r>
          </w:p>
        </w:tc>
      </w:tr>
      <w:tr>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The Organization has no API layer today. Systems connect through point-to-point integrations, each built and secured from scratch.</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hardened Azure APIM platform, Entra ID identity, Key Vault secrets, Zero Trust security, delivered in a phased rollout on top of the existing integration estate.</w:t>
            </w:r>
          </w:p>
        </w:tc>
        <w:tc>
          <w:tcPr>
            <w:tcW w:type="dxa" w:w="3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Faster API onboarding, one place to see and control every integration, and an audit-ready security posture.</w:t>
            </w:r>
          </w:p>
        </w:tc>
      </w:tr>
    </w:tbl>
    <w:p>
      <w:pPr>
        <w:pStyle w:val="Heading1"/>
      </w:pPr>
      <w:r>
        <w:t>Design Decision</w:t>
      </w:r>
    </w:p>
    <w:p>
      <w:pPr>
        <w:pStyle w:val="Heading2"/>
      </w:pPr>
      <w:r>
        <w:t>Architectural Decisions</w:t>
      </w:r>
    </w:p>
    <w:p>
      <w:pPr>
        <w:spacing w:after="140"/>
      </w:pPr>
      <w:r>
        <w:rPr>
          <w:rFonts w:ascii="Noe Text" w:cs="Noe Text" w:eastAsia="Noe Text" w:hAnsi="Noe Text"/>
          <w:color w:val="333333"/>
          <w:sz w:val="21"/>
          <w:szCs w:val="21"/>
        </w:rPr>
        <w:t xml:space="preserve">This section records the design decision actually chosen for each key architectural area. Each row states the option selected, not the full set of alternatives considered; the fuller matrix of options, with the alternatives, trade-offs and scoring behind each choice, is set out where that decision is made in detail: the tier and cost options are compared in section 16 (Capacity, Cost and Service Tiers). This table exists so a reader can see every chosen decision in one place; the two most consequential choices, the edge service and the APIM deployment mode, are set out in full in the subsections that follow.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00"/>
      </w:tblGrid>
      <w:tr>
        <w:trPr>
          <w:tblHeader/>
        </w:trPr>
        <w:tc>
          <w:tcPr>
            <w:tcW w:type="dxa" w:w="1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Area</w:t>
            </w:r>
          </w:p>
        </w:tc>
        <w:tc>
          <w:tcPr>
            <w:tcW w:type="dxa" w:w="47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Choice</w:t>
            </w:r>
          </w:p>
        </w:tc>
        <w:tc>
          <w:tcPr>
            <w:tcW w:type="dxa" w:w="30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Trade-off accepted</w:t>
            </w:r>
          </w:p>
        </w:tc>
      </w:tr>
      <w:tr>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 Exposure</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All managed APIs are exposed through Azure API Management.</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Every API must go through one platform; nothing can quietly bypass it</w:t>
            </w:r>
          </w:p>
        </w:tc>
      </w:tr>
      <w:tr>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External Access</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Azure Front Door Premium with WAF, chosen over Application Gateway v2 alone and over a combined Front Door plus Application Gateway pattern (see the Edge Service Selection Decision below).</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Higher cost than App Gateway alone, accepted for global reach and built-in multi-region failover</w:t>
            </w:r>
          </w:p>
        </w:tc>
      </w:tr>
      <w:tr>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Tier</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Classic Premium, multi-region.</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Carries migration debt versus the newer Premium v2 line (see the APIM Tier Decision below)</w:t>
            </w:r>
          </w:p>
        </w:tc>
      </w:tr>
      <w:tr>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Network Model</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backends with controlled ingress and egress paths.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More network configuration up front, in exchange for no direct internet exposure anywhere</w:t>
            </w:r>
          </w:p>
        </w:tc>
      </w:tr>
      <w:tr>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Resilience</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Multi-region active-active deployment across UK South and UK West.</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Roughly doubles APIM run cost, accepted given the sensitivity of claims and policy data</w:t>
            </w:r>
          </w:p>
        </w:tc>
      </w:tr>
      <w:tr>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Identity</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and OAuth 2.0 as the default authentication mechanism.</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Non-OAuth partners need a formally governed exception, not a quiet workaround</w:t>
            </w:r>
          </w:p>
        </w:tc>
      </w:tr>
      <w:tr>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Delivery</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Infrastructure and APIM configuration managed through code and automated pipelines.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Slower initial setup than manual configuration, in exchange for safe, repeatable changes</w:t>
            </w:r>
          </w:p>
        </w:tc>
      </w:tr>
    </w:tbl>
    <w:p w14:paraId="6130ADB4" w14:textId="77777777" w:rsidR="002D25EA" w:rsidRDefault="002D25EA" w:rsidP="002D25EA">
      <w:pPr>
        <w:spacing w:after="60"/>
      </w:pPr>
    </w:p>
    <w:p w14:paraId="2737EE20" w14:textId="77777777" w:rsidR="00E765E4" w:rsidRDefault="00000000">
      <w:pPr>
        <w:spacing w:after="140"/>
      </w:pPr>
      <w:r>
        <w:rPr>
          <w:i/>
          <w:iCs/>
        </w:rPr>
        <w:t>These are the chosen decisions this design is built around, not all of them are yet confirmed. Several, most notably the APIM tier and the active-active multi-region resilience model, remain proposed pending TDA sign-off and are tracked as open items in the assumptions register (section 17.7). Treat this table as the current position, not a closed decision log.</w:t>
      </w:r>
    </w:p>
    <w:p>
      <w:pPr>
        <w:pStyle w:val="Heading2"/>
      </w:pPr>
      <w:r>
        <w:t>Edge Service Selection Decision</w:t>
      </w:r>
    </w:p>
    <w:p>
      <w:pPr>
        <w:spacing w:after="140"/>
      </w:pPr>
      <w:r>
        <w:rPr>
          <w:rFonts w:ascii="Noe Text" w:cs="Noe Text" w:eastAsia="Noe Text" w:hAnsi="Noe Text"/>
          <w:color w:val="333333"/>
          <w:sz w:val="21"/>
          <w:szCs w:val="21"/>
        </w:rPr>
        <w:t xml:space="preserve">The single most consequential choice in this design is which edge service sits in front of APIM. The matrix below scores the three candidates against the criteria that matter for the Organization, so the recommendation can be seen at a glance rather than inferred from prose.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50"/>
        <w:gridCol w:w="2250"/>
      </w:tblGrid>
      <w:tr>
        <w:trPr>
          <w:tblHeader/>
        </w:trPr>
        <w:tc>
          <w:tcPr>
            <w:tcW w:type="dxa" w:w="24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Criteria</w:t>
            </w:r>
          </w:p>
        </w:tc>
        <w:tc>
          <w:tcPr>
            <w:tcW w:type="dxa" w:w="24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Front Door Premium + WAF</w:t>
            </w:r>
          </w:p>
        </w:tc>
        <w:tc>
          <w:tcPr>
            <w:tcW w:type="dxa" w:w="22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App Gateway v2 + WAF</w:t>
            </w:r>
          </w:p>
        </w:tc>
        <w:tc>
          <w:tcPr>
            <w:tcW w:type="dxa" w:w="225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Front Door + App Gateway</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Global routing</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Multi-region support</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Limited</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WAF protection</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Link to APIM</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Limited</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Performance</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Regional</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Highest</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Operational complexity</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Medium</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Cost</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Medium</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Recommended</w:t>
            </w:r>
          </w:p>
        </w:tc>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w:t>
            </w:r>
          </w:p>
        </w:tc>
        <w:tc>
          <w:tcPr>
            <w:tcW w:type="dxa" w:w="225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Conditional</w:t>
            </w:r>
          </w:p>
        </w:tc>
      </w:tr>
    </w:tbl>
    <w:p>
      <w:pPr>
        <w:spacing w:after="140"/>
      </w:pPr>
      <w:r>
        <w:rPr>
          <w:rFonts w:ascii="Noe Text" w:cs="Noe Text" w:eastAsia="Noe Text" w:hAnsi="Noe Text"/>
          <w:color w:val="333333"/>
          <w:sz w:val="21"/>
          <w:szCs w:val="21"/>
        </w:rPr>
        <w:t xml:space="preserve">Selection rationale, when to choose which: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rPr>
          <w:tblHeader/>
        </w:trPr>
        <w:tc>
          <w:tcPr>
            <w:tcW w:type="dxa" w:w="24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Option</w:t>
            </w:r>
          </w:p>
        </w:tc>
        <w:tc>
          <w:tcPr>
            <w:tcW w:type="dxa" w:w="3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Choose it when</w:t>
            </w:r>
          </w:p>
        </w:tc>
        <w:tc>
          <w:tcPr>
            <w:tcW w:type="dxa" w:w="33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Why</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Premium + WAF (recommended)</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APIs are internet-facing and need global reach, one hostname for all consumers, and automatic multi-region failover</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It is the only single service that delivers global routing, edge WAF, and multi-region DR together, with native Private Link into APIM and low operational overhead</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Application Gateway v2 + WAF</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All traffic must stay inside one UK region (a data-residency or latency constraint), or a regional-only deployment is explicitly preferred</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Lowest cost of the three and gives regional WAF, but cannot do global routing or cross-region failover</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 Application Gateway</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hard requirement demands double-WAF defence-in-depth or complex per-region routing on top of global reach</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Deepest inspection (edge and regional WAF) but the highest cost and the most operational complexity, so reserved for that specific need</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Direct APIM ingress (no edge service)</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The API is internal-only and never reachable from the internet</w:t>
            </w:r>
          </w:p>
        </w:tc>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consumers reach the APIM internal gateway directly inside the VNet; no edge service is needed or wanted</w:t>
            </w:r>
          </w:p>
        </w:tc>
      </w:tr>
    </w:tbl>
    <w:p>
      <w:pPr>
        <w:spacing w:after="80"/>
      </w:pPr>
      <w:r>
        <w:rPr>
          <w:rFonts w:ascii="Noe Text" w:cs="Noe Text" w:eastAsia="Noe Text" w:hAnsi="Noe Text"/>
          <w:b/>
          <w:bCs/>
          <w:color w:val="1E2761"/>
          <w:sz w:val="21"/>
          <w:szCs w:val="21"/>
        </w:rPr>
        <w:t xml:space="preserve">Recommendation: </w:t>
      </w:r>
      <w:r>
        <w:rPr>
          <w:rFonts w:ascii="Noe Text" w:cs="Noe Text" w:eastAsia="Noe Text" w:hAnsi="Noe Text"/>
          <w:color w:val="333333"/>
          <w:sz w:val="21"/>
          <w:szCs w:val="21"/>
        </w:rPr>
        <w:t xml:space="preserve">Azure Front Door Premium with WAF.</w:t>
      </w:r>
    </w:p>
    <w:p>
      <w:pPr>
        <w:spacing w:after="80"/>
      </w:pPr>
      <w:r>
        <w:rPr>
          <w:rFonts w:ascii="Noe Text" w:cs="Noe Text" w:eastAsia="Noe Text" w:hAnsi="Noe Text"/>
          <w:b/>
          <w:bCs/>
          <w:color w:val="1E2761"/>
          <w:sz w:val="21"/>
          <w:szCs w:val="21"/>
        </w:rPr>
        <w:t xml:space="preserve">Why selected: </w:t>
      </w:r>
      <w:r>
        <w:rPr>
          <w:rFonts w:ascii="Noe Text" w:cs="Noe Text" w:eastAsia="Noe Text" w:hAnsi="Noe Text"/>
          <w:color w:val="333333"/>
          <w:sz w:val="21"/>
          <w:szCs w:val="21"/>
        </w:rPr>
        <w:t xml:space="preserve">It is the only single service that gives a global entry point, edge security with a built-in WAF, multi-region readiness, native Private Link integration into APIM, and low operational complexity, all at once. App Gateway alone cannot do global routing or multi-region failover; the combined pattern can, but at the highest cost and complexity.</w:t>
      </w:r>
    </w:p>
    <w:p>
      <w:pPr>
        <w:spacing w:after="80"/>
      </w:pPr>
      <w:r>
        <w:rPr>
          <w:rFonts w:ascii="Noe Text" w:cs="Noe Text" w:eastAsia="Noe Text" w:hAnsi="Noe Text"/>
          <w:b/>
          <w:bCs/>
          <w:color w:val="1E2761"/>
          <w:sz w:val="21"/>
          <w:szCs w:val="21"/>
        </w:rPr>
        <w:t xml:space="preserve">Trade-offs accepted: </w:t>
      </w:r>
      <w:r>
        <w:rPr>
          <w:rFonts w:ascii="Noe Text" w:cs="Noe Text" w:eastAsia="Noe Text" w:hAnsi="Noe Text"/>
          <w:color w:val="333333"/>
          <w:sz w:val="21"/>
          <w:szCs w:val="21"/>
        </w:rPr>
        <w:t xml:space="preserve">A moderate cost premium over App Gateway alone, and less defence-in-depth than running both. Both are accepted because the Organization’s traffic is all HTTPS API traffic that benefits from edge security and needs multi-region DR, which is exactly what Front Door provides natively.</w:t>
      </w:r>
    </w:p>
    <w:p>
      <w:pPr>
        <w:spacing w:after="140"/>
      </w:pPr>
      <w:r>
        <w:rPr>
          <w:rFonts w:ascii="Noe Text" w:cs="Noe Text" w:eastAsia="Noe Text" w:hAnsi="Noe Text"/>
          <w:i/>
          <w:iCs/>
          <w:color w:val="333333"/>
          <w:sz w:val="21"/>
          <w:szCs w:val="21"/>
        </w:rPr>
        <w:t xml:space="preserve">The full end-to-end network topology behind this choice is shown in section 7; the conditions under which the other two options would win are set out in the matrix above (Network and Connectivity Design).</w:t>
      </w:r>
    </w:p>
    <w:p>
      <w:pPr>
        <w:pStyle w:val="Heading2"/>
      </w:pPr>
      <w:r>
        <w:t>APIM Deployment Mode Decision</w:t>
      </w:r>
    </w:p>
    <w:p>
      <w:pPr>
        <w:spacing w:after="140"/>
      </w:pPr>
      <w:r>
        <w:rPr>
          <w:rFonts w:ascii="Noe Text" w:cs="Noe Text" w:eastAsia="Noe Text" w:hAnsi="Noe Text"/>
          <w:color w:val="333333"/>
          <w:sz w:val="21"/>
          <w:szCs w:val="21"/>
        </w:rPr>
        <w:t xml:space="preserve">The second key choice is how APIM is exposed: internet-facing (external) or private (internal). The options and the 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5400"/>
        <w:gridCol w:w="1800"/>
      </w:tblGrid>
      <w:tr>
        <w:trPr>
          <w:tblHeader/>
        </w:trPr>
        <w:tc>
          <w:tcPr>
            <w:tcW w:type="dxa" w:w="2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Option</w:t>
            </w:r>
          </w:p>
        </w:tc>
        <w:tc>
          <w:tcPr>
            <w:tcW w:type="dxa" w:w="54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What it means</w:t>
            </w:r>
          </w:p>
        </w:tc>
        <w:tc>
          <w:tcPr>
            <w:tcW w:type="dxa" w:w="18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Chosen?</w:t>
            </w:r>
          </w:p>
        </w:tc>
      </w:tr>
      <w:tr>
        <w:tc>
          <w:tcPr>
            <w:tcW w:type="dxa" w:w="2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Internal (VNet) mode</w:t>
            </w:r>
          </w:p>
        </w:tc>
        <w:tc>
          <w:tcPr>
            <w:tcW w:type="dxa" w:w="5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has no public endpoint; it sits inside the VNet and is reached only through the edge service (Front Door) over Private Link</w:t>
            </w:r>
          </w:p>
        </w:tc>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2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External mode</w:t>
            </w:r>
          </w:p>
        </w:tc>
        <w:tc>
          <w:tcPr>
            <w:tcW w:type="dxa" w:w="5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has a public endpoint directly on the internet, with the edge service in front optional</w:t>
            </w:r>
          </w:p>
        </w:tc>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w:t>
            </w:r>
          </w:p>
        </w:tc>
      </w:tr>
    </w:tbl>
    <w:p>
      <w:pPr>
        <w:spacing w:after="80"/>
      </w:pPr>
      <w:r>
        <w:rPr>
          <w:rFonts w:ascii="Noe Text" w:cs="Noe Text" w:eastAsia="Noe Text" w:hAnsi="Noe Text"/>
          <w:b/>
          <w:bCs/>
          <w:color w:val="1E2761"/>
          <w:sz w:val="21"/>
          <w:szCs w:val="21"/>
        </w:rPr>
        <w:t xml:space="preserve">Recommendation: </w:t>
      </w:r>
      <w:r>
        <w:rPr>
          <w:rFonts w:ascii="Noe Text" w:cs="Noe Text" w:eastAsia="Noe Text" w:hAnsi="Noe Text"/>
          <w:color w:val="333333"/>
          <w:sz w:val="21"/>
          <w:szCs w:val="21"/>
        </w:rPr>
        <w:t xml:space="preserve">APIM in internal (VNet) mode, reached only through Azure Front Door over Private Link.</w:t>
      </w:r>
    </w:p>
    <w:p>
      <w:pPr>
        <w:spacing w:after="80"/>
      </w:pPr>
      <w:r>
        <w:rPr>
          <w:rFonts w:ascii="Noe Text" w:cs="Noe Text" w:eastAsia="Noe Text" w:hAnsi="Noe Text"/>
          <w:b/>
          <w:bCs/>
          <w:color w:val="1E2761"/>
          <w:sz w:val="21"/>
          <w:szCs w:val="21"/>
        </w:rPr>
        <w:t xml:space="preserve">Why selected: </w:t>
      </w:r>
      <w:r>
        <w:rPr>
          <w:rFonts w:ascii="Noe Text" w:cs="Noe Text" w:eastAsia="Noe Text" w:hAnsi="Noe Text"/>
          <w:color w:val="333333"/>
          <w:sz w:val="21"/>
          <w:szCs w:val="21"/>
        </w:rPr>
        <w:t xml:space="preserve">It removes APIM’s public attack surface entirely, gives the smallest possible exposure, and is Microsoft’s recommended pattern for a governed enterprise gateway; it also enables Private Link between Front Door and APIM.</w:t>
      </w:r>
    </w:p>
    <w:p>
      <w:pPr>
        <w:spacing w:after="80"/>
      </w:pPr>
      <w:r>
        <w:rPr>
          <w:rFonts w:ascii="Noe Text" w:cs="Noe Text" w:eastAsia="Noe Text" w:hAnsi="Noe Text"/>
          <w:b/>
          <w:bCs/>
          <w:color w:val="1E2761"/>
          <w:sz w:val="21"/>
          <w:szCs w:val="21"/>
        </w:rPr>
        <w:t xml:space="preserve">Trade-offs accepted: </w:t>
      </w:r>
      <w:r>
        <w:rPr>
          <w:rFonts w:ascii="Noe Text" w:cs="Noe Text" w:eastAsia="Noe Text" w:hAnsi="Noe Text"/>
          <w:color w:val="333333"/>
          <w:sz w:val="21"/>
          <w:szCs w:val="21"/>
        </w:rPr>
        <w:t xml:space="preserve">More network configuration up front (VNet injection, Private Endpoints, DNS), accepted because nothing is then reachable from the internet except through the inspected edge path.</w:t>
      </w:r>
    </w:p>
    <w:p>
      <w:pPr>
        <w:spacing w:after="140"/>
      </w:pPr>
      <w:r>
        <w:rPr>
          <w:rFonts w:ascii="Noe Text" w:cs="Noe Text" w:eastAsia="Noe Text" w:hAnsi="Noe Text"/>
          <w:i/>
          <w:iCs/>
          <w:color w:val="333333"/>
          <w:sz w:val="21"/>
          <w:szCs w:val="21"/>
        </w:rPr>
        <w:t xml:space="preserve">The concrete network topology that implements this choice, Front Door + WAF in front of an internal-mode APIM, is shown in section 7.</w:t>
      </w:r>
    </w:p>
    <w:p>
      <w:pPr>
        <w:pStyle w:val="Heading2"/>
      </w:pPr>
      <w:r>
        <w:t>APIM Tier Decision</w:t>
      </w:r>
    </w:p>
    <w:p>
      <w:pPr>
        <w:spacing w:after="140"/>
      </w:pPr>
      <w:r>
        <w:rPr>
          <w:rFonts w:ascii="Noe Text" w:cs="Noe Text" w:eastAsia="Noe Text" w:hAnsi="Noe Text"/>
          <w:color w:val="333333"/>
          <w:sz w:val="21"/>
          <w:szCs w:val="21"/>
        </w:rPr>
        <w:t xml:space="preserve">The third key choice is the APIM tier. The two viable options and the 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00"/>
      </w:tblGrid>
      <w:tr>
        <w:trPr>
          <w:tblHeader/>
        </w:trPr>
        <w:tc>
          <w:tcPr>
            <w:tcW w:type="dxa" w:w="33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Capability</w:t>
            </w:r>
          </w:p>
        </w:tc>
        <w:tc>
          <w:tcPr>
            <w:tcW w:type="dxa" w:w="30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Classic Premium</w:t>
            </w:r>
          </w:p>
        </w:tc>
        <w:tc>
          <w:tcPr>
            <w:tcW w:type="dxa" w:w="30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Premium v2</w:t>
            </w:r>
          </w:p>
        </w:tc>
      </w:tr>
      <w:t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Multi-region deployment</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Not yet (on Microsoft’s roadmap)</w:t>
            </w:r>
          </w:p>
        </w:tc>
      </w:tr>
      <w:t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Workspaces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networking</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Simpler networking (no control-plane bypass)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r>
      <w:t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Enterprise maturity</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Established</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Growing</w:t>
            </w:r>
          </w:p>
        </w:tc>
      </w:tr>
      <w:tr>
        <w:tc>
          <w:tcPr>
            <w:tcW w:type="dxa" w:w="33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Chosen?</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3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(for now)</w:t>
            </w:r>
          </w:p>
        </w:tc>
      </w:tr>
    </w:tbl>
    <w:p>
      <w:pPr>
        <w:spacing w:after="80"/>
      </w:pPr>
      <w:r>
        <w:rPr>
          <w:rFonts w:ascii="Noe Text" w:cs="Noe Text" w:eastAsia="Noe Text" w:hAnsi="Noe Text"/>
          <w:b/>
          <w:bCs/>
          <w:color w:val="1E2761"/>
          <w:sz w:val="21"/>
          <w:szCs w:val="21"/>
        </w:rPr>
        <w:t xml:space="preserve">Recommendation: </w:t>
      </w:r>
      <w:r>
        <w:rPr>
          <w:rFonts w:ascii="Noe Text" w:cs="Noe Text" w:eastAsia="Noe Text" w:hAnsi="Noe Text"/>
          <w:color w:val="333333"/>
          <w:sz w:val="21"/>
          <w:szCs w:val="21"/>
        </w:rPr>
        <w:t xml:space="preserve">Classic Premium, deployed multi-region.</w:t>
      </w:r>
    </w:p>
    <w:p>
      <w:pPr>
        <w:spacing w:after="80"/>
      </w:pPr>
      <w:r>
        <w:rPr>
          <w:rFonts w:ascii="Noe Text" w:cs="Noe Text" w:eastAsia="Noe Text" w:hAnsi="Noe Text"/>
          <w:b/>
          <w:bCs/>
          <w:color w:val="1E2761"/>
          <w:sz w:val="21"/>
          <w:szCs w:val="21"/>
        </w:rPr>
        <w:t xml:space="preserve">Why selected: </w:t>
      </w:r>
      <w:r>
        <w:rPr>
          <w:rFonts w:ascii="Noe Text" w:cs="Noe Text" w:eastAsia="Noe Text" w:hAnsi="Noe Text"/>
          <w:color w:val="333333"/>
          <w:sz w:val="21"/>
          <w:szCs w:val="21"/>
        </w:rPr>
        <w:t xml:space="preserve">It is the only tier that supports multi-region deployment today, which the active-active resilience model (section 15) requires; Premium v2 does not yet offer this.</w:t>
      </w:r>
    </w:p>
    <w:p>
      <w:pPr>
        <w:spacing w:after="80"/>
      </w:pPr>
      <w:r>
        <w:rPr>
          <w:rFonts w:ascii="Noe Text" w:cs="Noe Text" w:eastAsia="Noe Text" w:hAnsi="Noe Text"/>
          <w:b/>
          <w:bCs/>
          <w:color w:val="1E2761"/>
          <w:sz w:val="21"/>
          <w:szCs w:val="21"/>
        </w:rPr>
        <w:t xml:space="preserve">Trade-offs accepted: </w:t>
      </w:r>
      <w:r>
        <w:rPr>
          <w:rFonts w:ascii="Noe Text" w:cs="Noe Text" w:eastAsia="Noe Text" w:hAnsi="Noe Text"/>
          <w:color w:val="333333"/>
          <w:sz w:val="21"/>
          <w:szCs w:val="21"/>
        </w:rPr>
        <w:t xml:space="preserve">Classic Premium is the older line and carries migration debt (no automated upgrade path to v2, and it needs the control-plane bypass route that v2 removes), accepted because multi-region is needed from day one. If that requirement relaxes, Premium v2 becomes the better choice; this is tracked as an open item (assumptions register, section 17.7).</w:t>
      </w:r>
    </w:p>
    <w:p w14:paraId="4128AF8B"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9" w:name="_Toc240539734"/>
      <w:r>
        <w:rPr>
          <w:rFonts w:asciiTheme="minorHAnsi" w:eastAsia="Times New Roman" w:hAnsiTheme="minorHAnsi" w:cs="Times New Roman"/>
          <w:b w:val="0"/>
          <w:color w:val="132040" w:themeColor="accent1" w:themeShade="BF"/>
          <w:sz w:val="24"/>
          <w:szCs w:val="26"/>
          <w:lang w:eastAsia="en-US"/>
        </w:rPr>
        <w:t>Requirements Traceability</w:t>
      </w:r>
      <w:bookmarkEnd w:id="9"/>
    </w:p>
    <w:p w14:paraId="50E35005" w14:textId="77777777" w:rsidR="002D25EA" w:rsidRDefault="002D25EA" w:rsidP="002D25EA">
      <w:pPr>
        <w:spacing w:after="140"/>
      </w:pPr>
      <w:r>
        <w:t>Where this design departs from or interprets a stated requirement, the decision is traced explicitly. The clearest example is global routing: the Systems Integration Framework references Traffic Manager, and this design selects Azure Front Door instead, with the comparison and justification set out in section 8. Confirmation of whether the Traffic Manager reference is a hard mandate is an open item in the assumptions register (section 17.7).</w:t>
      </w:r>
    </w:p>
    <w:p w14:paraId="66AEF57C" w14:textId="77777777" w:rsidR="002D25EA" w:rsidRPr="002D25EA" w:rsidRDefault="002D25EA" w:rsidP="002D25EA">
      <w:pPr>
        <w:pStyle w:val="Heading1"/>
        <w:pageBreakBefore/>
        <w:spacing w:after="0"/>
        <w:ind w:left="426" w:hanging="432"/>
        <w:rPr>
          <w:rFonts w:asciiTheme="minorHAnsi" w:eastAsiaTheme="minorHAnsi" w:hAnsiTheme="minorHAnsi" w:cstheme="minorBidi"/>
          <w:b w:val="0"/>
          <w:bCs w:val="0"/>
          <w:color w:val="000000" w:themeColor="text1" w:themeShade="80"/>
          <w:sz w:val="24"/>
          <w:szCs w:val="20"/>
          <w:lang w:eastAsia="en-US"/>
        </w:rPr>
      </w:pPr>
      <w:bookmarkStart w:id="10" w:name="_Toc240539735"/>
      <w:r>
        <w:rPr>
          <w:rFonts w:asciiTheme="minorHAnsi" w:eastAsiaTheme="minorHAnsi" w:hAnsiTheme="minorHAnsi" w:cstheme="minorBidi"/>
          <w:b w:val="0"/>
          <w:bCs w:val="0"/>
          <w:color w:val="000000" w:themeColor="text1" w:themeShade="80"/>
          <w:sz w:val="24"/>
          <w:szCs w:val="20"/>
          <w:lang w:eastAsia="en-US"/>
        </w:rPr>
        <w:lastRenderedPageBreak/>
        <w:t>Architecture Context and Scope</w:t>
      </w:r>
      <w:bookmarkEnd w:id="10"/>
    </w:p>
    <w:p w14:paraId="1BC08DFA"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1" w:name="_Toc240539736"/>
      <w:r>
        <w:rPr>
          <w:rFonts w:asciiTheme="minorHAnsi" w:eastAsia="Times New Roman" w:hAnsiTheme="minorHAnsi" w:cs="Times New Roman"/>
          <w:b w:val="0"/>
          <w:color w:val="132040" w:themeColor="accent1" w:themeShade="BF"/>
          <w:sz w:val="24"/>
          <w:szCs w:val="26"/>
          <w:lang w:eastAsia="en-US"/>
        </w:rPr>
        <w:t>Scope</w:t>
      </w:r>
      <w:bookmarkEnd w:id="11"/>
    </w:p>
    <w:p w14:paraId="45137E6C" w14:textId="77777777" w:rsidR="002D25EA" w:rsidRPr="002D25EA" w:rsidRDefault="002D25EA" w:rsidP="00284C6E">
      <w:pPr>
        <w:rPr>
          <w:rFonts w:asciiTheme="minorHAnsi" w:eastAsia="Times New Roman" w:hAnsiTheme="minorHAnsi" w:cs="Times New Roman"/>
          <w:b/>
          <w:color w:val="132040" w:themeColor="accent1" w:themeShade="BF"/>
          <w:sz w:val="24"/>
          <w:szCs w:val="26"/>
          <w:lang w:eastAsia="en-US"/>
        </w:rPr>
      </w:pPr>
      <w:r>
        <w:t xml:space="preserve">This High-Level Design covers the introduction of Azure API Management as the enterprise API gateway for the Organization: its architecture, network integration (including the existing Palo Alto firewall), security, API governance and lifecycle, observability, high availability and disaster recovery, and cost. It covers the platform and the pattern for onboarding APIs onto it. It does not cover the detailed configuration of individual backend systems, nor device-level firewall configuration, which are </w:t>
      </w:r>
      <w:r>
        <w:rPr>
          <w:rFonts w:asciiTheme="minorHAnsi" w:eastAsia="Times New Roman" w:hAnsiTheme="minorHAnsi" w:cs="Times New Roman"/>
          <w:color w:val="132040" w:themeColor="accent1" w:themeShade="BF"/>
          <w:sz w:val="24"/>
          <w:szCs w:val="26"/>
          <w:lang w:eastAsia="en-US"/>
        </w:rPr>
        <w:t>detailed-design activities.</w:t>
      </w:r>
    </w:p>
    <w:p w14:paraId="17E5BD78"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2" w:name="_Toc240539737"/>
      <w:r>
        <w:rPr>
          <w:rFonts w:asciiTheme="minorHAnsi" w:eastAsia="Times New Roman" w:hAnsiTheme="minorHAnsi" w:cs="Times New Roman"/>
          <w:b w:val="0"/>
          <w:color w:val="132040" w:themeColor="accent1" w:themeShade="BF"/>
          <w:sz w:val="24"/>
          <w:szCs w:val="26"/>
          <w:lang w:eastAsia="en-US"/>
        </w:rPr>
        <w:t>Target Audience</w:t>
      </w:r>
      <w:bookmarkEnd w:id="12"/>
    </w:p>
    <w:p w14:paraId="63A25BF7" w14:textId="77777777" w:rsidR="002D25EA" w:rsidRDefault="002D25EA" w:rsidP="002D25EA">
      <w:pPr>
        <w:spacing w:after="140"/>
      </w:pPr>
      <w:r>
        <w:t>This document is intended for the Organization’s Technical Design Authority, enterprise and solution architects, and the platform, networking, security and integration teams who will build and operate the platform. It assumes familiarity with Azure and with enterprise integration concepts.</w:t>
      </w:r>
    </w:p>
    <w:p w14:paraId="7A9269F7"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3" w:name="_Toc240539738"/>
      <w:r>
        <w:rPr>
          <w:rFonts w:asciiTheme="minorHAnsi" w:eastAsia="Times New Roman" w:hAnsiTheme="minorHAnsi" w:cs="Times New Roman"/>
          <w:b w:val="0"/>
          <w:color w:val="132040" w:themeColor="accent1" w:themeShade="BF"/>
          <w:sz w:val="24"/>
          <w:szCs w:val="26"/>
          <w:lang w:eastAsia="en-US"/>
        </w:rPr>
        <w:t>Current State Summary</w:t>
      </w:r>
      <w:bookmarkEnd w:id="13"/>
    </w:p>
    <w:p w14:paraId="3F03DABA" w14:textId="77777777" w:rsidR="000206BD" w:rsidRPr="000206BD" w:rsidRDefault="000206BD" w:rsidP="000206BD">
      <w:pPr>
        <w:spacing w:after="140"/>
      </w:pPr>
      <w:r>
        <w:t>Today, integrations are typically delivered on a case-by-case basis using approaches such as batch file transfers, direct database connectivity, and point-to-point point-to-point integrations. While this has successfully met business needs to date, it creates a number of challenges as the integration landscape grows.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Challenge today</w:t>
            </w:r>
          </w:p>
        </w:tc>
        <w:tc>
          <w:tcPr>
            <w:tcW w:type="dxa" w:w="67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What this means</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shared platform</w:t>
            </w:r>
          </w:p>
        </w:tc>
        <w:tc>
          <w:tcPr>
            <w:tcW w:type="dxa" w:w="6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Each new integration rebuilds security, authentication, monitoring and operational controls from scratch instead of reusing a common platform</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central visibility</w:t>
            </w:r>
          </w:p>
        </w:tc>
        <w:tc>
          <w:tcPr>
            <w:tcW w:type="dxa" w:w="6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It is difficult to see which systems exchange data, or who consumes a given service or dataset</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self-service onboarding</w:t>
            </w:r>
          </w:p>
        </w:tc>
        <w:tc>
          <w:tcPr>
            <w:tcW w:type="dxa" w:w="6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External parties cannot discover or onboard to existing capabilities; every new connection is bespoke effort</w:t>
            </w:r>
          </w:p>
        </w:tc>
      </w:tr>
    </w:tbl>
    <w:p w14:paraId="7933F0E5" w14:textId="77777777" w:rsidR="000206BD" w:rsidRPr="000206BD" w:rsidRDefault="000206BD" w:rsidP="000206BD">
      <w:pPr>
        <w:spacing w:after="140"/>
      </w:pPr>
      <w:r>
        <w:t>The current assumption is that this is a greenfield API management initiative, introducing Azure API Management as a governed API layer in front of the existing existing integration estate rather than replacing an established API gateway. This assumption should be validated as part of the discovery phase. If legacy on-premises systems need to be exposed directly through APIM, rather than through existing integration services, additional requirements such as hybrid connectivity and self-hosted gateway deployment may need to be incorporated into the design. Subject to that validation, the greenfield approach provides an opportunity to establish a consistent, scalable, and well-governed API platform from the outset without the constraints of an incumbent API management solution.</w:t>
      </w:r>
    </w:p>
    <w:p w14:paraId="541D5BE2"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4" w:name="_Toc240539739"/>
      <w:r>
        <w:rPr>
          <w:rFonts w:asciiTheme="minorHAnsi" w:eastAsia="Times New Roman" w:hAnsiTheme="minorHAnsi" w:cs="Times New Roman"/>
          <w:b w:val="0"/>
          <w:color w:val="132040" w:themeColor="accent1" w:themeShade="BF"/>
          <w:sz w:val="24"/>
          <w:szCs w:val="26"/>
          <w:lang w:eastAsia="en-US"/>
        </w:rPr>
        <w:t>Existing API and Integration Landscape</w:t>
      </w:r>
      <w:bookmarkEnd w:id="14"/>
    </w:p>
    <w:p w14:paraId="055AD8DA" w14:textId="77777777" w:rsidR="002D25EA" w:rsidRDefault="002D25EA" w:rsidP="002D25EA">
      <w:pPr>
        <w:spacing w:after="140"/>
      </w:pPr>
      <w:r>
        <w:t>the Organization’s current integration landscape is built on point-to-point integrations, each wired directly to the system it connects, alongside batch files and direct database links. There is no central API gateway, catalogue or consistent security model today. This design adds APIM in front of that existing integration estate rather than replacing it.</w:t>
      </w:r>
    </w:p>
    <w:p w14:paraId="7CC594C1"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5" w:name="_Toc240539740"/>
      <w:r>
        <w:rPr>
          <w:rFonts w:asciiTheme="minorHAnsi" w:eastAsia="Times New Roman" w:hAnsiTheme="minorHAnsi" w:cs="Times New Roman"/>
          <w:b w:val="0"/>
          <w:color w:val="132040" w:themeColor="accent1" w:themeShade="BF"/>
          <w:sz w:val="24"/>
          <w:szCs w:val="26"/>
          <w:lang w:eastAsia="en-US"/>
        </w:rPr>
        <w:t>Current API Consumption and Exposure Model</w:t>
      </w:r>
      <w:bookmarkEnd w:id="15"/>
    </w:p>
    <w:p w14:paraId="42E8AAB2" w14:textId="77777777" w:rsidR="002D25EA" w:rsidRDefault="002D25EA" w:rsidP="002D25EA">
      <w:pPr>
        <w:spacing w:after="140"/>
      </w:pPr>
      <w:r>
        <w:t>Today, consumers, whether internal systems or external partners, integrate through bespoke point-to-point connections. There is no self-service discovery, no product or subscription model, and partners cannot self-onboard. The target consumption and exposure model is set out in section 10.</w:t>
      </w:r>
    </w:p>
    <w:p w14:paraId="3B81B891" w14:textId="77777777" w:rsidR="002D25EA" w:rsidRPr="002D25EA" w:rsidRDefault="002D25EA" w:rsidP="002D25EA">
      <w:pPr>
        <w:pStyle w:val="Heading1"/>
        <w:pageBreakBefore/>
        <w:spacing w:after="0"/>
        <w:ind w:left="426" w:hanging="432"/>
        <w:rPr>
          <w:rFonts w:asciiTheme="minorHAnsi" w:eastAsiaTheme="minorHAnsi" w:hAnsiTheme="minorHAnsi" w:cstheme="minorBidi"/>
          <w:b w:val="0"/>
          <w:bCs w:val="0"/>
          <w:color w:val="000000" w:themeColor="text1" w:themeShade="80"/>
          <w:sz w:val="24"/>
          <w:szCs w:val="20"/>
          <w:lang w:eastAsia="en-US"/>
        </w:rPr>
      </w:pPr>
      <w:bookmarkStart w:id="16" w:name="_Toc240539741"/>
      <w:r>
        <w:rPr>
          <w:rFonts w:asciiTheme="minorHAnsi" w:eastAsiaTheme="minorHAnsi" w:hAnsiTheme="minorHAnsi" w:cstheme="minorBidi"/>
          <w:b w:val="0"/>
          <w:bCs w:val="0"/>
          <w:color w:val="000000" w:themeColor="text1" w:themeShade="80"/>
          <w:sz w:val="24"/>
          <w:szCs w:val="20"/>
          <w:lang w:eastAsia="en-US"/>
        </w:rPr>
        <w:lastRenderedPageBreak/>
        <w:t>APIM Role and Positioning</w:t>
      </w:r>
      <w:bookmarkEnd w:id="16"/>
    </w:p>
    <w:p w14:paraId="610C7F52"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7" w:name="_Toc240539742"/>
      <w:r>
        <w:rPr>
          <w:rFonts w:asciiTheme="minorHAnsi" w:eastAsia="Times New Roman" w:hAnsiTheme="minorHAnsi" w:cs="Times New Roman"/>
          <w:b w:val="0"/>
          <w:color w:val="132040" w:themeColor="accent1" w:themeShade="BF"/>
          <w:sz w:val="24"/>
          <w:szCs w:val="26"/>
          <w:lang w:eastAsia="en-US"/>
        </w:rPr>
        <w:t>Architecture Principles</w:t>
      </w:r>
      <w:bookmarkEnd w:id="17"/>
    </w:p>
    <w:p w14:paraId="0EDA285B" w14:textId="5E22F0E6" w:rsidR="007C3CE8" w:rsidRDefault="007C3CE8" w:rsidP="007C3CE8">
      <w:pPr>
        <w:spacing w:after="140"/>
      </w:pPr>
      <w:r>
        <w:t>Azure API Management provides a single, governed ingress point for all enterprise APIs. Every API request is routed through APIM, where authentication, authorisation, traffic management, monitoring, and policy enforcement are applied before access to backend services is permitted. The core principle is that APIM acts as the mandatory ingress for all APIs governed by the enterprise API management capability, with exceptions requiring formal architectural approval. This is supported by principles of federated identity for every call, centralised secret management, private connectivity to backend services, and fully automated infrastructure deployment.</w:t>
      </w:r>
    </w:p>
    <w:p>
      <w:pPr>
        <w:spacing w:after="140"/>
      </w:pPr>
      <w:r>
        <w:rPr>
          <w:i/>
          <w:iCs/>
          <w:color w:val="333333"/>
          <w:sz w:val="21"/>
          <w:szCs w:val="21"/>
        </w:rPr>
        <w:t xml:space="preserve">What this means in practice: every API call is checked against Entra ID rather than a locally-stored password, every secret lives in Key Vault rather than in code or config files, nothing reaches a backend system directly from the internet, and every change to the platform is made through a reviewed pipeline rather than by hand. None of these are optional add-ons; they are the baseline every API on this platform gets by default.</w:t>
      </w:r>
    </w:p>
    <w:p>
      <w:pPr>
        <w:spacing w:after="140"/>
      </w:pPr>
      <w:r>
        <w:rPr>
          <w:rFonts w:ascii="Noe Text" w:cs="Noe Text" w:eastAsia="Noe Text" w:hAnsi="Noe Text"/>
          <w:color w:val="333333"/>
          <w:sz w:val="21"/>
          <w:szCs w:val="21"/>
        </w:rPr>
        <w:t xml:space="preserve">These five principles are the non-negotiable rules every API on the platform follows. The diagram after them shows the layer order they enforce:</w:t>
      </w:r>
    </w:p>
    <w:p>
      <w:pPr>
        <w:spacing w:after="70"/>
      </w:pPr>
      <w:r>
        <w:rPr>
          <w:rFonts w:ascii="Noe Text" w:cs="Noe Text" w:eastAsia="Noe Text" w:hAnsi="Noe Text"/>
          <w:b/>
          <w:bCs/>
          <w:color w:val="1E2761"/>
          <w:sz w:val="21"/>
          <w:szCs w:val="21"/>
        </w:rPr>
        <w:t xml:space="preserve">Principle 1: </w:t>
      </w:r>
      <w:r>
        <w:rPr>
          <w:rFonts w:ascii="Noe Text" w:cs="Noe Text" w:eastAsia="Noe Text" w:hAnsi="Noe Text"/>
          <w:color w:val="333333"/>
          <w:sz w:val="21"/>
          <w:szCs w:val="21"/>
        </w:rPr>
        <w:t xml:space="preserve">All internet-facing traffic enters through a managed edge security layer (Azure Front Door + WAF).</w:t>
      </w:r>
    </w:p>
    <w:p>
      <w:pPr>
        <w:spacing w:after="70"/>
      </w:pPr>
      <w:r>
        <w:rPr>
          <w:rFonts w:ascii="Noe Text" w:cs="Noe Text" w:eastAsia="Noe Text" w:hAnsi="Noe Text"/>
          <w:b/>
          <w:bCs/>
          <w:color w:val="1E2761"/>
          <w:sz w:val="21"/>
          <w:szCs w:val="21"/>
        </w:rPr>
        <w:t xml:space="preserve">Principle 2: </w:t>
      </w:r>
      <w:r>
        <w:rPr>
          <w:rFonts w:ascii="Noe Text" w:cs="Noe Text" w:eastAsia="Noe Text" w:hAnsi="Noe Text"/>
          <w:color w:val="333333"/>
          <w:sz w:val="21"/>
          <w:szCs w:val="21"/>
        </w:rPr>
        <w:t xml:space="preserve">APIM is never exposed directly to the internet.</w:t>
      </w:r>
    </w:p>
    <w:p>
      <w:pPr>
        <w:spacing w:after="70"/>
      </w:pPr>
      <w:r>
        <w:rPr>
          <w:rFonts w:ascii="Noe Text" w:cs="Noe Text" w:eastAsia="Noe Text" w:hAnsi="Noe Text"/>
          <w:b/>
          <w:bCs/>
          <w:color w:val="1E2761"/>
          <w:sz w:val="21"/>
          <w:szCs w:val="21"/>
        </w:rPr>
        <w:t xml:space="preserve">Principle 3: </w:t>
      </w:r>
      <w:r>
        <w:rPr>
          <w:rFonts w:ascii="Noe Text" w:cs="Noe Text" w:eastAsia="Noe Text" w:hAnsi="Noe Text"/>
          <w:color w:val="333333"/>
          <w:sz w:val="21"/>
          <w:szCs w:val="21"/>
        </w:rPr>
        <w:t xml:space="preserve">Security controls are enforced as close to the user as possible, at the edge, not left to the backend.</w:t>
      </w:r>
    </w:p>
    <w:p>
      <w:pPr>
        <w:spacing w:after="70"/>
      </w:pPr>
      <w:r>
        <w:rPr>
          <w:rFonts w:ascii="Noe Text" w:cs="Noe Text" w:eastAsia="Noe Text" w:hAnsi="Noe Text"/>
          <w:b/>
          <w:bCs/>
          <w:color w:val="1E2761"/>
          <w:sz w:val="21"/>
          <w:szCs w:val="21"/>
        </w:rPr>
        <w:t xml:space="preserve">Principle 4: </w:t>
      </w:r>
      <w:r>
        <w:rPr>
          <w:rFonts w:ascii="Noe Text" w:cs="Noe Text" w:eastAsia="Noe Text" w:hAnsi="Noe Text"/>
          <w:color w:val="333333"/>
          <w:sz w:val="21"/>
          <w:szCs w:val="21"/>
        </w:rPr>
        <w:t xml:space="preserve">Identity is centralised through Microsoft Entra ID.</w:t>
      </w:r>
    </w:p>
    <w:p>
      <w:pPr>
        <w:spacing w:after="70"/>
      </w:pPr>
      <w:r>
        <w:rPr>
          <w:rFonts w:ascii="Noe Text" w:cs="Noe Text" w:eastAsia="Noe Text" w:hAnsi="Noe Text"/>
          <w:b/>
          <w:bCs/>
          <w:color w:val="1E2761"/>
          <w:sz w:val="21"/>
          <w:szCs w:val="21"/>
        </w:rPr>
        <w:t xml:space="preserve">Principle 5: </w:t>
      </w:r>
      <w:r>
        <w:rPr>
          <w:rFonts w:ascii="Noe Text" w:cs="Noe Text" w:eastAsia="Noe Text" w:hAnsi="Noe Text"/>
          <w:color w:val="333333"/>
          <w:sz w:val="21"/>
          <w:szCs w:val="21"/>
        </w:rPr>
        <w:t xml:space="preserve">Secrets are centralised through Azure Key Vault.</w:t>
      </w:r>
    </w:p>
    <w:p>
      <w:pPr>
        <w:spacing w:after="120" w:before="120"/>
        <w:jc w:val="center"/>
      </w:pPr>
      <w:r>
        <w:drawing>
          <wp:inline distT="0" distB="0" distL="0" distR="0">
            <wp:extent cx="3657600" cy="2706624"/>
            <wp:effectExtent l="0" t="0" r="0" b="0"/>
            <wp:docPr id="9101" name="Principles lay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0"/>
                    <a:srcRect/>
                    <a:stretch>
                      <a:fillRect/>
                    </a:stretch>
                  </pic:blipFill>
                  <pic:spPr bwMode="auto">
                    <a:xfrm>
                      <a:off x="0" y="0"/>
                      <a:ext cx="3657600" cy="2706624"/>
                    </a:xfrm>
                    <a:prstGeom prst="rect">
                      <a:avLst/>
                    </a:prstGeom>
                  </pic:spPr>
                </pic:pic>
              </a:graphicData>
            </a:graphic>
          </wp:inline>
        </w:drawing>
      </w:r>
    </w:p>
    <w:p>
      <w:pPr>
        <w:spacing w:after="180"/>
        <w:jc w:val="center"/>
      </w:pPr>
      <w:r>
        <w:rPr>
          <w:i/>
          <w:iCs/>
          <w:color w:val="666666"/>
          <w:sz w:val="18"/>
          <w:szCs w:val="18"/>
        </w:rPr>
        <w:t>Figure 1a: The mandatory layer order every request follows</w:t>
      </w:r>
    </w:p>
    <w:p w14:paraId="49942776" w14:textId="77777777" w:rsidR="007C3CE8" w:rsidRPr="007C3CE8" w:rsidRDefault="007C3CE8" w:rsidP="007C3CE8">
      <w:pPr>
        <w:spacing w:after="14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499E14F5" w14:textId="77777777" w:rsidTr="00284C6E">
        <w:trPr>
          <w:tblHeader/>
        </w:trPr>
        <w:tc>
          <w:tcPr>
            <w:tcW w:w="4650" w:type="dxa"/>
            <w:shd w:val="clear" w:color="auto" w:fill="C1CDEC" w:themeFill="accent1" w:themeFillTint="33"/>
            <w:tcMar>
              <w:top w:w="70" w:type="dxa"/>
              <w:left w:w="100" w:type="dxa"/>
              <w:bottom w:w="70" w:type="dxa"/>
              <w:right w:w="100" w:type="dxa"/>
            </w:tcMar>
            <w:vAlign w:val="center"/>
          </w:tcPr>
          <w:p w14:paraId="76564CCD" w14:textId="77777777" w:rsidR="002D25EA" w:rsidRPr="00284C6E" w:rsidRDefault="002D25EA" w:rsidP="00D9409F">
            <w:pPr>
              <w:rPr>
                <w:color w:val="000000" w:themeColor="text1"/>
                <w:sz w:val="20"/>
                <w:szCs w:val="20"/>
              </w:rPr>
            </w:pPr>
            <w:r>
              <w:rPr>
                <w:b/>
                <w:bCs/>
                <w:color w:val="000000" w:themeColor="text1"/>
                <w:sz w:val="20"/>
                <w:szCs w:val="20"/>
              </w:rPr>
              <w:t>Traffic type</w:t>
            </w:r>
          </w:p>
        </w:tc>
        <w:tc>
          <w:tcPr>
            <w:tcW w:w="4650" w:type="dxa"/>
            <w:shd w:val="clear" w:color="auto" w:fill="C1CDEC" w:themeFill="accent1" w:themeFillTint="33"/>
            <w:tcMar>
              <w:top w:w="70" w:type="dxa"/>
              <w:left w:w="100" w:type="dxa"/>
              <w:bottom w:w="70" w:type="dxa"/>
              <w:right w:w="100" w:type="dxa"/>
            </w:tcMar>
            <w:vAlign w:val="center"/>
          </w:tcPr>
          <w:p w14:paraId="67CD4A08" w14:textId="77777777" w:rsidR="002D25EA" w:rsidRPr="00284C6E" w:rsidRDefault="002D25EA" w:rsidP="00D9409F">
            <w:pPr>
              <w:rPr>
                <w:color w:val="000000" w:themeColor="text1"/>
                <w:sz w:val="20"/>
                <w:szCs w:val="20"/>
              </w:rPr>
            </w:pPr>
            <w:r>
              <w:rPr>
                <w:b/>
                <w:bCs/>
                <w:color w:val="000000" w:themeColor="text1"/>
                <w:sz w:val="20"/>
                <w:szCs w:val="20"/>
              </w:rPr>
              <w:t>Route</w:t>
            </w:r>
          </w:p>
        </w:tc>
      </w:tr>
      <w:tr w:rsidR="002D25EA" w14:paraId="763CE4BD" w14:textId="77777777" w:rsidTr="00D9409F">
        <w:tc>
          <w:tcPr>
            <w:tcW w:w="4650" w:type="dxa"/>
            <w:tcMar>
              <w:top w:w="70" w:type="dxa"/>
              <w:left w:w="100" w:type="dxa"/>
              <w:bottom w:w="70" w:type="dxa"/>
              <w:right w:w="100" w:type="dxa"/>
            </w:tcMar>
            <w:vAlign w:val="center"/>
          </w:tcPr>
          <w:p w14:paraId="4BCD1778" w14:textId="77777777" w:rsidR="00593888" w:rsidRPr="00593888" w:rsidRDefault="00593888" w:rsidP="00593888">
            <w:pPr>
              <w:rPr>
                <w:color w:val="000000" w:themeColor="text1"/>
                <w:sz w:val="20"/>
                <w:szCs w:val="20"/>
              </w:rPr>
            </w:pPr>
            <w:r>
              <w:rPr>
                <w:color w:val="000000" w:themeColor="text1"/>
                <w:sz w:val="20"/>
                <w:szCs w:val="20"/>
              </w:rPr>
              <w:t>External consumer to organisational API</w:t>
            </w:r>
          </w:p>
          <w:p w14:paraId="5096E51A" w14:textId="6588CA7D"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5A5FAB9D" w14:textId="77777777" w:rsidR="00B97A46" w:rsidRPr="00B97A46" w:rsidRDefault="00B97A46" w:rsidP="00B97A46">
            <w:pPr>
              <w:rPr>
                <w:color w:val="000000" w:themeColor="text1"/>
                <w:sz w:val="20"/>
                <w:szCs w:val="20"/>
              </w:rPr>
            </w:pPr>
            <w:r>
              <w:rPr>
                <w:color w:val="000000" w:themeColor="text1"/>
                <w:sz w:val="20"/>
                <w:szCs w:val="20"/>
              </w:rPr>
              <w:t>External Consumer → Edge Service (Azure Front Door) → APIM External Gateway → Backend Service</w:t>
            </w:r>
          </w:p>
          <w:p w14:paraId="47DFF814" w14:textId="25DAEA6A" w:rsidR="002D25EA" w:rsidRPr="00284C6E" w:rsidRDefault="002D25EA" w:rsidP="0017165F">
            <w:pPr>
              <w:rPr>
                <w:color w:val="000000" w:themeColor="text1"/>
                <w:sz w:val="20"/>
                <w:szCs w:val="20"/>
              </w:rPr>
            </w:pPr>
          </w:p>
        </w:tc>
      </w:tr>
      <w:tr w:rsidR="002D25EA" w14:paraId="1ECF378B" w14:textId="77777777" w:rsidTr="00D9409F">
        <w:tc>
          <w:tcPr>
            <w:tcW w:w="4650" w:type="dxa"/>
            <w:tcMar>
              <w:top w:w="70" w:type="dxa"/>
              <w:left w:w="100" w:type="dxa"/>
              <w:bottom w:w="70" w:type="dxa"/>
              <w:right w:w="100" w:type="dxa"/>
            </w:tcMar>
            <w:vAlign w:val="center"/>
          </w:tcPr>
          <w:p w14:paraId="218019C4" w14:textId="77777777" w:rsidR="00593888" w:rsidRPr="00593888" w:rsidRDefault="00593888" w:rsidP="00593888">
            <w:pPr>
              <w:rPr>
                <w:color w:val="000000" w:themeColor="text1"/>
                <w:sz w:val="20"/>
                <w:szCs w:val="20"/>
              </w:rPr>
            </w:pPr>
            <w:r>
              <w:rPr>
                <w:color w:val="000000" w:themeColor="text1"/>
                <w:sz w:val="20"/>
                <w:szCs w:val="20"/>
              </w:rPr>
              <w:t>Internal application to organisational API</w:t>
            </w:r>
          </w:p>
          <w:p w14:paraId="19201FD2" w14:textId="7FCAC8A3"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33213C10" w14:textId="77777777" w:rsidR="00B97A46" w:rsidRPr="00B97A46" w:rsidRDefault="00B97A46" w:rsidP="00B97A46">
            <w:pPr>
              <w:rPr>
                <w:color w:val="000000" w:themeColor="text1"/>
                <w:sz w:val="20"/>
                <w:szCs w:val="20"/>
              </w:rPr>
            </w:pPr>
            <w:r>
              <w:rPr>
                <w:color w:val="000000" w:themeColor="text1"/>
                <w:sz w:val="20"/>
                <w:szCs w:val="20"/>
              </w:rPr>
              <w:t>Internal Application → APIM Internal Gateway → Backend Service</w:t>
            </w:r>
          </w:p>
          <w:p w14:paraId="00718A31" w14:textId="5F82AC84" w:rsidR="002D25EA" w:rsidRPr="00284C6E" w:rsidRDefault="002D25EA" w:rsidP="00D9409F">
            <w:pPr>
              <w:rPr>
                <w:color w:val="000000" w:themeColor="text1"/>
                <w:sz w:val="20"/>
                <w:szCs w:val="20"/>
              </w:rPr>
            </w:pPr>
          </w:p>
        </w:tc>
      </w:tr>
      <w:tr w:rsidR="002D25EA" w14:paraId="36ADBDEA" w14:textId="77777777" w:rsidTr="00D9409F">
        <w:tc>
          <w:tcPr>
            <w:tcW w:w="4650" w:type="dxa"/>
            <w:tcMar>
              <w:top w:w="70" w:type="dxa"/>
              <w:left w:w="100" w:type="dxa"/>
              <w:bottom w:w="70" w:type="dxa"/>
              <w:right w:w="100" w:type="dxa"/>
            </w:tcMar>
            <w:vAlign w:val="center"/>
          </w:tcPr>
          <w:p w14:paraId="45F2511D" w14:textId="77777777" w:rsidR="00593888" w:rsidRPr="00593888" w:rsidRDefault="00593888" w:rsidP="00593888">
            <w:pPr>
              <w:rPr>
                <w:color w:val="000000" w:themeColor="text1"/>
                <w:sz w:val="20"/>
                <w:szCs w:val="20"/>
              </w:rPr>
            </w:pPr>
            <w:r>
              <w:rPr>
                <w:color w:val="000000" w:themeColor="text1"/>
                <w:sz w:val="20"/>
                <w:szCs w:val="20"/>
              </w:rPr>
              <w:t>Third-party webhook inbound</w:t>
            </w:r>
          </w:p>
          <w:p w14:paraId="0E929CC0" w14:textId="70CB6519"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7AC1164E" w14:textId="77777777" w:rsidR="00B97A46" w:rsidRPr="00B97A46" w:rsidRDefault="00B97A46" w:rsidP="00B97A46">
            <w:pPr>
              <w:rPr>
                <w:color w:val="000000" w:themeColor="text1"/>
                <w:sz w:val="20"/>
                <w:szCs w:val="20"/>
              </w:rPr>
            </w:pPr>
            <w:r>
              <w:rPr>
                <w:color w:val="000000" w:themeColor="text1"/>
                <w:sz w:val="20"/>
                <w:szCs w:val="20"/>
              </w:rPr>
              <w:t>Third Party → Edge Service (Azure Front Door) → APIM External Gateway → Function or Backend Service</w:t>
            </w:r>
          </w:p>
          <w:p w14:paraId="29943B25" w14:textId="5EC9B211" w:rsidR="002D25EA" w:rsidRPr="00284C6E" w:rsidRDefault="002D25EA" w:rsidP="00D9409F">
            <w:pPr>
              <w:rPr>
                <w:color w:val="000000" w:themeColor="text1"/>
                <w:sz w:val="20"/>
                <w:szCs w:val="20"/>
              </w:rPr>
            </w:pPr>
          </w:p>
        </w:tc>
      </w:tr>
      <w:tr w:rsidR="002D25EA" w14:paraId="7445AC8B" w14:textId="77777777" w:rsidTr="00D9409F">
        <w:tc>
          <w:tcPr>
            <w:tcW w:w="4650" w:type="dxa"/>
            <w:tcMar>
              <w:top w:w="70" w:type="dxa"/>
              <w:left w:w="100" w:type="dxa"/>
              <w:bottom w:w="70" w:type="dxa"/>
              <w:right w:w="100" w:type="dxa"/>
            </w:tcMar>
            <w:vAlign w:val="center"/>
          </w:tcPr>
          <w:p w14:paraId="3D0212B3" w14:textId="77777777" w:rsidR="0017165F" w:rsidRPr="0017165F" w:rsidRDefault="0017165F" w:rsidP="0017165F">
            <w:pPr>
              <w:rPr>
                <w:color w:val="000000" w:themeColor="text1"/>
                <w:sz w:val="20"/>
                <w:szCs w:val="20"/>
              </w:rPr>
            </w:pPr>
            <w:r>
              <w:rPr>
                <w:color w:val="000000" w:themeColor="text1"/>
                <w:sz w:val="20"/>
                <w:szCs w:val="20"/>
              </w:rPr>
              <w:t>Outbound call to third-party API</w:t>
            </w:r>
          </w:p>
          <w:p w14:paraId="425B966F" w14:textId="238EEC0A" w:rsidR="002D25EA" w:rsidRPr="00284C6E" w:rsidRDefault="002D25EA" w:rsidP="00D9409F">
            <w:pPr>
              <w:rPr>
                <w:color w:val="000000" w:themeColor="text1"/>
                <w:sz w:val="20"/>
                <w:szCs w:val="20"/>
              </w:rPr>
            </w:pPr>
          </w:p>
        </w:tc>
        <w:tc>
          <w:tcPr>
            <w:tcW w:w="4650" w:type="dxa"/>
            <w:tcMar>
              <w:top w:w="70" w:type="dxa"/>
              <w:left w:w="100" w:type="dxa"/>
              <w:bottom w:w="70" w:type="dxa"/>
              <w:right w:w="100" w:type="dxa"/>
            </w:tcMar>
            <w:vAlign w:val="center"/>
          </w:tcPr>
          <w:p w14:paraId="0521B20F" w14:textId="77777777" w:rsidR="00B97A46" w:rsidRPr="00B97A46" w:rsidRDefault="00B97A46" w:rsidP="00B97A46">
            <w:pPr>
              <w:rPr>
                <w:color w:val="000000" w:themeColor="text1"/>
                <w:sz w:val="20"/>
                <w:szCs w:val="20"/>
              </w:rPr>
            </w:pPr>
            <w:r>
              <w:rPr>
                <w:color w:val="000000" w:themeColor="text1"/>
                <w:sz w:val="20"/>
                <w:szCs w:val="20"/>
              </w:rPr>
              <w:t>Function or Application Service → APIM Outbound Gateway → Third-Party API</w:t>
            </w:r>
          </w:p>
          <w:p w14:paraId="4EA6E901" w14:textId="07A2A1B1" w:rsidR="002D25EA" w:rsidRPr="00284C6E" w:rsidRDefault="002D25EA" w:rsidP="00D9409F">
            <w:pPr>
              <w:rPr>
                <w:color w:val="000000" w:themeColor="text1"/>
                <w:sz w:val="20"/>
                <w:szCs w:val="20"/>
              </w:rPr>
            </w:pPr>
          </w:p>
        </w:tc>
      </w:tr>
    </w:tbl>
    <w:p w14:paraId="2FF940E4" w14:textId="77777777" w:rsidR="002D25EA" w:rsidRDefault="002D25EA" w:rsidP="002D25EA">
      <w:pPr>
        <w:spacing w:after="140"/>
      </w:pPr>
    </w:p>
    <w:p w14:paraId="3B8CAEAD" w14:textId="219E5DDE" w:rsidR="00B04AA7" w:rsidRDefault="00B04AA7" w:rsidP="002D25EA">
      <w:pPr>
        <w:spacing w:after="140"/>
      </w:pPr>
      <w:r>
        <w:t>APIM is the standard ingress point for all enterprise-managed APIs. Where a valid business or technical reason exists, exceptions may be approved and documented through the architecture governance process. This ensures the API boundary remains clear, secure, and governed. The edge service in this table is Azure Front Door: every external and partner path in this design passes through it before reaching APIM, and the reasoning behind that choice is set out in full in section 3.</w:t>
      </w:r>
    </w:p>
    <w:p w14:paraId="7B80C3AB"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8" w:name="_Toc240539743"/>
      <w:r>
        <w:rPr>
          <w:rFonts w:asciiTheme="minorHAnsi" w:eastAsia="Times New Roman" w:hAnsiTheme="minorHAnsi" w:cs="Times New Roman"/>
          <w:b w:val="0"/>
          <w:color w:val="132040" w:themeColor="accent1" w:themeShade="BF"/>
          <w:sz w:val="24"/>
          <w:szCs w:val="26"/>
          <w:lang w:eastAsia="en-US"/>
        </w:rPr>
        <w:t>Solution Summary</w:t>
      </w:r>
      <w:bookmarkEnd w:id="18"/>
    </w:p>
    <w:p w14:paraId="15DF7621" w14:textId="77777777" w:rsidR="002D25EA" w:rsidRDefault="002D25EA" w:rsidP="002D25EA">
      <w:pPr>
        <w:spacing w:after="140"/>
      </w:pPr>
      <w:r>
        <w:t>One control plane. One security model. Every API, internal, external, and partner, governed consistently on Azure API Management.</w:t>
      </w:r>
    </w:p>
    <w:p>
      <w:pPr>
        <w:spacing w:after="140"/>
      </w:pPr>
      <w:r>
        <w:rPr>
          <w:i/>
          <w:iCs/>
          <w:color w:val="333333"/>
          <w:sz w:val="21"/>
          <w:szCs w:val="21"/>
        </w:rPr>
        <w:t xml:space="preserve">About the diagram below: its purpose is to show how the Organization’s API estate matures over time, not to describe a single point-in-time architecture. Read it top to bottom as four stages, each building on the one before; the key takeaway is that every stage keeps the same governance model, so the Organization is never rebuilding, only extending.</w:t>
      </w:r>
    </w:p>
    <w:p w14:paraId="38C37EF8" w14:textId="77777777" w:rsidR="002D25EA" w:rsidRDefault="002D25EA" w:rsidP="002D25EA">
      <w:pPr>
        <w:spacing w:before="80" w:after="120"/>
        <w:jc w:val="center"/>
      </w:pPr>
      <w:r>
        <w:rPr>
          <w:noProof/>
        </w:rPr>
        <w:drawing>
          <wp:inline distT="0" distB="0" distL="0" distR="0" wp14:anchorId="1BBCC6E1" wp14:editId="34265851">
            <wp:extent cx="5486400" cy="2800350"/>
            <wp:effectExtent l="0" t="0" r="0" b="0"/>
            <wp:docPr id="1574554853" name="Picture 15745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800350"/>
                    </a:xfrm>
                    <a:prstGeom prst="rect">
                      <a:avLst/>
                    </a:prstGeom>
                  </pic:spPr>
                </pic:pic>
              </a:graphicData>
            </a:graphic>
          </wp:inline>
        </w:drawing>
      </w:r>
    </w:p>
    <w:p w14:paraId="3EEAC5AA" w14:textId="77777777" w:rsidR="002D25EA" w:rsidRDefault="002D25EA" w:rsidP="002D25EA">
      <w:pPr>
        <w:spacing w:after="180"/>
        <w:jc w:val="center"/>
      </w:pPr>
      <w:r>
        <w:rPr>
          <w:i/>
          <w:iCs/>
          <w:color w:val="666666"/>
          <w:sz w:val="18"/>
          <w:szCs w:val="18"/>
        </w:rPr>
        <w:lastRenderedPageBreak/>
        <w:t>Figure 1: The APIM vision, four stages from discovery to scale</w:t>
      </w:r>
    </w:p>
    <w:p w14:paraId="4FADCEDE" w14:textId="77777777" w:rsidR="002D25EA" w:rsidRDefault="002D25EA" w:rsidP="002D25EA">
      <w:pPr>
        <w:pStyle w:val="ListParagraph"/>
        <w:numPr>
          <w:ilvl w:val="0"/>
          <w:numId w:val="2"/>
        </w:numPr>
        <w:spacing w:after="70"/>
      </w:pPr>
      <w:r>
        <w:t>Establish Azure APIM as the single enterprise API gateway and system of record for every published API.</w:t>
      </w:r>
    </w:p>
    <w:p w14:paraId="59E5F8C2" w14:textId="77777777" w:rsidR="002D25EA" w:rsidRDefault="002D25EA" w:rsidP="002D25EA">
      <w:pPr>
        <w:pStyle w:val="ListParagraph"/>
        <w:numPr>
          <w:ilvl w:val="0"/>
          <w:numId w:val="2"/>
        </w:numPr>
        <w:spacing w:after="70"/>
      </w:pPr>
      <w:r>
        <w:t>Make Microsoft Entra ID and OAuth 2.0 the enterprise default for API authentication, with formally approved exceptions for protocols or external parties that cannot support it.</w:t>
      </w:r>
    </w:p>
    <w:p w14:paraId="668509B5" w14:textId="77777777" w:rsidR="002D25EA" w:rsidRDefault="002D25EA" w:rsidP="002D25EA">
      <w:pPr>
        <w:pStyle w:val="ListParagraph"/>
        <w:numPr>
          <w:ilvl w:val="0"/>
          <w:numId w:val="2"/>
        </w:numPr>
        <w:spacing w:after="70"/>
      </w:pPr>
      <w:r>
        <w:t>Automate the API lifecycle, design, publish, version, retire, through a Git-based APIOps pipeline.</w:t>
      </w:r>
    </w:p>
    <w:p w14:paraId="18D25FCA" w14:textId="77777777" w:rsidR="002D25EA" w:rsidRDefault="002D25EA" w:rsidP="002D25EA">
      <w:pPr>
        <w:pStyle w:val="ListParagraph"/>
        <w:numPr>
          <w:ilvl w:val="0"/>
          <w:numId w:val="2"/>
        </w:numPr>
        <w:spacing w:after="70"/>
      </w:pPr>
      <w:r>
        <w:t>Enforce Zero Trust at the edge: WAF, private endpoints, and policy-based threat protection.</w:t>
      </w:r>
    </w:p>
    <w:p w14:paraId="59B18599" w14:textId="77777777" w:rsidR="002D25EA" w:rsidRDefault="002D25EA" w:rsidP="002D25EA">
      <w:pPr>
        <w:pStyle w:val="ListParagraph"/>
        <w:numPr>
          <w:ilvl w:val="0"/>
          <w:numId w:val="2"/>
        </w:numPr>
        <w:spacing w:after="70"/>
      </w:pPr>
      <w:r>
        <w:t>Give developers a self-service Developer Portal for discovery, subscription, and testing.</w:t>
      </w:r>
    </w:p>
    <w:p w14:paraId="0A5F27C9" w14:textId="77777777" w:rsidR="002D25EA" w:rsidRDefault="002D25EA" w:rsidP="002D25EA">
      <w:pPr>
        <w:spacing w:after="140"/>
      </w:pPr>
      <w:r>
        <w:t>The single-ingress principle, the traffic-routing model, and the approved-exception process that this vision depends on are set out in full in section 5.1 (Architecture Principles) and are not repeated here.</w:t>
      </w:r>
    </w:p>
    <w:p w14:paraId="7F85FE64"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19" w:name="_Toc240539744"/>
      <w:r>
        <w:rPr>
          <w:rFonts w:asciiTheme="minorHAnsi" w:eastAsia="Times New Roman" w:hAnsiTheme="minorHAnsi" w:cs="Times New Roman"/>
          <w:b w:val="0"/>
          <w:color w:val="132040" w:themeColor="accent1" w:themeShade="BF"/>
          <w:sz w:val="24"/>
          <w:szCs w:val="26"/>
          <w:lang w:eastAsia="en-US"/>
        </w:rPr>
        <w:t>APIM Service Architecture</w:t>
      </w:r>
      <w:bookmarkEnd w:id="19"/>
    </w:p>
    <w:p>
      <w:pPr>
        <w:spacing w:after="140"/>
      </w:pPr>
      <w:r>
        <w:rPr>
          <w:rFonts w:ascii="Noe Text" w:cs="Noe Text" w:eastAsia="Noe Text" w:hAnsi="Noe Text"/>
          <w:color w:val="333333"/>
          <w:sz w:val="21"/>
          <w:szCs w:val="21"/>
        </w:rPr>
        <w:t xml:space="preserve">What this section shows: how a single API request travels from a consumer, through each security and routing layer, to the backend that answers it, and where the shared services (identity and secrets) sit relative to that path. The goal is one governed flow that every API follows, so security is applied consistently rather than rebuilt per integration.</w:t>
      </w:r>
    </w:p>
    <w:p w14:paraId="527D4142" w14:textId="77777777" w:rsidR="002D25EA" w:rsidRDefault="002D25EA" w:rsidP="002D25EA">
      <w:pPr>
        <w:spacing w:after="140"/>
      </w:pPr>
      <w:r>
        <w:t>Purpose of the diagram below: to show the complete path of a single request and prove that every consumer, internal or external, is funnelled through the same controls. What to look at: the left-to-right flow (consumer to edge security to APIM to backend) and the shared services band underneath. Key takeaway: there is exactly one way in, and identity and secrets are common services every layer draws on rather than each layer solving separately.</w:t>
      </w:r>
    </w:p>
    <w:p w14:paraId="2A3D4F6E" w14:textId="77777777" w:rsidR="002D25EA" w:rsidRDefault="002D25EA" w:rsidP="002D25EA">
      <w:pPr>
        <w:spacing w:before="80" w:after="120"/>
        <w:jc w:val="center"/>
      </w:pPr>
      <w:r>
        <w:rPr>
          <w:noProof/>
        </w:rPr>
        <w:drawing>
          <wp:inline distT="0" distB="0" distL="0" distR="0" wp14:anchorId="3E16E634" wp14:editId="0F8A3D5F">
            <wp:extent cx="5486400" cy="2586446"/>
            <wp:effectExtent l="0" t="0" r="0" b="0"/>
            <wp:docPr id="1543774110" name="Picture 154377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586446"/>
                    </a:xfrm>
                    <a:prstGeom prst="rect">
                      <a:avLst/>
                    </a:prstGeom>
                  </pic:spPr>
                </pic:pic>
              </a:graphicData>
            </a:graphic>
          </wp:inline>
        </w:drawing>
      </w:r>
    </w:p>
    <w:p w14:paraId="0D1CE942" w14:textId="77777777" w:rsidR="002D25EA" w:rsidRDefault="002D25EA" w:rsidP="002D25EA">
      <w:pPr>
        <w:spacing w:after="180"/>
        <w:jc w:val="center"/>
      </w:pPr>
      <w:r>
        <w:rPr>
          <w:i/>
          <w:iCs/>
          <w:color w:val="666666"/>
          <w:sz w:val="18"/>
          <w:szCs w:val="18"/>
        </w:rPr>
        <w:t>Figure 2: High-level Azure APIM architecture for the Organization</w:t>
      </w:r>
    </w:p>
    <w:p>
      <w:pPr>
        <w:spacing w:after="140"/>
      </w:pPr>
      <w:r>
        <w:rPr>
          <w:rFonts w:ascii="Noe Text" w:cs="Noe Text" w:eastAsia="Noe Text" w:hAnsi="Noe Text"/>
          <w:color w:val="333333"/>
          <w:sz w:val="21"/>
          <w:szCs w:val="21"/>
        </w:rPr>
        <w:t xml:space="preserve">The numbers on the diagram show the order every request follows: it always reaches edge security first, then APIM, then the backend. Nothing, external or internal, is ever allowed to call APIM directly without passing through the edge layer; that single-ingress rule is the same principle stated in section 5.1, shown here as a picture rather than a rule.</w:t>
      </w:r>
    </w:p>
    <w:p w14:paraId="292D4898" w14:textId="77777777" w:rsidR="002D25EA" w:rsidRDefault="002D25EA" w:rsidP="002D25EA">
      <w:pPr>
        <w:spacing w:after="140"/>
      </w:pPr>
      <w:r>
        <w:rPr>
          <w:b/>
          <w:bCs/>
        </w:rPr>
        <w:t>Why the client should care: this is not a bespoke design invented for the Organization and therefore untested. It deliberately follows three architectures Microsoft publishes and maintains for exactly this scenario, so the Organization is building on a proven, supported pattern rather than a one-off:</w:t>
      </w:r>
    </w:p>
    <w:p w14:paraId="34084864" w14:textId="076CE767" w:rsidR="006C1835" w:rsidRPr="006C1835" w:rsidRDefault="006C1835" w:rsidP="006C1835">
      <w:pPr>
        <w:pStyle w:val="ListParagraph"/>
        <w:numPr>
          <w:ilvl w:val="0"/>
          <w:numId w:val="2"/>
        </w:numPr>
        <w:spacing w:line="300" w:lineRule="atLeast"/>
      </w:pPr>
      <w:r>
        <w:t xml:space="preserve">Basic Enterprise Integration on Azure: Microsoft's reference architecture for exposing and managing integration services through API Management. </w:t>
      </w:r>
    </w:p>
    <w:p w14:paraId="3CCE062F" w14:textId="2EE5F0B2" w:rsidR="006C1835" w:rsidRPr="006C1835" w:rsidRDefault="006C1835" w:rsidP="006C1835">
      <w:pPr>
        <w:pStyle w:val="ListParagraph"/>
        <w:numPr>
          <w:ilvl w:val="0"/>
          <w:numId w:val="2"/>
        </w:numPr>
        <w:spacing w:line="300" w:lineRule="atLeast"/>
      </w:pPr>
      <w:r>
        <w:t xml:space="preserve">Front Door in front of API Management: Microsoft's documented pattern for placing Azure Front Door ahead of API Management for global routing, WAF protection and Private Link connectivity into a VNet-injected gateway, the exact combination this design uses. </w:t>
      </w:r>
    </w:p>
    <w:p w14:paraId="13D00D88" w14:textId="63FFA642" w:rsidR="006C1835" w:rsidRDefault="006C1835" w:rsidP="006C1835">
      <w:pPr>
        <w:pStyle w:val="ListParagraph"/>
        <w:numPr>
          <w:ilvl w:val="0"/>
          <w:numId w:val="2"/>
        </w:numPr>
        <w:spacing w:after="70" w:line="300" w:lineRule="atLeast"/>
      </w:pPr>
      <w:r>
        <w:t>API Management Landing Zone Accelerator: Guidance from the Cloud Adoption Framework for deploying API Management at enterprise scale, covering networking, security, governance, and identity.</w:t>
      </w:r>
    </w:p>
    <w:p>
      <w:pPr>
        <w:spacing w:after="140" w:before="120"/>
      </w:pPr>
      <w:r>
        <w:rPr>
          <w:rFonts w:ascii="Noe Text" w:cs="Noe Text" w:eastAsia="Noe Text" w:hAnsi="Noe Text"/>
          <w:color w:val="333333"/>
          <w:sz w:val="21"/>
          <w:szCs w:val="21"/>
        </w:rPr>
        <w:t xml:space="preserve">Purpose of the diagram below: the architecture diagram above shows traffic coming in; this one shows traffic going out. What to look at: the enforced left-to-right path (steps 1 to 3) and the red crossed path at the bottom. Key takeaway: outbound calls to third-party APIs do not leave from individual functions or microservices, they route through APIM’s outbound path and the central firewall egress, so every outbound call is inspected, authenticated and controlled in one place (the egress-gateway pattern).</w:t>
      </w:r>
    </w:p>
    <w:p>
      <w:pPr>
        <w:spacing w:after="120" w:before="120"/>
        <w:jc w:val="center"/>
      </w:pPr>
      <w:r>
        <w:drawing>
          <wp:inline distT="0" distB="0" distL="0" distR="0">
            <wp:extent cx="5486400" cy="3031579"/>
            <wp:effectExtent l="0" t="0" r="0" b="0"/>
            <wp:docPr id="9401" name="Egress traffi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5486400" cy="3031579"/>
                    </a:xfrm>
                    <a:prstGeom prst="rect">
                      <a:avLst/>
                    </a:prstGeom>
                  </pic:spPr>
                </pic:pic>
              </a:graphicData>
            </a:graphic>
          </wp:inline>
        </w:drawing>
      </w:r>
    </w:p>
    <w:p>
      <w:pPr>
        <w:spacing w:after="180"/>
        <w:jc w:val="center"/>
      </w:pPr>
      <w:r>
        <w:rPr>
          <w:i/>
          <w:iCs/>
          <w:color w:val="666666"/>
          <w:sz w:val="18"/>
          <w:szCs w:val="18"/>
        </w:rPr>
        <w:t>Figure 2b: Outbound (egress) traffic, all third-party calls route through the central egress path</w:t>
      </w:r>
    </w:p>
    <w:p w14:paraId="20E79784"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0" w:name="_Toc240539745"/>
      <w:r>
        <w:rPr>
          <w:rFonts w:asciiTheme="minorHAnsi" w:eastAsia="Times New Roman" w:hAnsiTheme="minorHAnsi" w:cs="Times New Roman"/>
          <w:b w:val="0"/>
          <w:color w:val="132040" w:themeColor="accent1" w:themeShade="BF"/>
          <w:sz w:val="24"/>
          <w:szCs w:val="26"/>
          <w:lang w:eastAsia="en-US"/>
        </w:rPr>
        <w:lastRenderedPageBreak/>
        <w:t>Network and Connectivity Design</w:t>
      </w:r>
      <w:bookmarkEnd w:id="20"/>
    </w:p>
    <w:p>
      <w:pPr>
        <w:spacing w:after="140"/>
      </w:pPr>
      <w:r>
        <w:rPr>
          <w:rFonts w:ascii="Noe Text" w:cs="Noe Text" w:eastAsia="Noe Text" w:hAnsi="Noe Text"/>
          <w:color w:val="333333"/>
          <w:sz w:val="21"/>
          <w:szCs w:val="21"/>
        </w:rPr>
        <w:t xml:space="preserve">The design decisions this section implements, Azure Front Door + WAF as the edge service and APIM in internal (VNet) mode, are made and justified in section 3 (Design Decision). This section does not re-open those choices; it shows the concrete network topology that delivers them, so a reader can go straight to how the chosen design is actually built. It covers the ingress topology, how APIM integrates with the existing firewall, multi-region layout, subnet sizing and the required network components.</w:t>
      </w:r>
    </w:p>
    <w:p w14:paraId="4264B4E5" w14:textId="77777777" w:rsidR="002D25EA" w:rsidRPr="00007E30" w:rsidRDefault="002D25EA" w:rsidP="00007E30">
      <w:pPr>
        <w:rPr>
          <w:b/>
          <w:bCs/>
        </w:rPr>
      </w:pPr>
      <w:r>
        <w:rPr>
          <w:b/>
          <w:bCs/>
        </w:rPr>
        <w:t>Ingress topology</w:t>
      </w:r>
    </w:p>
    <w:p>
      <w:pPr>
        <w:spacing w:after="140"/>
      </w:pPr>
      <w:r>
        <w:rPr>
          <w:rFonts w:ascii="Noe Text" w:cs="Noe Text" w:eastAsia="Noe Text" w:hAnsi="Noe Text"/>
          <w:color w:val="333333"/>
          <w:sz w:val="21"/>
          <w:szCs w:val="21"/>
        </w:rPr>
        <w:t xml:space="preserve">The chosen ingress topology is Azure Front Door + WAF in front of an internal-mode APIM (option A in section 3). The diagram below shows it end to end, alongside the two alternatives that were considered and rejected, so the chosen path can be seen in context. In every case APIM runs in internal mode and is never exposed directly to the internet; what differs is only what sits in front of it.</w:t>
      </w:r>
    </w:p>
    <w:p w14:paraId="3F2972DE" w14:textId="77777777" w:rsidR="002D25EA" w:rsidRDefault="002D25EA" w:rsidP="002D25EA">
      <w:pPr>
        <w:spacing w:before="80" w:after="120"/>
        <w:jc w:val="center"/>
      </w:pPr>
      <w:r>
        <w:rPr>
          <w:noProof/>
        </w:rPr>
        <w:lastRenderedPageBreak/>
        <w:drawing>
          <wp:inline distT="0" distB="0" distL="0" distR="0" wp14:anchorId="391FF6D4" wp14:editId="1A4CEB53">
            <wp:extent cx="5486400" cy="3401766"/>
            <wp:effectExtent l="0" t="0" r="0" b="0"/>
            <wp:docPr id="777345412" name="Picture 77734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401766"/>
                    </a:xfrm>
                    <a:prstGeom prst="rect">
                      <a:avLst/>
                    </a:prstGeom>
                  </pic:spPr>
                </pic:pic>
              </a:graphicData>
            </a:graphic>
          </wp:inline>
        </w:drawing>
      </w:r>
    </w:p>
    <w:p w14:paraId="34287B3A" w14:textId="77777777" w:rsidR="002D25EA" w:rsidRDefault="002D25EA" w:rsidP="002D25EA">
      <w:pPr>
        <w:spacing w:after="180"/>
        <w:jc w:val="center"/>
      </w:pPr>
      <w:r>
        <w:rPr>
          <w:i/>
          <w:iCs/>
          <w:color w:val="666666"/>
          <w:sz w:val="18"/>
          <w:szCs w:val="18"/>
        </w:rPr>
        <w:t>Figure 6: Three ingress options for APIM, all with APIM in internal mode</w:t>
      </w:r>
    </w:p>
    <w:p>
      <w:pPr>
        <w:spacing w:after="140" w:before="120"/>
      </w:pPr>
      <w:r>
        <w:rPr>
          <w:rFonts w:ascii="Noe Text" w:cs="Noe Text" w:eastAsia="Noe Text" w:hAnsi="Noe Text"/>
          <w:color w:val="333333"/>
          <w:sz w:val="21"/>
          <w:szCs w:val="21"/>
        </w:rPr>
        <w:t xml:space="preserve">This topology runs on classic Premium in multi-region mode, the tier chosen in section 3. The concrete instance settings that implement it are below.</w:t>
      </w:r>
    </w:p>
    <w:p w14:paraId="2A939931" w14:textId="77777777" w:rsidR="002D25EA" w:rsidRPr="00007E30" w:rsidRDefault="002D25EA" w:rsidP="00007E30">
      <w:pPr>
        <w:rPr>
          <w:b/>
          <w:bCs/>
        </w:rPr>
      </w:pPr>
      <w:r>
        <w:rPr>
          <w:b/>
          <w:bCs/>
        </w:rPr>
        <w:t>Instance configuration</w:t>
      </w:r>
    </w:p>
    <w:p w14:paraId="7B68B2EE" w14:textId="77777777" w:rsidR="002D25EA" w:rsidRDefault="002D25EA" w:rsidP="002D25EA">
      <w:pPr>
        <w:spacing w:after="140"/>
      </w:pPr>
      <w:r>
        <w:t>The values below are the proposed target configuration. Custom domain names are illustrative placeholders, and the VNet mode and region choices are proposals to confirm against the Organization’s landing zone and naming standards, not settled facts.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E567E4E" w14:textId="77777777" w:rsidTr="00D9409F">
        <w:trPr>
          <w:tblHeader/>
        </w:trPr>
        <w:tc>
          <w:tcPr>
            <w:tcW w:w="3100" w:type="dxa"/>
            <w:shd w:val="clear" w:color="auto" w:fill="1E2761"/>
            <w:tcMar>
              <w:top w:w="70" w:type="dxa"/>
              <w:left w:w="100" w:type="dxa"/>
              <w:bottom w:w="70" w:type="dxa"/>
              <w:right w:w="100" w:type="dxa"/>
            </w:tcMar>
            <w:vAlign w:val="center"/>
          </w:tcPr>
          <w:p w14:paraId="7AA55542" w14:textId="77777777" w:rsidR="002D25EA" w:rsidRDefault="002D25EA" w:rsidP="00D9409F">
            <w:r>
              <w:rPr>
                <w:b/>
                <w:bCs/>
                <w:color w:val="FFFFFF"/>
                <w:sz w:val="18"/>
                <w:szCs w:val="18"/>
              </w:rPr>
              <w:t>Attribute</w:t>
            </w:r>
          </w:p>
        </w:tc>
        <w:tc>
          <w:tcPr>
            <w:tcW w:w="3100" w:type="dxa"/>
            <w:shd w:val="clear" w:color="auto" w:fill="1E2761"/>
            <w:tcMar>
              <w:top w:w="70" w:type="dxa"/>
              <w:left w:w="100" w:type="dxa"/>
              <w:bottom w:w="70" w:type="dxa"/>
              <w:right w:w="100" w:type="dxa"/>
            </w:tcMar>
            <w:vAlign w:val="center"/>
          </w:tcPr>
          <w:p w14:paraId="33C4CE79" w14:textId="77777777" w:rsidR="002D25EA" w:rsidRDefault="002D25EA" w:rsidP="00D9409F">
            <w:r>
              <w:rPr>
                <w:b/>
                <w:bCs/>
                <w:color w:val="FFFFFF"/>
                <w:sz w:val="18"/>
                <w:szCs w:val="18"/>
              </w:rPr>
              <w:t>Proposed value</w:t>
            </w:r>
          </w:p>
        </w:tc>
        <w:tc>
          <w:tcPr>
            <w:tcW w:w="3100" w:type="dxa"/>
            <w:shd w:val="clear" w:color="auto" w:fill="1E2761"/>
            <w:tcMar>
              <w:top w:w="70" w:type="dxa"/>
              <w:left w:w="100" w:type="dxa"/>
              <w:bottom w:w="70" w:type="dxa"/>
              <w:right w:w="100" w:type="dxa"/>
            </w:tcMar>
            <w:vAlign w:val="center"/>
          </w:tcPr>
          <w:p w14:paraId="2031B76C" w14:textId="77777777" w:rsidR="002D25EA" w:rsidRDefault="002D25EA" w:rsidP="00D9409F">
            <w:r>
              <w:rPr>
                <w:b/>
                <w:bCs/>
                <w:color w:val="FFFFFF"/>
                <w:sz w:val="18"/>
                <w:szCs w:val="18"/>
              </w:rPr>
              <w:t>Status</w:t>
            </w:r>
          </w:p>
        </w:tc>
      </w:tr>
      <w:tr w:rsidR="002D25EA" w14:paraId="1998FFCD" w14:textId="77777777" w:rsidTr="00D9409F">
        <w:tc>
          <w:tcPr>
            <w:tcW w:w="3100" w:type="dxa"/>
            <w:tcMar>
              <w:top w:w="70" w:type="dxa"/>
              <w:left w:w="100" w:type="dxa"/>
              <w:bottom w:w="70" w:type="dxa"/>
              <w:right w:w="100" w:type="dxa"/>
            </w:tcMar>
            <w:vAlign w:val="center"/>
          </w:tcPr>
          <w:p w14:paraId="47384888" w14:textId="77777777" w:rsidR="002D25EA" w:rsidRDefault="002D25EA" w:rsidP="00D9409F">
            <w:r>
              <w:rPr>
                <w:sz w:val="18"/>
                <w:szCs w:val="18"/>
              </w:rPr>
              <w:t>Tier</w:t>
            </w:r>
          </w:p>
        </w:tc>
        <w:tc>
          <w:tcPr>
            <w:tcW w:w="3100" w:type="dxa"/>
            <w:tcMar>
              <w:top w:w="70" w:type="dxa"/>
              <w:left w:w="100" w:type="dxa"/>
              <w:bottom w:w="70" w:type="dxa"/>
              <w:right w:w="100" w:type="dxa"/>
            </w:tcMar>
            <w:vAlign w:val="center"/>
          </w:tcPr>
          <w:p w14:paraId="55436D36" w14:textId="77777777" w:rsidR="002D25EA" w:rsidRDefault="002D25EA" w:rsidP="00D9409F">
            <w:r>
              <w:rPr>
                <w:sz w:val="18"/>
                <w:szCs w:val="18"/>
              </w:rPr>
              <w:t>Classic Premium (production)</w:t>
            </w:r>
          </w:p>
        </w:tc>
        <w:tc>
          <w:tcPr>
            <w:tcW w:w="3100" w:type="dxa"/>
            <w:tcMar>
              <w:top w:w="70" w:type="dxa"/>
              <w:left w:w="100" w:type="dxa"/>
              <w:bottom w:w="70" w:type="dxa"/>
              <w:right w:w="100" w:type="dxa"/>
            </w:tcMar>
            <w:vAlign w:val="center"/>
          </w:tcPr>
          <w:p w14:paraId="16C1885C" w14:textId="77777777" w:rsidR="002D25EA" w:rsidRDefault="002D25EA" w:rsidP="00D9409F">
            <w:r>
              <w:rPr>
                <w:sz w:val="18"/>
                <w:szCs w:val="18"/>
              </w:rPr>
              <w:t>Proposed</w:t>
            </w:r>
          </w:p>
        </w:tc>
      </w:tr>
      <w:tr w:rsidR="002D25EA" w14:paraId="758DBDF0" w14:textId="77777777" w:rsidTr="00D9409F">
        <w:tc>
          <w:tcPr>
            <w:tcW w:w="3100" w:type="dxa"/>
            <w:tcMar>
              <w:top w:w="70" w:type="dxa"/>
              <w:left w:w="100" w:type="dxa"/>
              <w:bottom w:w="70" w:type="dxa"/>
              <w:right w:w="100" w:type="dxa"/>
            </w:tcMar>
            <w:vAlign w:val="center"/>
          </w:tcPr>
          <w:p w14:paraId="1D9A0ECD" w14:textId="77777777" w:rsidR="002D25EA" w:rsidRDefault="002D25EA" w:rsidP="00D9409F">
            <w:r>
              <w:rPr>
                <w:sz w:val="18"/>
                <w:szCs w:val="18"/>
              </w:rPr>
              <w:t>Region</w:t>
            </w:r>
          </w:p>
        </w:tc>
        <w:tc>
          <w:tcPr>
            <w:tcW w:w="3100" w:type="dxa"/>
            <w:tcMar>
              <w:top w:w="70" w:type="dxa"/>
              <w:left w:w="100" w:type="dxa"/>
              <w:bottom w:w="70" w:type="dxa"/>
              <w:right w:w="100" w:type="dxa"/>
            </w:tcMar>
            <w:vAlign w:val="center"/>
          </w:tcPr>
          <w:p w14:paraId="3A369235" w14:textId="77777777" w:rsidR="002D25EA" w:rsidRDefault="002D25EA" w:rsidP="00D9409F">
            <w:r>
              <w:rPr>
                <w:sz w:val="18"/>
                <w:szCs w:val="18"/>
              </w:rPr>
              <w:t>UK South, primary; UK West, secondary</w:t>
            </w:r>
          </w:p>
        </w:tc>
        <w:tc>
          <w:tcPr>
            <w:tcW w:w="3100" w:type="dxa"/>
            <w:tcMar>
              <w:top w:w="70" w:type="dxa"/>
              <w:left w:w="100" w:type="dxa"/>
              <w:bottom w:w="70" w:type="dxa"/>
              <w:right w:w="100" w:type="dxa"/>
            </w:tcMar>
            <w:vAlign w:val="center"/>
          </w:tcPr>
          <w:p w14:paraId="5A93DCE2" w14:textId="77777777" w:rsidR="002D25EA" w:rsidRDefault="002D25EA" w:rsidP="00D9409F">
            <w:r>
              <w:rPr>
                <w:sz w:val="18"/>
                <w:szCs w:val="18"/>
              </w:rPr>
              <w:t>To confirm (data residency)</w:t>
            </w:r>
          </w:p>
        </w:tc>
      </w:tr>
      <w:tr w:rsidR="002D25EA" w14:paraId="0ED77463" w14:textId="77777777" w:rsidTr="00D9409F">
        <w:tc>
          <w:tcPr>
            <w:tcW w:w="3100" w:type="dxa"/>
            <w:tcMar>
              <w:top w:w="70" w:type="dxa"/>
              <w:left w:w="100" w:type="dxa"/>
              <w:bottom w:w="70" w:type="dxa"/>
              <w:right w:w="100" w:type="dxa"/>
            </w:tcMar>
            <w:vAlign w:val="center"/>
          </w:tcPr>
          <w:p w14:paraId="59BC9958" w14:textId="77777777" w:rsidR="002D25EA" w:rsidRDefault="002D25EA" w:rsidP="00D9409F">
            <w:r>
              <w:rPr>
                <w:sz w:val="18"/>
                <w:szCs w:val="18"/>
              </w:rPr>
              <w:t>VNet mode</w:t>
            </w:r>
          </w:p>
        </w:tc>
        <w:tc>
          <w:tcPr>
            <w:tcW w:w="3100" w:type="dxa"/>
            <w:tcMar>
              <w:top w:w="70" w:type="dxa"/>
              <w:left w:w="100" w:type="dxa"/>
              <w:bottom w:w="70" w:type="dxa"/>
              <w:right w:w="100" w:type="dxa"/>
            </w:tcMar>
            <w:vAlign w:val="center"/>
          </w:tcPr>
          <w:p w14:paraId="3353BA3C" w14:textId="77777777" w:rsidR="002D25EA" w:rsidRDefault="002D25EA" w:rsidP="00D9409F">
            <w:r>
              <w:rPr>
                <w:sz w:val="18"/>
                <w:szCs w:val="18"/>
              </w:rPr>
              <w:t>Internal and external, hybrid</w:t>
            </w:r>
          </w:p>
        </w:tc>
        <w:tc>
          <w:tcPr>
            <w:tcW w:w="3100" w:type="dxa"/>
            <w:tcMar>
              <w:top w:w="70" w:type="dxa"/>
              <w:left w:w="100" w:type="dxa"/>
              <w:bottom w:w="70" w:type="dxa"/>
              <w:right w:w="100" w:type="dxa"/>
            </w:tcMar>
            <w:vAlign w:val="center"/>
          </w:tcPr>
          <w:p w14:paraId="2E1C4D8A" w14:textId="77777777" w:rsidR="002D25EA" w:rsidRDefault="002D25EA" w:rsidP="00D9409F">
            <w:r>
              <w:rPr>
                <w:sz w:val="18"/>
                <w:szCs w:val="18"/>
              </w:rPr>
              <w:t>To confirm against landing zone</w:t>
            </w:r>
          </w:p>
        </w:tc>
      </w:tr>
      <w:tr w:rsidR="002D25EA" w14:paraId="0D3E52DE" w14:textId="77777777" w:rsidTr="00D9409F">
        <w:tc>
          <w:tcPr>
            <w:tcW w:w="3100" w:type="dxa"/>
            <w:tcMar>
              <w:top w:w="70" w:type="dxa"/>
              <w:left w:w="100" w:type="dxa"/>
              <w:bottom w:w="70" w:type="dxa"/>
              <w:right w:w="100" w:type="dxa"/>
            </w:tcMar>
            <w:vAlign w:val="center"/>
          </w:tcPr>
          <w:p w14:paraId="7A98B7DA" w14:textId="77777777" w:rsidR="002D25EA" w:rsidRDefault="002D25EA" w:rsidP="00D9409F">
            <w:r>
              <w:rPr>
                <w:sz w:val="18"/>
                <w:szCs w:val="18"/>
              </w:rPr>
              <w:t>Custom domain</w:t>
            </w:r>
          </w:p>
        </w:tc>
        <w:tc>
          <w:tcPr>
            <w:tcW w:w="3100" w:type="dxa"/>
            <w:tcMar>
              <w:top w:w="70" w:type="dxa"/>
              <w:left w:w="100" w:type="dxa"/>
              <w:bottom w:w="70" w:type="dxa"/>
              <w:right w:w="100" w:type="dxa"/>
            </w:tcMar>
            <w:vAlign w:val="center"/>
          </w:tcPr>
          <w:p w14:paraId="4FD227BF" w14:textId="77777777" w:rsidR="002D25EA" w:rsidRDefault="002D25EA" w:rsidP="00D9409F">
            <w:r>
              <w:rPr>
                <w:sz w:val="18"/>
                <w:szCs w:val="18"/>
              </w:rPr>
              <w:t>api.organization.com (external), api-internal.organization.com (internal)</w:t>
            </w:r>
          </w:p>
        </w:tc>
        <w:tc>
          <w:tcPr>
            <w:tcW w:w="3100" w:type="dxa"/>
            <w:tcMar>
              <w:top w:w="70" w:type="dxa"/>
              <w:left w:w="100" w:type="dxa"/>
              <w:bottom w:w="70" w:type="dxa"/>
              <w:right w:w="100" w:type="dxa"/>
            </w:tcMar>
            <w:vAlign w:val="center"/>
          </w:tcPr>
          <w:p w14:paraId="4C4BA679" w14:textId="77777777" w:rsidR="002D25EA" w:rsidRDefault="002D25EA" w:rsidP="00D9409F">
            <w:r>
              <w:rPr>
                <w:sz w:val="18"/>
                <w:szCs w:val="18"/>
              </w:rPr>
              <w:t>Illustrative placeholder</w:t>
            </w:r>
          </w:p>
        </w:tc>
      </w:tr>
      <w:tr w:rsidR="002D25EA" w14:paraId="61656DE4" w14:textId="77777777" w:rsidTr="00D9409F">
        <w:tc>
          <w:tcPr>
            <w:tcW w:w="3100" w:type="dxa"/>
            <w:tcMar>
              <w:top w:w="70" w:type="dxa"/>
              <w:left w:w="100" w:type="dxa"/>
              <w:bottom w:w="70" w:type="dxa"/>
              <w:right w:w="100" w:type="dxa"/>
            </w:tcMar>
            <w:vAlign w:val="center"/>
          </w:tcPr>
          <w:p w14:paraId="2AFDB922" w14:textId="77777777" w:rsidR="002D25EA" w:rsidRDefault="002D25EA" w:rsidP="00D9409F">
            <w:r>
              <w:rPr>
                <w:sz w:val="18"/>
                <w:szCs w:val="18"/>
              </w:rPr>
              <w:t>TLS</w:t>
            </w:r>
          </w:p>
        </w:tc>
        <w:tc>
          <w:tcPr>
            <w:tcW w:w="3100" w:type="dxa"/>
            <w:tcMar>
              <w:top w:w="70" w:type="dxa"/>
              <w:left w:w="100" w:type="dxa"/>
              <w:bottom w:w="70" w:type="dxa"/>
              <w:right w:w="100" w:type="dxa"/>
            </w:tcMar>
            <w:vAlign w:val="center"/>
          </w:tcPr>
          <w:p w14:paraId="62B426D0" w14:textId="77777777" w:rsidR="002D25EA" w:rsidRDefault="002D25EA" w:rsidP="00D9409F">
            <w:r>
              <w:rPr>
                <w:sz w:val="18"/>
                <w:szCs w:val="18"/>
              </w:rPr>
              <w:t>1.2 minimum</w:t>
            </w:r>
          </w:p>
        </w:tc>
        <w:tc>
          <w:tcPr>
            <w:tcW w:w="3100" w:type="dxa"/>
            <w:tcMar>
              <w:top w:w="70" w:type="dxa"/>
              <w:left w:w="100" w:type="dxa"/>
              <w:bottom w:w="70" w:type="dxa"/>
              <w:right w:w="100" w:type="dxa"/>
            </w:tcMar>
            <w:vAlign w:val="center"/>
          </w:tcPr>
          <w:p w14:paraId="3441F51F" w14:textId="77777777" w:rsidR="002D25EA" w:rsidRDefault="002D25EA" w:rsidP="00D9409F">
            <w:r>
              <w:rPr>
                <w:sz w:val="18"/>
                <w:szCs w:val="18"/>
              </w:rPr>
              <w:t>Proposed standard</w:t>
            </w:r>
          </w:p>
        </w:tc>
      </w:tr>
      <w:tr w:rsidR="002D25EA" w14:paraId="304FEB42" w14:textId="77777777" w:rsidTr="00D9409F">
        <w:tc>
          <w:tcPr>
            <w:tcW w:w="3100" w:type="dxa"/>
            <w:tcMar>
              <w:top w:w="70" w:type="dxa"/>
              <w:left w:w="100" w:type="dxa"/>
              <w:bottom w:w="70" w:type="dxa"/>
              <w:right w:w="100" w:type="dxa"/>
            </w:tcMar>
            <w:vAlign w:val="center"/>
          </w:tcPr>
          <w:p w14:paraId="0B35B68C" w14:textId="77777777" w:rsidR="002D25EA" w:rsidRDefault="002D25EA" w:rsidP="00D9409F">
            <w:r>
              <w:rPr>
                <w:sz w:val="18"/>
                <w:szCs w:val="18"/>
              </w:rPr>
              <w:t>Managed identity</w:t>
            </w:r>
          </w:p>
        </w:tc>
        <w:tc>
          <w:tcPr>
            <w:tcW w:w="3100" w:type="dxa"/>
            <w:tcMar>
              <w:top w:w="70" w:type="dxa"/>
              <w:left w:w="100" w:type="dxa"/>
              <w:bottom w:w="70" w:type="dxa"/>
              <w:right w:w="100" w:type="dxa"/>
            </w:tcMar>
            <w:vAlign w:val="center"/>
          </w:tcPr>
          <w:p w14:paraId="26A8CFDC" w14:textId="77777777" w:rsidR="002D25EA" w:rsidRDefault="002D25EA" w:rsidP="00D9409F">
            <w:r>
              <w:rPr>
                <w:sz w:val="18"/>
                <w:szCs w:val="18"/>
              </w:rPr>
              <w:t>System-assigned</w:t>
            </w:r>
          </w:p>
        </w:tc>
        <w:tc>
          <w:tcPr>
            <w:tcW w:w="3100" w:type="dxa"/>
            <w:tcMar>
              <w:top w:w="70" w:type="dxa"/>
              <w:left w:w="100" w:type="dxa"/>
              <w:bottom w:w="70" w:type="dxa"/>
              <w:right w:w="100" w:type="dxa"/>
            </w:tcMar>
            <w:vAlign w:val="center"/>
          </w:tcPr>
          <w:p w14:paraId="353AEAD6" w14:textId="77777777" w:rsidR="002D25EA" w:rsidRDefault="002D25EA" w:rsidP="00D9409F">
            <w:r>
              <w:rPr>
                <w:sz w:val="18"/>
                <w:szCs w:val="18"/>
              </w:rPr>
              <w:t>Proposed</w:t>
            </w:r>
          </w:p>
        </w:tc>
      </w:tr>
    </w:tbl>
    <w:p w14:paraId="050122D0" w14:textId="77777777" w:rsidR="002D25EA" w:rsidRDefault="002D25EA" w:rsidP="002D25EA">
      <w:pPr>
        <w:spacing w:after="140"/>
      </w:pPr>
    </w:p>
    <w:p w14:paraId="17A14541" w14:textId="77777777" w:rsidR="002D25EA" w:rsidRPr="00007E30" w:rsidRDefault="002D25EA" w:rsidP="00007E30">
      <w:pPr>
        <w:rPr>
          <w:b/>
          <w:bCs/>
        </w:rPr>
      </w:pPr>
      <w:r>
        <w:rPr>
          <w:b/>
          <w:bCs/>
        </w:rPr>
        <w:t>Why both an internal and an external gateway</w:t>
      </w:r>
    </w:p>
    <w:p w14:paraId="20EA913A" w14:textId="77777777" w:rsidR="002D25EA" w:rsidRDefault="002D25EA" w:rsidP="002D25EA">
      <w:pPr>
        <w:spacing w:after="140"/>
      </w:pPr>
      <w:r>
        <w:t>Running the internal and external gateways from one instance is a deliberate choice with a cost, so it is worth stating the alternative it was weighed against. A single external gateway with IP restriction would be cheaper and simpler, and for a purely internet-facing pilot it could be enough. It was not chosen because the Organization has genuinely internal consumers that should never traverse a public endpoint, even one IP-restricted: keeping internal traffic on a private gateway inside the VNet removes a class of exposure rather than mitigating it, and satisfies the single-ingress principle without punching internal systems out to the internet and back. The trade-off is that the hybrid instance costs more than a single external gateway. If phase one turns out to have no genuinely-internal consumers, a single external gateway is the cheaper fallback and this decision should be revisited.</w:t>
      </w:r>
    </w:p>
    <w:p w14:paraId="61D223E7" w14:textId="77777777" w:rsidR="002D25EA" w:rsidRPr="00007E30" w:rsidRDefault="002D25EA" w:rsidP="00007E30">
      <w:pPr>
        <w:rPr>
          <w:b/>
          <w:bCs/>
        </w:rPr>
      </w:pPr>
      <w:r>
        <w:rPr>
          <w:b/>
          <w:bCs/>
        </w:rPr>
        <w:t>Multi-region topology</w:t>
      </w:r>
    </w:p>
    <w:p>
      <w:pPr>
        <w:spacing w:after="140"/>
      </w:pPr>
      <w:r>
        <w:rPr>
          <w:rFonts w:ascii="Noe Text" w:cs="Noe Text" w:eastAsia="Noe Text" w:hAnsi="Noe Text"/>
          <w:color w:val="333333"/>
          <w:sz w:val="21"/>
          <w:szCs w:val="21"/>
        </w:rPr>
        <w:t xml:space="preserve">Why this matters: a multi-region deployment means the Organization keeps serving API traffic even if an entire Azure region, UK South, say, goes offline. It is not the same thing as the zone redundancy already built into a single-region deployment, and the two protect against different failures. Front Door is what makes multi-region possible here: it holds one global hostname and automatically stops sending traffic to a region that fails its health checks, so failover needs no manual DNS change or partner reconfiguration. The trade-off is cost: a second region means a second set of APIM units and backend capacity running live, not idle, so multi-region roughly doubles the compute bill for the platform. The way to control that cost is to scope it: only the APIs that genuinely need cross-region resilience have to run active-active; lower-priority internal APIs can stay single-region with zone redundancy, which is far cheaper. That scoping decision belongs with the business, not with this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rPr>
          <w:tblHeader/>
        </w:trPr>
        <w:tc>
          <w:tcPr>
            <w:tcW w:type="dxa" w:w="20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
            </w:r>
          </w:p>
        </w:tc>
        <w:tc>
          <w:tcPr>
            <w:tcW w:type="dxa" w:w="3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Availability zones (single region)</w:t>
            </w:r>
          </w:p>
        </w:tc>
        <w:tc>
          <w:tcPr>
            <w:tcW w:type="dxa" w:w="37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Multi-region</w:t>
            </w:r>
          </w:p>
        </w:tc>
      </w:tr>
      <w:tr>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Protects against</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Loss of one datacentre</w:t>
            </w:r>
          </w:p>
        </w:tc>
        <w:tc>
          <w:tcPr>
            <w:tcW w:type="dxa" w:w="3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Loss of an entire Azure region</w:t>
            </w:r>
          </w:p>
        </w:tc>
      </w:tr>
      <w:tr>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Typical cost impact</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Small: spreads existing units across zones</w:t>
            </w:r>
          </w:p>
        </w:tc>
        <w:tc>
          <w:tcPr>
            <w:tcW w:type="dxa" w:w="3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Large: roughly doubles running capacity</w:t>
            </w:r>
          </w:p>
        </w:tc>
      </w:tr>
      <w:tr>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Failover</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Automatic, inside the region</w:t>
            </w:r>
          </w:p>
        </w:tc>
        <w:tc>
          <w:tcPr>
            <w:tcW w:type="dxa" w:w="3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Automatic via Front Door, across regions</w:t>
            </w:r>
          </w:p>
        </w:tc>
      </w:tr>
      <w:tr>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Needed for</w:t>
            </w:r>
          </w:p>
        </w:tc>
        <w:tc>
          <w:tcPr>
            <w:tcW w:type="dxa" w:w="3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Every production API, low cost to include</w:t>
            </w:r>
          </w:p>
        </w:tc>
        <w:tc>
          <w:tcPr>
            <w:tcW w:type="dxa" w:w="3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Only APIs where a full regional outage is unacceptable</w:t>
            </w:r>
          </w:p>
        </w:tc>
      </w:tr>
    </w:tbl>
    <w:p>
      <w:pPr>
        <w:spacing w:after="140"/>
      </w:pPr>
      <w:r>
        <w:rPr>
          <w:rFonts w:ascii="Noe Text" w:cs="Noe Text" w:eastAsia="Noe Text" w:hAnsi="Noe Text"/>
          <w:i/>
          <w:iCs/>
          <w:color w:val="333333"/>
          <w:sz w:val="21"/>
          <w:szCs w:val="21"/>
        </w:rPr>
        <w:t xml:space="preserve">the Organization’s two are not competing options: zone redundancy is the cheap, default protection every production API should have, and multi-region is the expensive, targeted protection added on top only where the business case justifies it.</w:t>
      </w:r>
    </w:p>
    <w:p w14:paraId="55B839D8" w14:textId="77777777" w:rsidR="002D25EA" w:rsidRDefault="002D25EA" w:rsidP="002D25EA">
      <w:pPr>
        <w:spacing w:after="140"/>
      </w:pPr>
      <w:r>
        <w:t>Both regions run active behind the same Front Door entry point, each with its own APIM gateway and a geo-redundant backend replica. Front Door decides which region serves a given request and moves traffic away from a region automatically if its health probes fail.</w:t>
      </w:r>
    </w:p>
    <w:p w14:paraId="17900703" w14:textId="77777777" w:rsidR="002D25EA" w:rsidRDefault="002D25EA" w:rsidP="002D25EA">
      <w:pPr>
        <w:spacing w:before="80" w:after="120"/>
        <w:jc w:val="center"/>
      </w:pPr>
      <w:r>
        <w:rPr>
          <w:noProof/>
        </w:rPr>
        <w:lastRenderedPageBreak/>
        <w:drawing>
          <wp:inline distT="0" distB="0" distL="0" distR="0" wp14:anchorId="27F8F46F" wp14:editId="14C5FE4C">
            <wp:extent cx="5486400" cy="2190750"/>
            <wp:effectExtent l="0" t="0" r="0" b="0"/>
            <wp:docPr id="1519631335" name="Picture 151963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190750"/>
                    </a:xfrm>
                    <a:prstGeom prst="rect">
                      <a:avLst/>
                    </a:prstGeom>
                  </pic:spPr>
                </pic:pic>
              </a:graphicData>
            </a:graphic>
          </wp:inline>
        </w:drawing>
      </w:r>
    </w:p>
    <w:p w14:paraId="0B69B504" w14:textId="77777777" w:rsidR="002D25EA" w:rsidRDefault="002D25EA" w:rsidP="002D25EA">
      <w:pPr>
        <w:spacing w:after="180"/>
        <w:jc w:val="center"/>
      </w:pPr>
      <w:r>
        <w:rPr>
          <w:i/>
          <w:iCs/>
          <w:color w:val="666666"/>
          <w:sz w:val="18"/>
          <w:szCs w:val="18"/>
        </w:rPr>
        <w:t>Figure 8: Multi-region APIM architecture</w:t>
      </w:r>
    </w:p>
    <w:p w14:paraId="71521365" w14:textId="77777777" w:rsidR="002D25EA" w:rsidRDefault="002D25EA" w:rsidP="002D25EA">
      <w:pPr>
        <w:spacing w:after="140"/>
      </w:pPr>
      <w:r>
        <w:t>The target design places backends (integration services and Functions, Service Bus) in private subnets reachable only from APIM, using Private Endpoints and network security groups. Front Door or Application Gateway terminates public traffic and forwards only validated requests through to the APIM external gateway; the APIM internal gateway is reachable purely from within the VNet, with no public exposure at all. This describes the intended target state rather than a confirmed picture of the Organization’s current network: the actual VNet layout, private DNS zone ownership, and any forced-tunnelling or NVA egress rules must be validated against the Organization’s landing zone, because they can materially change how APIM reaches each backend. This is the single most important item to verify before detailed design (see section 17.7).</w:t>
      </w:r>
    </w:p>
    <w:p w14:paraId="74BF0BB0" w14:textId="77777777" w:rsidR="002D25EA" w:rsidRDefault="002D25EA" w:rsidP="002D25EA">
      <w:pPr>
        <w:spacing w:after="140"/>
      </w:pPr>
      <w:r>
        <w:t>The two diagrams below set out exactly what each traffic type passes through, matching the pattern proven on our reference deployment.</w:t>
      </w:r>
    </w:p>
    <w:p w14:paraId="603064D5" w14:textId="77777777" w:rsidR="002D25EA" w:rsidRDefault="002D25EA" w:rsidP="002D25EA">
      <w:pPr>
        <w:spacing w:before="80" w:after="120"/>
        <w:jc w:val="center"/>
      </w:pPr>
      <w:r>
        <w:rPr>
          <w:noProof/>
        </w:rPr>
        <w:drawing>
          <wp:inline distT="0" distB="0" distL="0" distR="0" wp14:anchorId="0AB97763" wp14:editId="0825D946">
            <wp:extent cx="5486400" cy="1552575"/>
            <wp:effectExtent l="0" t="0" r="0" b="0"/>
            <wp:docPr id="1365783509" name="Picture 136578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1552575"/>
                    </a:xfrm>
                    <a:prstGeom prst="rect">
                      <a:avLst/>
                    </a:prstGeom>
                  </pic:spPr>
                </pic:pic>
              </a:graphicData>
            </a:graphic>
          </wp:inline>
        </w:drawing>
      </w:r>
    </w:p>
    <w:p w14:paraId="3B992FFF" w14:textId="77777777" w:rsidR="002D25EA" w:rsidRDefault="002D25EA" w:rsidP="002D25EA">
      <w:pPr>
        <w:spacing w:after="180"/>
        <w:jc w:val="center"/>
      </w:pPr>
      <w:r>
        <w:rPr>
          <w:i/>
          <w:iCs/>
          <w:color w:val="666666"/>
          <w:sz w:val="18"/>
          <w:szCs w:val="18"/>
        </w:rPr>
        <w:t>Figure 9: Internal API access model</w:t>
      </w:r>
    </w:p>
    <w:p w14:paraId="7ED323B2" w14:textId="77777777" w:rsidR="002D25EA" w:rsidRDefault="002D25EA" w:rsidP="002D25EA">
      <w:pPr>
        <w:spacing w:before="80" w:after="120"/>
        <w:jc w:val="center"/>
      </w:pPr>
      <w:r>
        <w:rPr>
          <w:noProof/>
        </w:rPr>
        <w:drawing>
          <wp:inline distT="0" distB="0" distL="0" distR="0" wp14:anchorId="2F0D10C5" wp14:editId="23493434">
            <wp:extent cx="5486400" cy="733425"/>
            <wp:effectExtent l="0" t="0" r="0" b="0"/>
            <wp:docPr id="1667001190" name="Picture 166700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733425"/>
                    </a:xfrm>
                    <a:prstGeom prst="rect">
                      <a:avLst/>
                    </a:prstGeom>
                  </pic:spPr>
                </pic:pic>
              </a:graphicData>
            </a:graphic>
          </wp:inline>
        </w:drawing>
      </w:r>
    </w:p>
    <w:p w14:paraId="050D709C" w14:textId="77777777" w:rsidR="002D25EA" w:rsidRDefault="002D25EA" w:rsidP="002D25EA">
      <w:pPr>
        <w:spacing w:after="180"/>
        <w:jc w:val="center"/>
      </w:pPr>
      <w:r>
        <w:rPr>
          <w:i/>
          <w:iCs/>
          <w:color w:val="666666"/>
          <w:sz w:val="18"/>
          <w:szCs w:val="18"/>
        </w:rPr>
        <w:t>Figure 10: External API access model</w:t>
      </w:r>
    </w:p>
    <w:p>
      <w:pPr>
        <w:spacing w:after="80" w:before="160"/>
      </w:pPr>
      <w:r>
        <w:rPr>
          <w:rFonts w:ascii="Noe Text Regular" w:cs="Noe Text Regular" w:eastAsia="Noe Text Regular" w:hAnsi="Noe Text Regular"/>
          <w:b/>
          <w:bCs/>
          <w:color w:val="1E2761"/>
          <w:sz w:val="26"/>
          <w:szCs w:val="26"/>
        </w:rPr>
        <w:t xml:space="preserve">How the two decisions are built and secured</w:t>
      </w:r>
    </w:p>
    <w:p>
      <w:pPr>
        <w:spacing w:after="140"/>
      </w:pPr>
      <w:r>
        <w:rPr>
          <w:rFonts w:ascii="Noe Text" w:cs="Noe Text" w:eastAsia="Noe Text" w:hAnsi="Noe Text"/>
          <w:i/>
          <w:iCs/>
          <w:color w:val="333333"/>
          <w:sz w:val="21"/>
          <w:szCs w:val="21"/>
        </w:rPr>
        <w:t xml:space="preserve">The two decisions above set what the platform is: Front Door at the edge, classic Premium with VNet injection. Everything from here is how that gets implemented safely inside the Organization’s existing network, principally its Palo Alto firewall, and inspected. A leadership reader can treat the decisions as the takeaway; the material below is for the team that builds and reviews the network.</w:t>
      </w:r>
    </w:p>
    <w:p w14:paraId="6FA5B768" w14:textId="77777777" w:rsidR="002D25EA" w:rsidRPr="00007E30" w:rsidRDefault="002D25EA" w:rsidP="00007E30">
      <w:pPr>
        <w:rPr>
          <w:b/>
          <w:bCs/>
        </w:rPr>
      </w:pPr>
      <w:r>
        <w:rPr>
          <w:b/>
          <w:bCs/>
        </w:rPr>
        <w:t>Integrating APIM with the Organization’s Palo Alto firewall</w:t>
      </w:r>
    </w:p>
    <w:p w14:paraId="437A0D76" w14:textId="77777777" w:rsidR="002D25EA" w:rsidRDefault="002D25EA" w:rsidP="002D25EA">
      <w:pPr>
        <w:spacing w:after="140"/>
      </w:pPr>
      <w:r>
        <w:t>The Organization already operates a Palo Alto firewall as its network inspection point. Under the recommended inbound model (Model A, section “Reconciling the inbound edge”), external and partner traffic enters through Front Door over Private Link and does not traverse the firewall; the Palo Alto remains the inspection and control point for internal inbound traffic, all outbound/egress, and east-west traffic as configured. The firewall-governed flows are worked through step by step in the appendix "Network traffic flows in detail"; where a flow describes external inbound through the firewall, that is the Model B variant, called out explicitly.</w:t>
      </w:r>
    </w:p>
    <w:p w14:paraId="3C634B4C" w14:textId="77777777" w:rsidR="002D25EA" w:rsidRDefault="002D25EA" w:rsidP="002D25EA">
      <w:pPr>
        <w:spacing w:after="140"/>
      </w:pPr>
      <w:r>
        <w:rPr>
          <w:b/>
          <w:bCs/>
        </w:rPr>
        <w:t>Topology and the guiding principle</w:t>
      </w:r>
    </w:p>
    <w:p w14:paraId="484C7DDF" w14:textId="77777777" w:rsidR="002D25EA" w:rsidRDefault="002D25EA" w:rsidP="002D25EA">
      <w:pPr>
        <w:spacing w:after="140"/>
      </w:pPr>
      <w:r>
        <w:lastRenderedPageBreak/>
        <w:t>The Palo Alto firewall lives in the hub VNet as an NVA behind an internal load balancer. APIM sits in a delegated subnet in a spoke VNet, peered to the hub, and runs in internal mode so its data-plane gateway has a private virtual IP and no public data-plane address. A route table (UDR) on the APIM subnet sends outbound traffic to the Palo Alto for inspection. The guiding principle is that all data-plane traffic to and from APIM is inspected by the Palo Alto, with one deliberate, documented exception, Azure's own control-plane traffic, which must bypass the firewall for APIM to function at all.</w:t>
      </w:r>
    </w:p>
    <w:p w14:paraId="3985B6FE" w14:textId="77777777" w:rsidR="002D25EA" w:rsidRDefault="002D25EA" w:rsidP="002D25EA">
      <w:pPr>
        <w:spacing w:after="140"/>
      </w:pPr>
      <w:r>
        <w:t>That exception is the single most important design point when combining APIM with any NVA, so it is worth stating plainly before the flows: if Azure's management traffic to APIM is force-tunnelled through the firewall, the return path is asymmetric, the stateful firewall drops it, and APIM loses connectivity to the Azure control plane, breaking scaling, updates, and monitoring. The fix is a specific route, covered under Required network artefacts below and detailed in the flows appendix.</w:t>
      </w:r>
    </w:p>
    <w:p w14:paraId="59CA0617" w14:textId="77777777" w:rsidR="002D25EA" w:rsidRPr="00007E30" w:rsidRDefault="002D25EA" w:rsidP="00007E30">
      <w:pPr>
        <w:rPr>
          <w:b/>
          <w:bCs/>
        </w:rPr>
      </w:pPr>
      <w:r>
        <w:rPr>
          <w:b/>
          <w:bCs/>
        </w:rPr>
        <w:t>Reconciling the inbound edge: Front Door (Private Link) versus the firewall (DNAT)</w:t>
      </w:r>
    </w:p>
    <w:p w14:paraId="365875B3" w14:textId="77777777" w:rsidR="002D25EA" w:rsidRDefault="002D25EA" w:rsidP="002D25EA">
      <w:pPr>
        <w:spacing w:after="140"/>
      </w:pPr>
      <w:r>
        <w:t>One point must be settled before the individual flows make sense, because the design as previously drafted implied two different inbound paths at once. External traffic cannot both arrive through Front Door over a Private Link origin and be DNAT-inspected by the Palo Alto on the way in: those are two mutually exclusive inbound models, and the Organization must pick one for external and partner traffic. This section states the choice explicitly; the flows that follow assume it.</w:t>
      </w:r>
    </w:p>
    <w:p w14:paraId="7AA82998" w14:textId="77777777" w:rsidR="002D25EA" w:rsidRDefault="002D25EA" w:rsidP="002D25EA">
      <w:pPr>
        <w:spacing w:after="140"/>
      </w:pPr>
      <w:r>
        <w:t>Model A: Front Door via Private Link (recommended). Public traffic reaches Azure Front Door at the Microsoft edge, where the WAF, TLS termination and DDoS protection are applied, and Front Door then forwards the request to APIM over a Private Link to an inbound private endpoint. This traffic travels the Azure backbone directly into the APIM spoke; by design it does not traverse the hub Palo Alto. Inbound inspection for external traffic is therefore performed by Front Door’s WAF, not by the firewall, and the origin is locked down so APIM accepts traffic only from the Organization’s Front Door instance (Private Link approval plus an NSG that denies the internet, plus verification of the X-Azure-FDID header). The Palo Alto remains the inspection and control point for the other flows: internal inbound, all outbound/egress, and any east-west traffic the Organization chooses to route to it, so nothing about outbound audit or internal zero-trust is weakened; it is only the external inbound leg that Front Door owns.</w:t>
      </w:r>
    </w:p>
    <w:p w14:paraId="205096B2" w14:textId="77777777" w:rsidR="002D25EA" w:rsidRDefault="002D25EA" w:rsidP="002D25EA">
      <w:pPr>
        <w:spacing w:after="140"/>
      </w:pPr>
      <w:r>
        <w:t>Model B: Front Door to a firewall public origin (only if policy mandates NGFW inspection of inbound). If the Organization’s security standard requires the Palo Alto to inspect inbound external traffic as well, then Front Door must target a public-IP origin that is the firewall’s public VIP, which DNATs to the APIM internal gateway. Here the firewall is in the inbound path and traffic is inspected twice (Front Door WAF at the edge, NGFW in the region), at the cost of losing Private Link, having to lock the firewall’s public IP to Front Door service tags and the X-Azure-FDID header, and added operational complexity. This is the double-inspection variant of the Front Door plus Application Gateway option compared in section 3, not the default.</w:t>
      </w:r>
    </w:p>
    <w:p>
      <w:pPr>
        <w:spacing w:after="140"/>
      </w:pPr>
      <w:r>
        <w:rPr>
          <w:rFonts w:ascii="Noe Text" w:cs="Noe Text" w:eastAsia="Noe Text" w:hAnsi="Noe Text"/>
          <w:color w:val="333333"/>
          <w:sz w:val="21"/>
          <w:szCs w:val="21"/>
        </w:rPr>
        <w:t xml:space="preserve">In short: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00"/>
      </w:tblGrid>
      <w:tr>
        <w:trPr>
          <w:tblHeader/>
        </w:trPr>
        <w:tc>
          <w:tcPr>
            <w:tcW w:type="dxa" w:w="24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
            </w:r>
          </w:p>
        </w:tc>
        <w:tc>
          <w:tcPr>
            <w:tcW w:type="dxa" w:w="35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Model A: Front Door direct (recommended)</w:t>
            </w:r>
          </w:p>
        </w:tc>
        <w:tc>
          <w:tcPr>
            <w:tcW w:type="dxa" w:w="34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Model B: Front Door to firewall</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Who inspects inbound traffic</w:t>
            </w:r>
          </w:p>
        </w:tc>
        <w:tc>
          <w:tcPr>
            <w:tcW w:type="dxa" w:w="3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WAF only</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WAF, then the Palo Alto again</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Does traffic touch the Palo Alto</w:t>
            </w:r>
          </w:p>
        </w:tc>
        <w:tc>
          <w:tcPr>
            <w:tcW w:type="dxa" w:w="3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bypasses it by design</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 DNAT through the firewall</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Private Link to APIM</w:t>
            </w:r>
          </w:p>
        </w:tc>
        <w:tc>
          <w:tcPr>
            <w:tcW w:type="dxa" w:w="3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Yes</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needs a public firewall VIP instead</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Operational complexity</w:t>
            </w:r>
          </w:p>
        </w:tc>
        <w:tc>
          <w:tcPr>
            <w:tcW w:type="dxa" w:w="3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Lower</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Higher: two inspection layers to maintain</w:t>
            </w:r>
          </w:p>
        </w:tc>
      </w:tr>
      <w:tr>
        <w:tc>
          <w:tcPr>
            <w:tcW w:type="dxa" w:w="2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Choose this if</w:t>
            </w:r>
          </w:p>
        </w:tc>
        <w:tc>
          <w:tcPr>
            <w:tcW w:type="dxa" w:w="3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Door's WAF satisfies the Organization’s policy</w:t>
            </w:r>
          </w:p>
        </w:tc>
        <w:tc>
          <w:tcPr>
            <w:tcW w:type="dxa" w:w="34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Security policy mandates NGFW inspection of every inbound request</w:t>
            </w:r>
          </w:p>
        </w:tc>
      </w:tr>
    </w:tbl>
    <w:p w14:paraId="4EB1E27C" w14:textId="77777777" w:rsidR="002D25EA" w:rsidRDefault="002D25EA" w:rsidP="002D25EA">
      <w:pPr>
        <w:spacing w:after="140"/>
      </w:pPr>
      <w:r>
        <w:t xml:space="preserve">A compatibility note to confirm at build time: routing Front Door to an internal-mode classic Premium instance over an inbound private endpoint depends on the specific tier and network-mode support in force at build time, which Microsoft has been actively extending (inbound private endpoints, and workspaces on the built-in gateway with Private Link, have both moved forward recently). The Organization should validate the exact Front Door → Private Link → internal APIM path against the current Azure capability for the chosen tier before locking the network design. If it is not available for the chosen tier at build time, Model B is the </w:t>
      </w:r>
      <w:commentRangeStart w:id="21"/>
      <w:r>
        <w:t>fallback</w:t>
      </w:r>
      <w:commentRangeEnd w:id="21"/>
      <w:r>
        <w:rPr>
          <w:rStyle w:val="CommentReference"/>
          <w:sz w:val="21"/>
          <w:szCs w:val="21"/>
        </w:rPr>
        <w:commentReference w:id="21"/>
      </w:r>
      <w:r>
        <w:t>.</w:t>
      </w:r>
    </w:p>
    <w:p w14:paraId="194A9540" w14:textId="77777777" w:rsidR="002D25EA" w:rsidRDefault="002D25EA" w:rsidP="002D25EA">
      <w:pPr>
        <w:spacing w:before="80" w:after="120"/>
        <w:jc w:val="center"/>
      </w:pPr>
      <w:r>
        <w:rPr>
          <w:noProof/>
        </w:rPr>
        <w:lastRenderedPageBreak/>
        <w:drawing>
          <wp:inline distT="0" distB="0" distL="0" distR="0" wp14:anchorId="4A64722D" wp14:editId="0A7D0689">
            <wp:extent cx="5943600" cy="149858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1498583"/>
                    </a:xfrm>
                    <a:prstGeom prst="rect">
                      <a:avLst/>
                    </a:prstGeom>
                  </pic:spPr>
                </pic:pic>
              </a:graphicData>
            </a:graphic>
          </wp:inline>
        </w:drawing>
      </w:r>
    </w:p>
    <w:p w14:paraId="5D4C88CC" w14:textId="77777777" w:rsidR="002D25EA" w:rsidRDefault="002D25EA" w:rsidP="002D25EA">
      <w:pPr>
        <w:spacing w:after="180"/>
        <w:jc w:val="center"/>
      </w:pPr>
      <w:r>
        <w:rPr>
          <w:i/>
          <w:iCs/>
          <w:color w:val="666666"/>
          <w:sz w:val="18"/>
          <w:szCs w:val="18"/>
        </w:rPr>
        <w:t>Figure 11: Which flows traverse the Palo Alto, external inbound via Front Door/Private Link bypasses the NVA by design; internal, egress and control-plane flows are unchanged</w:t>
      </w:r>
    </w:p>
    <w:p w14:paraId="5C28DE10" w14:textId="77777777" w:rsidR="002D25EA" w:rsidRDefault="002D25EA" w:rsidP="002D25EA">
      <w:pPr>
        <w:spacing w:after="140"/>
      </w:pPr>
      <w:r>
        <w:t>Summary of which flows traverse the firewall under the recommended model: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00"/>
      </w:tblGrid>
      <w:tr w:rsidR="002D25EA" w14:paraId="09A1AFE7" w14:textId="77777777" w:rsidTr="00D9409F">
        <w:trPr>
          <w:tblHeader/>
        </w:trPr>
        <w:tc>
          <w:tcPr>
            <w:tcW w:w="3000" w:type="dxa"/>
            <w:shd w:val="clear" w:color="auto" w:fill="1E2761"/>
            <w:tcMar>
              <w:top w:w="70" w:type="dxa"/>
              <w:left w:w="100" w:type="dxa"/>
              <w:bottom w:w="70" w:type="dxa"/>
              <w:right w:w="100" w:type="dxa"/>
            </w:tcMar>
          </w:tcPr>
          <w:p w14:paraId="26DBF17E" w14:textId="77777777" w:rsidR="002D25EA" w:rsidRDefault="002D25EA" w:rsidP="00D9409F">
            <w:r>
              <w:rPr>
                <w:b/>
                <w:bCs/>
                <w:color w:val="FFFFFF"/>
                <w:sz w:val="18"/>
                <w:szCs w:val="18"/>
              </w:rPr>
              <w:t>Traffic flow</w:t>
            </w:r>
          </w:p>
        </w:tc>
        <w:tc>
          <w:tcPr>
            <w:tcW w:w="2400" w:type="dxa"/>
            <w:shd w:val="clear" w:color="auto" w:fill="1E2761"/>
            <w:tcMar>
              <w:top w:w="70" w:type="dxa"/>
              <w:left w:w="100" w:type="dxa"/>
              <w:bottom w:w="70" w:type="dxa"/>
              <w:right w:w="100" w:type="dxa"/>
            </w:tcMar>
          </w:tcPr>
          <w:p w14:paraId="5ECC34E8" w14:textId="77777777" w:rsidR="002D25EA" w:rsidRDefault="002D25EA" w:rsidP="00D9409F">
            <w:r>
              <w:rPr>
                <w:b/>
                <w:bCs/>
                <w:color w:val="FFFFFF"/>
                <w:sz w:val="18"/>
                <w:szCs w:val="18"/>
              </w:rPr>
              <w:t>Through Palo Alto?</w:t>
            </w:r>
          </w:p>
        </w:tc>
        <w:tc>
          <w:tcPr>
            <w:tcW w:w="3900" w:type="dxa"/>
            <w:shd w:val="clear" w:color="auto" w:fill="1E2761"/>
            <w:tcMar>
              <w:top w:w="70" w:type="dxa"/>
              <w:left w:w="100" w:type="dxa"/>
              <w:bottom w:w="70" w:type="dxa"/>
              <w:right w:w="100" w:type="dxa"/>
            </w:tcMar>
          </w:tcPr>
          <w:p w14:paraId="5B1682B8" w14:textId="77777777" w:rsidR="002D25EA" w:rsidRDefault="002D25EA" w:rsidP="00D9409F">
            <w:r>
              <w:rPr>
                <w:b/>
                <w:bCs/>
                <w:color w:val="FFFFFF"/>
                <w:sz w:val="18"/>
                <w:szCs w:val="18"/>
              </w:rPr>
              <w:t>How it is secured</w:t>
            </w:r>
          </w:p>
        </w:tc>
      </w:tr>
      <w:tr w:rsidR="002D25EA" w14:paraId="4C0546F5" w14:textId="77777777" w:rsidTr="00D9409F">
        <w:tc>
          <w:tcPr>
            <w:tcW w:w="3000" w:type="dxa"/>
            <w:tcMar>
              <w:top w:w="70" w:type="dxa"/>
              <w:left w:w="100" w:type="dxa"/>
              <w:bottom w:w="70" w:type="dxa"/>
              <w:right w:w="100" w:type="dxa"/>
            </w:tcMar>
          </w:tcPr>
          <w:p w14:paraId="1AE5E957" w14:textId="77777777" w:rsidR="002D25EA" w:rsidRDefault="002D25EA" w:rsidP="00D9409F">
            <w:r>
              <w:rPr>
                <w:sz w:val="18"/>
                <w:szCs w:val="18"/>
              </w:rPr>
              <w:t>External inbound (via Front Door)</w:t>
            </w:r>
          </w:p>
        </w:tc>
        <w:tc>
          <w:tcPr>
            <w:tcW w:w="2400" w:type="dxa"/>
            <w:tcMar>
              <w:top w:w="70" w:type="dxa"/>
              <w:left w:w="100" w:type="dxa"/>
              <w:bottom w:w="70" w:type="dxa"/>
              <w:right w:w="100" w:type="dxa"/>
            </w:tcMar>
          </w:tcPr>
          <w:p w14:paraId="01357FD5" w14:textId="77777777" w:rsidR="002D25EA" w:rsidRDefault="002D25EA" w:rsidP="00D9409F">
            <w:r>
              <w:rPr>
                <w:sz w:val="18"/>
                <w:szCs w:val="18"/>
              </w:rPr>
              <w:t>No: bypasses the NVA by design</w:t>
            </w:r>
          </w:p>
        </w:tc>
        <w:tc>
          <w:tcPr>
            <w:tcW w:w="3900" w:type="dxa"/>
            <w:tcMar>
              <w:top w:w="70" w:type="dxa"/>
              <w:left w:w="100" w:type="dxa"/>
              <w:bottom w:w="70" w:type="dxa"/>
              <w:right w:w="100" w:type="dxa"/>
            </w:tcMar>
          </w:tcPr>
          <w:p w14:paraId="7C75BDF4" w14:textId="77777777" w:rsidR="002D25EA" w:rsidRDefault="002D25EA" w:rsidP="00D9409F">
            <w:r>
              <w:rPr>
                <w:sz w:val="18"/>
                <w:szCs w:val="18"/>
              </w:rPr>
              <w:t>Front Door WAF at the edge; origin locked to Front Door (Private Link + NSG + X-Azure-FDID)</w:t>
            </w:r>
          </w:p>
        </w:tc>
      </w:tr>
      <w:tr w:rsidR="002D25EA" w14:paraId="35B9F458" w14:textId="77777777" w:rsidTr="00D9409F">
        <w:tc>
          <w:tcPr>
            <w:tcW w:w="3000" w:type="dxa"/>
            <w:tcMar>
              <w:top w:w="70" w:type="dxa"/>
              <w:left w:w="100" w:type="dxa"/>
              <w:bottom w:w="70" w:type="dxa"/>
              <w:right w:w="100" w:type="dxa"/>
            </w:tcMar>
          </w:tcPr>
          <w:p w14:paraId="017FFA0D" w14:textId="77777777" w:rsidR="002D25EA" w:rsidRDefault="002D25EA" w:rsidP="00D9409F">
            <w:r>
              <w:rPr>
                <w:sz w:val="18"/>
                <w:szCs w:val="18"/>
              </w:rPr>
              <w:t>Internal inbound</w:t>
            </w:r>
          </w:p>
        </w:tc>
        <w:tc>
          <w:tcPr>
            <w:tcW w:w="2400" w:type="dxa"/>
            <w:tcMar>
              <w:top w:w="70" w:type="dxa"/>
              <w:left w:w="100" w:type="dxa"/>
              <w:bottom w:w="70" w:type="dxa"/>
              <w:right w:w="100" w:type="dxa"/>
            </w:tcMar>
          </w:tcPr>
          <w:p w14:paraId="25A87E6B" w14:textId="77777777" w:rsidR="002D25EA" w:rsidRDefault="002D25EA" w:rsidP="00D9409F">
            <w:r>
              <w:rPr>
                <w:sz w:val="18"/>
                <w:szCs w:val="18"/>
              </w:rPr>
              <w:t>Yes</w:t>
            </w:r>
          </w:p>
        </w:tc>
        <w:tc>
          <w:tcPr>
            <w:tcW w:w="3900" w:type="dxa"/>
            <w:tcMar>
              <w:top w:w="70" w:type="dxa"/>
              <w:left w:w="100" w:type="dxa"/>
              <w:bottom w:w="70" w:type="dxa"/>
              <w:right w:w="100" w:type="dxa"/>
            </w:tcMar>
          </w:tcPr>
          <w:p w14:paraId="4C06A377" w14:textId="77777777" w:rsidR="002D25EA" w:rsidRDefault="002D25EA" w:rsidP="00D9409F">
            <w:r>
              <w:rPr>
                <w:sz w:val="18"/>
                <w:szCs w:val="18"/>
              </w:rPr>
              <w:t>Palo Alto inspects and forwards to the APIM internal VIP</w:t>
            </w:r>
          </w:p>
        </w:tc>
      </w:tr>
      <w:tr w:rsidR="002D25EA" w14:paraId="70F47D15" w14:textId="77777777" w:rsidTr="00D9409F">
        <w:tc>
          <w:tcPr>
            <w:tcW w:w="3000" w:type="dxa"/>
            <w:tcMar>
              <w:top w:w="70" w:type="dxa"/>
              <w:left w:w="100" w:type="dxa"/>
              <w:bottom w:w="70" w:type="dxa"/>
              <w:right w:w="100" w:type="dxa"/>
            </w:tcMar>
          </w:tcPr>
          <w:p w14:paraId="39DFA98A" w14:textId="77777777" w:rsidR="002D25EA" w:rsidRDefault="002D25EA" w:rsidP="00D9409F">
            <w:r>
              <w:rPr>
                <w:sz w:val="18"/>
                <w:szCs w:val="18"/>
              </w:rPr>
              <w:t>Outbound / egress (APIM → internet/SaaS)</w:t>
            </w:r>
          </w:p>
        </w:tc>
        <w:tc>
          <w:tcPr>
            <w:tcW w:w="2400" w:type="dxa"/>
            <w:tcMar>
              <w:top w:w="70" w:type="dxa"/>
              <w:left w:w="100" w:type="dxa"/>
              <w:bottom w:w="70" w:type="dxa"/>
              <w:right w:w="100" w:type="dxa"/>
            </w:tcMar>
          </w:tcPr>
          <w:p w14:paraId="5477D73E" w14:textId="77777777" w:rsidR="002D25EA" w:rsidRDefault="002D25EA" w:rsidP="00D9409F">
            <w:r>
              <w:rPr>
                <w:sz w:val="18"/>
                <w:szCs w:val="18"/>
              </w:rPr>
              <w:t>Yes</w:t>
            </w:r>
          </w:p>
        </w:tc>
        <w:tc>
          <w:tcPr>
            <w:tcW w:w="3900" w:type="dxa"/>
            <w:tcMar>
              <w:top w:w="70" w:type="dxa"/>
              <w:left w:w="100" w:type="dxa"/>
              <w:bottom w:w="70" w:type="dxa"/>
              <w:right w:w="100" w:type="dxa"/>
            </w:tcMar>
          </w:tcPr>
          <w:p w14:paraId="148943A3" w14:textId="77777777" w:rsidR="002D25EA" w:rsidRDefault="002D25EA" w:rsidP="00D9409F">
            <w:r>
              <w:rPr>
                <w:sz w:val="18"/>
                <w:szCs w:val="18"/>
              </w:rPr>
              <w:t>Forced-tunnel UDR to the Palo Alto; egress + URL-filtering policy</w:t>
            </w:r>
          </w:p>
        </w:tc>
      </w:tr>
      <w:tr w:rsidR="002D25EA" w14:paraId="547E836C" w14:textId="77777777" w:rsidTr="00D9409F">
        <w:tc>
          <w:tcPr>
            <w:tcW w:w="3000" w:type="dxa"/>
            <w:tcMar>
              <w:top w:w="70" w:type="dxa"/>
              <w:left w:w="100" w:type="dxa"/>
              <w:bottom w:w="70" w:type="dxa"/>
              <w:right w:w="100" w:type="dxa"/>
            </w:tcMar>
          </w:tcPr>
          <w:p w14:paraId="6E6F89A9" w14:textId="77777777" w:rsidR="002D25EA" w:rsidRDefault="002D25EA" w:rsidP="00D9409F">
            <w:r>
              <w:rPr>
                <w:sz w:val="18"/>
                <w:szCs w:val="18"/>
              </w:rPr>
              <w:t>APIM → private backends (east-west)</w:t>
            </w:r>
          </w:p>
        </w:tc>
        <w:tc>
          <w:tcPr>
            <w:tcW w:w="2400" w:type="dxa"/>
            <w:tcMar>
              <w:top w:w="70" w:type="dxa"/>
              <w:left w:w="100" w:type="dxa"/>
              <w:bottom w:w="70" w:type="dxa"/>
              <w:right w:w="100" w:type="dxa"/>
            </w:tcMar>
          </w:tcPr>
          <w:p w14:paraId="4800FC20" w14:textId="77777777" w:rsidR="002D25EA" w:rsidRDefault="002D25EA" w:rsidP="00D9409F">
            <w:r>
              <w:rPr>
                <w:sz w:val="18"/>
                <w:szCs w:val="18"/>
              </w:rPr>
              <w:t>Optional</w:t>
            </w:r>
          </w:p>
        </w:tc>
        <w:tc>
          <w:tcPr>
            <w:tcW w:w="3900" w:type="dxa"/>
            <w:tcMar>
              <w:top w:w="70" w:type="dxa"/>
              <w:left w:w="100" w:type="dxa"/>
              <w:bottom w:w="70" w:type="dxa"/>
              <w:right w:w="100" w:type="dxa"/>
            </w:tcMar>
          </w:tcPr>
          <w:p w14:paraId="68D52878" w14:textId="77777777" w:rsidR="002D25EA" w:rsidRDefault="002D25EA" w:rsidP="00D9409F">
            <w:r>
              <w:rPr>
                <w:sz w:val="18"/>
                <w:szCs w:val="18"/>
              </w:rPr>
              <w:t>Private Endpoint + NSG by default; /32 UDR to firewall only if policy requires</w:t>
            </w:r>
          </w:p>
        </w:tc>
      </w:tr>
      <w:tr w:rsidR="002D25EA" w14:paraId="6100C766" w14:textId="77777777" w:rsidTr="00D9409F">
        <w:tc>
          <w:tcPr>
            <w:tcW w:w="3000" w:type="dxa"/>
            <w:tcMar>
              <w:top w:w="70" w:type="dxa"/>
              <w:left w:w="100" w:type="dxa"/>
              <w:bottom w:w="70" w:type="dxa"/>
              <w:right w:w="100" w:type="dxa"/>
            </w:tcMar>
          </w:tcPr>
          <w:p w14:paraId="14849B6E" w14:textId="77777777" w:rsidR="002D25EA" w:rsidRDefault="002D25EA" w:rsidP="00D9409F">
            <w:r>
              <w:rPr>
                <w:sz w:val="18"/>
                <w:szCs w:val="18"/>
              </w:rPr>
              <w:t>Azure control plane</w:t>
            </w:r>
          </w:p>
        </w:tc>
        <w:tc>
          <w:tcPr>
            <w:tcW w:w="2400" w:type="dxa"/>
            <w:tcMar>
              <w:top w:w="70" w:type="dxa"/>
              <w:left w:w="100" w:type="dxa"/>
              <w:bottom w:w="70" w:type="dxa"/>
              <w:right w:w="100" w:type="dxa"/>
            </w:tcMar>
          </w:tcPr>
          <w:p w14:paraId="3E4B9298" w14:textId="77777777" w:rsidR="002D25EA" w:rsidRDefault="002D25EA" w:rsidP="00D9409F">
            <w:r>
              <w:rPr>
                <w:sz w:val="18"/>
                <w:szCs w:val="18"/>
              </w:rPr>
              <w:t>No: must bypass</w:t>
            </w:r>
          </w:p>
        </w:tc>
        <w:tc>
          <w:tcPr>
            <w:tcW w:w="3900" w:type="dxa"/>
            <w:tcMar>
              <w:top w:w="70" w:type="dxa"/>
              <w:left w:w="100" w:type="dxa"/>
              <w:bottom w:w="70" w:type="dxa"/>
              <w:right w:w="100" w:type="dxa"/>
            </w:tcMar>
          </w:tcPr>
          <w:p w14:paraId="74439D91" w14:textId="77777777" w:rsidR="002D25EA" w:rsidRDefault="002D25EA" w:rsidP="00D9409F">
            <w:r>
              <w:rPr>
                <w:sz w:val="18"/>
                <w:szCs w:val="18"/>
              </w:rPr>
              <w:t>ApiManagement service tag UDR next-hop Internet (mandatory, section below)</w:t>
            </w:r>
          </w:p>
        </w:tc>
      </w:tr>
    </w:tbl>
    <w:p>
      <w:pPr>
        <w:spacing w:after="140"/>
      </w:pPr>
      <w:r>
        <w:rPr>
          <w:rFonts w:ascii="Noe Text" w:cs="Noe Text" w:eastAsia="Noe Text" w:hAnsi="Noe Text"/>
          <w:color w:val="333333"/>
          <w:sz w:val="21"/>
          <w:szCs w:val="21"/>
        </w:rPr>
        <w:t xml:space="preserve">The table above is the complete answer for most readers: it says which flows touch the firewall and how each is secured. The step-by-step configuration of all five flows, the exact DNAT rules, user-defined routes and NSG entries a network engineer needs to build them, is set out in the appendix "Network traffic flows in detail" so it does not interrupt the design narrative here. The one flow that must not be missed, the mandatory control-plane bypass, is also called out separately under Required network artefacts below because getting it wrong silently breaks the platform.</w:t>
      </w:r>
    </w:p>
    <w:p w14:paraId="1C5FC0EF" w14:textId="77777777" w:rsidR="002D25EA" w:rsidRDefault="002D25EA" w:rsidP="002D25EA">
      <w:pPr>
        <w:spacing w:after="140"/>
      </w:pPr>
      <w:r>
        <w:rPr>
          <w:b/>
          <w:bCs/>
        </w:rPr>
        <w:t>Required routing and firewall summary</w:t>
      </w:r>
    </w:p>
    <w:p w14:paraId="20795529" w14:textId="77777777" w:rsidR="002D25EA" w:rsidRDefault="002D25EA" w:rsidP="002D25EA">
      <w:pPr>
        <w:spacing w:after="140"/>
      </w:pPr>
      <w:r>
        <w:t>Pulling the flows together, the concrete configuration 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94D5696" w14:textId="77777777" w:rsidTr="00D9409F">
        <w:trPr>
          <w:tblHeader/>
        </w:trPr>
        <w:tc>
          <w:tcPr>
            <w:tcW w:w="3100" w:type="dxa"/>
            <w:shd w:val="clear" w:color="auto" w:fill="1E2761"/>
            <w:tcMar>
              <w:top w:w="70" w:type="dxa"/>
              <w:left w:w="100" w:type="dxa"/>
              <w:bottom w:w="70" w:type="dxa"/>
              <w:right w:w="100" w:type="dxa"/>
            </w:tcMar>
            <w:vAlign w:val="center"/>
          </w:tcPr>
          <w:p w14:paraId="69C4D28B" w14:textId="77777777" w:rsidR="002D25EA" w:rsidRDefault="002D25EA" w:rsidP="00D9409F">
            <w:r>
              <w:rPr>
                <w:b/>
                <w:bCs/>
                <w:color w:val="FFFFFF"/>
                <w:sz w:val="18"/>
                <w:szCs w:val="18"/>
              </w:rPr>
              <w:t>Path</w:t>
            </w:r>
          </w:p>
        </w:tc>
        <w:tc>
          <w:tcPr>
            <w:tcW w:w="3100" w:type="dxa"/>
            <w:shd w:val="clear" w:color="auto" w:fill="1E2761"/>
            <w:tcMar>
              <w:top w:w="70" w:type="dxa"/>
              <w:left w:w="100" w:type="dxa"/>
              <w:bottom w:w="70" w:type="dxa"/>
              <w:right w:w="100" w:type="dxa"/>
            </w:tcMar>
            <w:vAlign w:val="center"/>
          </w:tcPr>
          <w:p w14:paraId="3ECE17BB" w14:textId="77777777" w:rsidR="002D25EA" w:rsidRDefault="002D25EA" w:rsidP="00D9409F">
            <w:r>
              <w:rPr>
                <w:b/>
                <w:bCs/>
                <w:color w:val="FFFFFF"/>
                <w:sz w:val="18"/>
                <w:szCs w:val="18"/>
              </w:rPr>
              <w:t>Where enforced</w:t>
            </w:r>
          </w:p>
        </w:tc>
        <w:tc>
          <w:tcPr>
            <w:tcW w:w="3100" w:type="dxa"/>
            <w:shd w:val="clear" w:color="auto" w:fill="1E2761"/>
            <w:tcMar>
              <w:top w:w="70" w:type="dxa"/>
              <w:left w:w="100" w:type="dxa"/>
              <w:bottom w:w="70" w:type="dxa"/>
              <w:right w:w="100" w:type="dxa"/>
            </w:tcMar>
            <w:vAlign w:val="center"/>
          </w:tcPr>
          <w:p w14:paraId="037136BB" w14:textId="77777777" w:rsidR="002D25EA" w:rsidRDefault="002D25EA" w:rsidP="00D9409F">
            <w:r>
              <w:rPr>
                <w:b/>
                <w:bCs/>
                <w:color w:val="FFFFFF"/>
                <w:sz w:val="18"/>
                <w:szCs w:val="18"/>
              </w:rPr>
              <w:t>Rule</w:t>
            </w:r>
          </w:p>
        </w:tc>
      </w:tr>
      <w:tr w:rsidR="002D25EA" w14:paraId="275AA95D" w14:textId="77777777" w:rsidTr="00D9409F">
        <w:tc>
          <w:tcPr>
            <w:tcW w:w="3100" w:type="dxa"/>
            <w:tcMar>
              <w:top w:w="70" w:type="dxa"/>
              <w:left w:w="100" w:type="dxa"/>
              <w:bottom w:w="70" w:type="dxa"/>
              <w:right w:w="100" w:type="dxa"/>
            </w:tcMar>
            <w:vAlign w:val="center"/>
          </w:tcPr>
          <w:p w14:paraId="16FF8A3E" w14:textId="77777777" w:rsidR="002D25EA" w:rsidRDefault="002D25EA" w:rsidP="00D9409F">
            <w:r>
              <w:rPr>
                <w:sz w:val="18"/>
                <w:szCs w:val="18"/>
              </w:rPr>
              <w:t>External inbound</w:t>
            </w:r>
          </w:p>
        </w:tc>
        <w:tc>
          <w:tcPr>
            <w:tcW w:w="3100" w:type="dxa"/>
            <w:tcMar>
              <w:top w:w="70" w:type="dxa"/>
              <w:left w:w="100" w:type="dxa"/>
              <w:bottom w:w="70" w:type="dxa"/>
              <w:right w:w="100" w:type="dxa"/>
            </w:tcMar>
            <w:vAlign w:val="center"/>
          </w:tcPr>
          <w:p w14:paraId="64672684" w14:textId="77777777" w:rsidR="002D25EA" w:rsidRDefault="002D25EA" w:rsidP="00D9409F">
            <w:r>
              <w:rPr>
                <w:sz w:val="18"/>
                <w:szCs w:val="18"/>
              </w:rPr>
              <w:t>Palo Alto (hub)</w:t>
            </w:r>
          </w:p>
        </w:tc>
        <w:tc>
          <w:tcPr>
            <w:tcW w:w="3100" w:type="dxa"/>
            <w:tcMar>
              <w:top w:w="70" w:type="dxa"/>
              <w:left w:w="100" w:type="dxa"/>
              <w:bottom w:w="70" w:type="dxa"/>
              <w:right w:w="100" w:type="dxa"/>
            </w:tcMar>
            <w:vAlign w:val="center"/>
          </w:tcPr>
          <w:p w14:paraId="643D866B" w14:textId="77777777" w:rsidR="002D25EA" w:rsidRDefault="002D25EA" w:rsidP="00D9409F">
            <w:r>
              <w:rPr>
                <w:sz w:val="18"/>
                <w:szCs w:val="18"/>
              </w:rPr>
              <w:t>DNAT public listener to APIM internal VIP; allow 443 only</w:t>
            </w:r>
          </w:p>
        </w:tc>
      </w:tr>
      <w:tr w:rsidR="002D25EA" w14:paraId="37F275AF" w14:textId="77777777" w:rsidTr="00D9409F">
        <w:tc>
          <w:tcPr>
            <w:tcW w:w="3100" w:type="dxa"/>
            <w:tcMar>
              <w:top w:w="70" w:type="dxa"/>
              <w:left w:w="100" w:type="dxa"/>
              <w:bottom w:w="70" w:type="dxa"/>
              <w:right w:w="100" w:type="dxa"/>
            </w:tcMar>
            <w:vAlign w:val="center"/>
          </w:tcPr>
          <w:p w14:paraId="5C201D3D" w14:textId="77777777" w:rsidR="002D25EA" w:rsidRDefault="002D25EA" w:rsidP="00D9409F">
            <w:r>
              <w:rPr>
                <w:sz w:val="18"/>
                <w:szCs w:val="18"/>
              </w:rPr>
              <w:t>Internal inbound</w:t>
            </w:r>
          </w:p>
        </w:tc>
        <w:tc>
          <w:tcPr>
            <w:tcW w:w="3100" w:type="dxa"/>
            <w:tcMar>
              <w:top w:w="70" w:type="dxa"/>
              <w:left w:w="100" w:type="dxa"/>
              <w:bottom w:w="70" w:type="dxa"/>
              <w:right w:w="100" w:type="dxa"/>
            </w:tcMar>
            <w:vAlign w:val="center"/>
          </w:tcPr>
          <w:p w14:paraId="570E9FCD" w14:textId="77777777" w:rsidR="002D25EA" w:rsidRDefault="002D25EA" w:rsidP="00D9409F">
            <w:r>
              <w:rPr>
                <w:sz w:val="18"/>
                <w:szCs w:val="18"/>
              </w:rPr>
              <w:t>Palo Alto / on-prem FW</w:t>
            </w:r>
          </w:p>
        </w:tc>
        <w:tc>
          <w:tcPr>
            <w:tcW w:w="3100" w:type="dxa"/>
            <w:tcMar>
              <w:top w:w="70" w:type="dxa"/>
              <w:left w:w="100" w:type="dxa"/>
              <w:bottom w:w="70" w:type="dxa"/>
              <w:right w:w="100" w:type="dxa"/>
            </w:tcMar>
            <w:vAlign w:val="center"/>
          </w:tcPr>
          <w:p w14:paraId="671551DD" w14:textId="77777777" w:rsidR="002D25EA" w:rsidRDefault="002D25EA" w:rsidP="00D9409F">
            <w:r>
              <w:rPr>
                <w:sz w:val="18"/>
                <w:szCs w:val="18"/>
              </w:rPr>
              <w:t>Inspect and forward to APIM VIP; enable gateway route propagation</w:t>
            </w:r>
          </w:p>
        </w:tc>
      </w:tr>
      <w:tr w:rsidR="002D25EA" w14:paraId="40C86A30" w14:textId="77777777" w:rsidTr="00D9409F">
        <w:tc>
          <w:tcPr>
            <w:tcW w:w="3100" w:type="dxa"/>
            <w:tcMar>
              <w:top w:w="70" w:type="dxa"/>
              <w:left w:w="100" w:type="dxa"/>
              <w:bottom w:w="70" w:type="dxa"/>
              <w:right w:w="100" w:type="dxa"/>
            </w:tcMar>
            <w:vAlign w:val="center"/>
          </w:tcPr>
          <w:p w14:paraId="6B9991B7" w14:textId="77777777" w:rsidR="002D25EA" w:rsidRDefault="002D25EA" w:rsidP="00D9409F">
            <w:r>
              <w:rPr>
                <w:sz w:val="18"/>
                <w:szCs w:val="18"/>
              </w:rPr>
              <w:t>Outbound to internet</w:t>
            </w:r>
          </w:p>
        </w:tc>
        <w:tc>
          <w:tcPr>
            <w:tcW w:w="3100" w:type="dxa"/>
            <w:tcMar>
              <w:top w:w="70" w:type="dxa"/>
              <w:left w:w="100" w:type="dxa"/>
              <w:bottom w:w="70" w:type="dxa"/>
              <w:right w:w="100" w:type="dxa"/>
            </w:tcMar>
            <w:vAlign w:val="center"/>
          </w:tcPr>
          <w:p w14:paraId="7D77FCD5" w14:textId="77777777" w:rsidR="002D25EA" w:rsidRDefault="002D25EA" w:rsidP="00D9409F">
            <w:r>
              <w:rPr>
                <w:sz w:val="18"/>
                <w:szCs w:val="18"/>
              </w:rPr>
              <w:t>APIM subnet UDR + Palo Alto</w:t>
            </w:r>
          </w:p>
        </w:tc>
        <w:tc>
          <w:tcPr>
            <w:tcW w:w="3100" w:type="dxa"/>
            <w:tcMar>
              <w:top w:w="70" w:type="dxa"/>
              <w:left w:w="100" w:type="dxa"/>
              <w:bottom w:w="70" w:type="dxa"/>
              <w:right w:w="100" w:type="dxa"/>
            </w:tcMar>
            <w:vAlign w:val="center"/>
          </w:tcPr>
          <w:p w14:paraId="7F2B722F" w14:textId="77777777" w:rsidR="002D25EA" w:rsidRDefault="002D25EA" w:rsidP="00D9409F">
            <w:r>
              <w:rPr>
                <w:sz w:val="18"/>
                <w:szCs w:val="18"/>
              </w:rPr>
              <w:t>0.0.0.0/0 next hop = firewall LB IP; egress policy on the firewall</w:t>
            </w:r>
          </w:p>
        </w:tc>
      </w:tr>
      <w:tr w:rsidR="002D25EA" w14:paraId="4DDB6C41" w14:textId="77777777" w:rsidTr="00D9409F">
        <w:tc>
          <w:tcPr>
            <w:tcW w:w="3100" w:type="dxa"/>
            <w:tcMar>
              <w:top w:w="70" w:type="dxa"/>
              <w:left w:w="100" w:type="dxa"/>
              <w:bottom w:w="70" w:type="dxa"/>
              <w:right w:w="100" w:type="dxa"/>
            </w:tcMar>
            <w:vAlign w:val="center"/>
          </w:tcPr>
          <w:p w14:paraId="639E89AE" w14:textId="77777777" w:rsidR="002D25EA" w:rsidRDefault="002D25EA" w:rsidP="00D9409F">
            <w:r>
              <w:rPr>
                <w:sz w:val="18"/>
                <w:szCs w:val="18"/>
              </w:rPr>
              <w:t>APIM to private backend</w:t>
            </w:r>
          </w:p>
        </w:tc>
        <w:tc>
          <w:tcPr>
            <w:tcW w:w="3100" w:type="dxa"/>
            <w:tcMar>
              <w:top w:w="70" w:type="dxa"/>
              <w:left w:w="100" w:type="dxa"/>
              <w:bottom w:w="70" w:type="dxa"/>
              <w:right w:w="100" w:type="dxa"/>
            </w:tcMar>
            <w:vAlign w:val="center"/>
          </w:tcPr>
          <w:p w14:paraId="5414B4AC" w14:textId="77777777" w:rsidR="002D25EA" w:rsidRDefault="002D25EA" w:rsidP="00D9409F">
            <w:r>
              <w:rPr>
                <w:sz w:val="18"/>
                <w:szCs w:val="18"/>
              </w:rPr>
              <w:t>NSG + Private Endpoint</w:t>
            </w:r>
          </w:p>
        </w:tc>
        <w:tc>
          <w:tcPr>
            <w:tcW w:w="3100" w:type="dxa"/>
            <w:tcMar>
              <w:top w:w="70" w:type="dxa"/>
              <w:left w:w="100" w:type="dxa"/>
              <w:bottom w:w="70" w:type="dxa"/>
              <w:right w:w="100" w:type="dxa"/>
            </w:tcMar>
            <w:vAlign w:val="center"/>
          </w:tcPr>
          <w:p w14:paraId="396409DE" w14:textId="77777777" w:rsidR="002D25EA" w:rsidRDefault="002D25EA" w:rsidP="00D9409F">
            <w:r>
              <w:rPr>
                <w:sz w:val="18"/>
                <w:szCs w:val="18"/>
              </w:rPr>
              <w:t>Private path; optional /32 UDR to firewall if east-west inspection required</w:t>
            </w:r>
          </w:p>
        </w:tc>
      </w:tr>
      <w:tr w:rsidR="002D25EA" w14:paraId="632000A9" w14:textId="77777777" w:rsidTr="00D9409F">
        <w:tc>
          <w:tcPr>
            <w:tcW w:w="3100" w:type="dxa"/>
            <w:tcMar>
              <w:top w:w="70" w:type="dxa"/>
              <w:left w:w="100" w:type="dxa"/>
              <w:bottom w:w="70" w:type="dxa"/>
              <w:right w:w="100" w:type="dxa"/>
            </w:tcMar>
            <w:vAlign w:val="center"/>
          </w:tcPr>
          <w:p w14:paraId="75D4D4F3" w14:textId="77777777" w:rsidR="002D25EA" w:rsidRDefault="002D25EA" w:rsidP="00D9409F">
            <w:r>
              <w:rPr>
                <w:sz w:val="18"/>
                <w:szCs w:val="18"/>
              </w:rPr>
              <w:t>Control plane (mandatory)</w:t>
            </w:r>
          </w:p>
        </w:tc>
        <w:tc>
          <w:tcPr>
            <w:tcW w:w="3100" w:type="dxa"/>
            <w:tcMar>
              <w:top w:w="70" w:type="dxa"/>
              <w:left w:w="100" w:type="dxa"/>
              <w:bottom w:w="70" w:type="dxa"/>
              <w:right w:w="100" w:type="dxa"/>
            </w:tcMar>
            <w:vAlign w:val="center"/>
          </w:tcPr>
          <w:p w14:paraId="00FA583B" w14:textId="77777777" w:rsidR="002D25EA" w:rsidRDefault="002D25EA" w:rsidP="00D9409F">
            <w:r>
              <w:rPr>
                <w:sz w:val="18"/>
                <w:szCs w:val="18"/>
              </w:rPr>
              <w:t>APIM subnet UDR</w:t>
            </w:r>
          </w:p>
        </w:tc>
        <w:tc>
          <w:tcPr>
            <w:tcW w:w="3100" w:type="dxa"/>
            <w:tcMar>
              <w:top w:w="70" w:type="dxa"/>
              <w:left w:w="100" w:type="dxa"/>
              <w:bottom w:w="70" w:type="dxa"/>
              <w:right w:w="100" w:type="dxa"/>
            </w:tcMar>
            <w:vAlign w:val="center"/>
          </w:tcPr>
          <w:p w14:paraId="1F177CEB" w14:textId="77777777" w:rsidR="002D25EA" w:rsidRDefault="002D25EA" w:rsidP="00D9409F">
            <w:r>
              <w:rPr>
                <w:sz w:val="18"/>
                <w:szCs w:val="18"/>
              </w:rPr>
              <w:t>ApiManagement service tag next hop = Internet (bypass firewall)</w:t>
            </w:r>
          </w:p>
        </w:tc>
      </w:tr>
      <w:tr w:rsidR="002D25EA" w14:paraId="5F11A644" w14:textId="77777777" w:rsidTr="00D9409F">
        <w:tc>
          <w:tcPr>
            <w:tcW w:w="3100" w:type="dxa"/>
            <w:tcMar>
              <w:top w:w="70" w:type="dxa"/>
              <w:left w:w="100" w:type="dxa"/>
              <w:bottom w:w="70" w:type="dxa"/>
              <w:right w:w="100" w:type="dxa"/>
            </w:tcMar>
            <w:vAlign w:val="center"/>
          </w:tcPr>
          <w:p w14:paraId="5DC64F10" w14:textId="77777777" w:rsidR="002D25EA" w:rsidRDefault="002D25EA" w:rsidP="00D9409F">
            <w:r>
              <w:rPr>
                <w:sz w:val="18"/>
                <w:szCs w:val="18"/>
              </w:rPr>
              <w:t>Platform dependencies</w:t>
            </w:r>
          </w:p>
        </w:tc>
        <w:tc>
          <w:tcPr>
            <w:tcW w:w="3100" w:type="dxa"/>
            <w:tcMar>
              <w:top w:w="70" w:type="dxa"/>
              <w:left w:w="100" w:type="dxa"/>
              <w:bottom w:w="70" w:type="dxa"/>
              <w:right w:w="100" w:type="dxa"/>
            </w:tcMar>
            <w:vAlign w:val="center"/>
          </w:tcPr>
          <w:p w14:paraId="1BD3FE1E" w14:textId="77777777" w:rsidR="002D25EA" w:rsidRDefault="002D25EA" w:rsidP="00D9409F">
            <w:r>
              <w:rPr>
                <w:sz w:val="18"/>
                <w:szCs w:val="18"/>
              </w:rPr>
              <w:t>APIM subnet UDR / NSG</w:t>
            </w:r>
          </w:p>
        </w:tc>
        <w:tc>
          <w:tcPr>
            <w:tcW w:w="3100" w:type="dxa"/>
            <w:tcMar>
              <w:top w:w="70" w:type="dxa"/>
              <w:left w:w="100" w:type="dxa"/>
              <w:bottom w:w="70" w:type="dxa"/>
              <w:right w:w="100" w:type="dxa"/>
            </w:tcMar>
            <w:vAlign w:val="center"/>
          </w:tcPr>
          <w:p w14:paraId="2EC88E8E" w14:textId="77777777" w:rsidR="002D25EA" w:rsidRDefault="002D25EA" w:rsidP="00D9409F">
            <w:r>
              <w:rPr>
                <w:sz w:val="18"/>
                <w:szCs w:val="18"/>
              </w:rPr>
              <w:t>Allow AzureMonitor, Storage, Key Vault, etc. by service tag</w:t>
            </w:r>
          </w:p>
        </w:tc>
      </w:tr>
    </w:tbl>
    <w:p w14:paraId="43245FE3" w14:textId="77777777" w:rsidR="002D25EA" w:rsidRDefault="002D25EA" w:rsidP="002D25EA">
      <w:pPr>
        <w:spacing w:after="140"/>
      </w:pPr>
    </w:p>
    <w:p w14:paraId="657F517E" w14:textId="77777777" w:rsidR="002D25EA" w:rsidRDefault="002D25EA" w:rsidP="002D25EA">
      <w:pPr>
        <w:spacing w:after="140"/>
      </w:pPr>
      <w:r>
        <w:lastRenderedPageBreak/>
        <w:t>Two failure modes to design out explicitly: asymmetric routing, prevented by the control-plane and dependency bypass routes above and by keeping the inbound DNAT return path on the firewall session; and route-table sprawl, avoided by using service tags rather than long lists of individual IP routes. With those in place, the Organization keeps its existing Palo Alto as the single inspection and egress-control point for all of APIM's data-plane traffic, while APIM stays healthy on Azure's control plane.</w:t>
      </w:r>
    </w:p>
    <w:p w14:paraId="60663A4B" w14:textId="77777777" w:rsidR="002D25EA" w:rsidRPr="00007E30" w:rsidRDefault="002D25EA" w:rsidP="00007E30">
      <w:pPr>
        <w:rPr>
          <w:b/>
          <w:bCs/>
        </w:rPr>
      </w:pPr>
      <w:r>
        <w:rPr>
          <w:b/>
          <w:bCs/>
        </w:rPr>
        <w:t>Subnet sizing (to confirm against the landing zone)</w:t>
      </w:r>
    </w:p>
    <w:p w14:paraId="4CD74230" w14:textId="77777777" w:rsidR="002D25EA" w:rsidRDefault="002D25EA" w:rsidP="002D25EA">
      <w:pPr>
        <w:spacing w:after="140"/>
      </w:pPr>
      <w:r>
        <w:t>Sizing the APIM delegated subnet and its neighbours correctly the first time avoids a disruptive resize later, since an Azure subnet cannot easily be shrunk or re-carved once resources are deployed into it. The figures below are starting points for detailed design, not a final IP plan; the actual VNet address space must come from the Organization’s IPAM and hub-spoke allocation.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00"/>
      </w:tblGrid>
      <w:tr w:rsidR="002D25EA" w14:paraId="57BE8845" w14:textId="77777777" w:rsidTr="00D9409F">
        <w:trPr>
          <w:tblHeader/>
        </w:trPr>
        <w:tc>
          <w:tcPr>
            <w:tcW w:w="3300" w:type="dxa"/>
            <w:shd w:val="clear" w:color="auto" w:fill="1E2761"/>
            <w:tcMar>
              <w:top w:w="70" w:type="dxa"/>
              <w:left w:w="100" w:type="dxa"/>
              <w:bottom w:w="70" w:type="dxa"/>
              <w:right w:w="100" w:type="dxa"/>
            </w:tcMar>
            <w:vAlign w:val="center"/>
          </w:tcPr>
          <w:p w14:paraId="7912F756" w14:textId="77777777" w:rsidR="002D25EA" w:rsidRDefault="002D25EA" w:rsidP="00D9409F">
            <w:r>
              <w:rPr>
                <w:b/>
                <w:bCs/>
                <w:color w:val="FFFFFF"/>
                <w:sz w:val="18"/>
                <w:szCs w:val="18"/>
              </w:rPr>
              <w:t>Subnet</w:t>
            </w:r>
          </w:p>
        </w:tc>
        <w:tc>
          <w:tcPr>
            <w:tcW w:w="2900" w:type="dxa"/>
            <w:shd w:val="clear" w:color="auto" w:fill="1E2761"/>
            <w:tcMar>
              <w:top w:w="70" w:type="dxa"/>
              <w:left w:w="100" w:type="dxa"/>
              <w:bottom w:w="70" w:type="dxa"/>
              <w:right w:w="100" w:type="dxa"/>
            </w:tcMar>
            <w:vAlign w:val="center"/>
          </w:tcPr>
          <w:p w14:paraId="67A79E84" w14:textId="77777777" w:rsidR="002D25EA" w:rsidRDefault="002D25EA" w:rsidP="00D9409F">
            <w:r>
              <w:rPr>
                <w:b/>
                <w:bCs/>
                <w:color w:val="FFFFFF"/>
                <w:sz w:val="18"/>
                <w:szCs w:val="18"/>
              </w:rPr>
              <w:t>Minimum size</w:t>
            </w:r>
          </w:p>
        </w:tc>
        <w:tc>
          <w:tcPr>
            <w:tcW w:w="3100" w:type="dxa"/>
            <w:shd w:val="clear" w:color="auto" w:fill="1E2761"/>
            <w:tcMar>
              <w:top w:w="70" w:type="dxa"/>
              <w:left w:w="100" w:type="dxa"/>
              <w:bottom w:w="70" w:type="dxa"/>
              <w:right w:w="100" w:type="dxa"/>
            </w:tcMar>
            <w:vAlign w:val="center"/>
          </w:tcPr>
          <w:p w14:paraId="24792CF5" w14:textId="77777777" w:rsidR="002D25EA" w:rsidRDefault="002D25EA" w:rsidP="00D9409F">
            <w:r>
              <w:rPr>
                <w:b/>
                <w:bCs/>
                <w:color w:val="FFFFFF"/>
                <w:sz w:val="18"/>
                <w:szCs w:val="18"/>
              </w:rPr>
              <w:t>Why</w:t>
            </w:r>
          </w:p>
        </w:tc>
      </w:tr>
      <w:tr w:rsidR="002D25EA" w14:paraId="203CE19C" w14:textId="77777777" w:rsidTr="00D9409F">
        <w:tc>
          <w:tcPr>
            <w:tcW w:w="3300" w:type="dxa"/>
            <w:tcMar>
              <w:top w:w="70" w:type="dxa"/>
              <w:left w:w="100" w:type="dxa"/>
              <w:bottom w:w="70" w:type="dxa"/>
              <w:right w:w="100" w:type="dxa"/>
            </w:tcMar>
            <w:vAlign w:val="center"/>
          </w:tcPr>
          <w:p w14:paraId="437EB408" w14:textId="77777777" w:rsidR="002D25EA" w:rsidRDefault="002D25EA" w:rsidP="00D9409F">
            <w:r>
              <w:rPr>
                <w:sz w:val="18"/>
                <w:szCs w:val="18"/>
              </w:rPr>
              <w:t>APIM delegated subnet (classic Premium, VNet injection)</w:t>
            </w:r>
          </w:p>
        </w:tc>
        <w:tc>
          <w:tcPr>
            <w:tcW w:w="2900" w:type="dxa"/>
            <w:tcMar>
              <w:top w:w="70" w:type="dxa"/>
              <w:left w:w="100" w:type="dxa"/>
              <w:bottom w:w="70" w:type="dxa"/>
              <w:right w:w="100" w:type="dxa"/>
            </w:tcMar>
            <w:vAlign w:val="center"/>
          </w:tcPr>
          <w:p w14:paraId="6ECD5F22" w14:textId="77777777" w:rsidR="002D25EA" w:rsidRDefault="002D25EA" w:rsidP="00D9409F">
            <w:r>
              <w:rPr>
                <w:sz w:val="18"/>
                <w:szCs w:val="18"/>
              </w:rPr>
              <w:t>/27 (32 addresses) per region as an absolute floor; /26 recommended</w:t>
            </w:r>
          </w:p>
        </w:tc>
        <w:tc>
          <w:tcPr>
            <w:tcW w:w="3100" w:type="dxa"/>
            <w:tcMar>
              <w:top w:w="70" w:type="dxa"/>
              <w:left w:w="100" w:type="dxa"/>
              <w:bottom w:w="70" w:type="dxa"/>
              <w:right w:w="100" w:type="dxa"/>
            </w:tcMar>
            <w:vAlign w:val="center"/>
          </w:tcPr>
          <w:p w14:paraId="57C79F73" w14:textId="77777777" w:rsidR="002D25EA" w:rsidRDefault="002D25EA" w:rsidP="00D9409F">
            <w:r>
              <w:rPr>
                <w:sz w:val="18"/>
                <w:szCs w:val="18"/>
              </w:rPr>
              <w:t>Classic Premium reserves a block of addresses per scale unit and for platform use; a /27 leaves little headroom for adding units, so /26 is the safer planning default</w:t>
            </w:r>
          </w:p>
        </w:tc>
      </w:tr>
      <w:tr w:rsidR="002D25EA" w14:paraId="3B4DADF8" w14:textId="77777777" w:rsidTr="00D9409F">
        <w:tc>
          <w:tcPr>
            <w:tcW w:w="3300" w:type="dxa"/>
            <w:tcMar>
              <w:top w:w="70" w:type="dxa"/>
              <w:left w:w="100" w:type="dxa"/>
              <w:bottom w:w="70" w:type="dxa"/>
              <w:right w:w="100" w:type="dxa"/>
            </w:tcMar>
            <w:vAlign w:val="center"/>
          </w:tcPr>
          <w:p w14:paraId="5AA7E78D" w14:textId="77777777" w:rsidR="002D25EA" w:rsidRDefault="002D25EA" w:rsidP="00D9409F">
            <w:r>
              <w:rPr>
                <w:sz w:val="18"/>
                <w:szCs w:val="18"/>
              </w:rPr>
              <w:t>Application Gateway subnet (if Option A/C is used)</w:t>
            </w:r>
          </w:p>
        </w:tc>
        <w:tc>
          <w:tcPr>
            <w:tcW w:w="2900" w:type="dxa"/>
            <w:tcMar>
              <w:top w:w="70" w:type="dxa"/>
              <w:left w:w="100" w:type="dxa"/>
              <w:bottom w:w="70" w:type="dxa"/>
              <w:right w:w="100" w:type="dxa"/>
            </w:tcMar>
            <w:vAlign w:val="center"/>
          </w:tcPr>
          <w:p w14:paraId="766AE9CE" w14:textId="77777777" w:rsidR="002D25EA" w:rsidRDefault="002D25EA" w:rsidP="00D9409F">
            <w:r>
              <w:rPr>
                <w:sz w:val="18"/>
                <w:szCs w:val="18"/>
              </w:rPr>
              <w:t>/26 recommended, /27 minimum</w:t>
            </w:r>
          </w:p>
        </w:tc>
        <w:tc>
          <w:tcPr>
            <w:tcW w:w="3100" w:type="dxa"/>
            <w:tcMar>
              <w:top w:w="70" w:type="dxa"/>
              <w:left w:w="100" w:type="dxa"/>
              <w:bottom w:w="70" w:type="dxa"/>
              <w:right w:w="100" w:type="dxa"/>
            </w:tcMar>
            <w:vAlign w:val="center"/>
          </w:tcPr>
          <w:p w14:paraId="7E987F04" w14:textId="77777777" w:rsidR="002D25EA" w:rsidRDefault="002D25EA" w:rsidP="00D9409F">
            <w:r>
              <w:rPr>
                <w:sz w:val="18"/>
                <w:szCs w:val="18"/>
              </w:rPr>
              <w:t>Autoscaling instances each consume an address; undersizing blocks scale-out under load</w:t>
            </w:r>
          </w:p>
        </w:tc>
      </w:tr>
      <w:tr w:rsidR="002D25EA" w14:paraId="6ADA57BB" w14:textId="77777777" w:rsidTr="00D9409F">
        <w:tc>
          <w:tcPr>
            <w:tcW w:w="3300" w:type="dxa"/>
            <w:tcMar>
              <w:top w:w="70" w:type="dxa"/>
              <w:left w:w="100" w:type="dxa"/>
              <w:bottom w:w="70" w:type="dxa"/>
              <w:right w:w="100" w:type="dxa"/>
            </w:tcMar>
            <w:vAlign w:val="center"/>
          </w:tcPr>
          <w:p w14:paraId="2E17E421" w14:textId="77777777" w:rsidR="002D25EA" w:rsidRDefault="002D25EA" w:rsidP="00D9409F">
            <w:r>
              <w:rPr>
                <w:sz w:val="18"/>
                <w:szCs w:val="18"/>
              </w:rPr>
              <w:t>Palo Alto internal load balancer / hub subnet</w:t>
            </w:r>
          </w:p>
        </w:tc>
        <w:tc>
          <w:tcPr>
            <w:tcW w:w="2900" w:type="dxa"/>
            <w:tcMar>
              <w:top w:w="70" w:type="dxa"/>
              <w:left w:w="100" w:type="dxa"/>
              <w:bottom w:w="70" w:type="dxa"/>
              <w:right w:w="100" w:type="dxa"/>
            </w:tcMar>
            <w:vAlign w:val="center"/>
          </w:tcPr>
          <w:p w14:paraId="65978214" w14:textId="77777777" w:rsidR="002D25EA" w:rsidRDefault="002D25EA" w:rsidP="00D9409F">
            <w:r>
              <w:rPr>
                <w:sz w:val="18"/>
                <w:szCs w:val="18"/>
              </w:rPr>
              <w:t>Per the Organization’s existing hub design</w:t>
            </w:r>
          </w:p>
        </w:tc>
        <w:tc>
          <w:tcPr>
            <w:tcW w:w="3100" w:type="dxa"/>
            <w:tcMar>
              <w:top w:w="70" w:type="dxa"/>
              <w:left w:w="100" w:type="dxa"/>
              <w:bottom w:w="70" w:type="dxa"/>
              <w:right w:w="100" w:type="dxa"/>
            </w:tcMar>
            <w:vAlign w:val="center"/>
          </w:tcPr>
          <w:p w14:paraId="00662D09" w14:textId="77777777" w:rsidR="002D25EA" w:rsidRDefault="002D25EA" w:rsidP="00D9409F">
            <w:r>
              <w:rPr>
                <w:sz w:val="18"/>
                <w:szCs w:val="18"/>
              </w:rPr>
              <w:t>Owned by the network team; not part of this HLD’s sizing, referenced here for completeness</w:t>
            </w:r>
          </w:p>
        </w:tc>
      </w:tr>
      <w:tr w:rsidR="002D25EA" w14:paraId="0689BB88" w14:textId="77777777" w:rsidTr="00D9409F">
        <w:tc>
          <w:tcPr>
            <w:tcW w:w="3300" w:type="dxa"/>
            <w:tcMar>
              <w:top w:w="70" w:type="dxa"/>
              <w:left w:w="100" w:type="dxa"/>
              <w:bottom w:w="70" w:type="dxa"/>
              <w:right w:w="100" w:type="dxa"/>
            </w:tcMar>
            <w:vAlign w:val="center"/>
          </w:tcPr>
          <w:p w14:paraId="55649A3E" w14:textId="77777777" w:rsidR="002D25EA" w:rsidRDefault="002D25EA" w:rsidP="00D9409F">
            <w:r>
              <w:rPr>
                <w:sz w:val="18"/>
                <w:szCs w:val="18"/>
              </w:rPr>
              <w:t>Private Endpoint subnet(s) for backends</w:t>
            </w:r>
          </w:p>
        </w:tc>
        <w:tc>
          <w:tcPr>
            <w:tcW w:w="2900" w:type="dxa"/>
            <w:tcMar>
              <w:top w:w="70" w:type="dxa"/>
              <w:left w:w="100" w:type="dxa"/>
              <w:bottom w:w="70" w:type="dxa"/>
              <w:right w:w="100" w:type="dxa"/>
            </w:tcMar>
            <w:vAlign w:val="center"/>
          </w:tcPr>
          <w:p w14:paraId="0F7E27C0" w14:textId="77777777" w:rsidR="002D25EA" w:rsidRDefault="002D25EA" w:rsidP="00D9409F">
            <w:r>
              <w:rPr>
                <w:sz w:val="18"/>
                <w:szCs w:val="18"/>
              </w:rPr>
              <w:t>/27 per subnet is usually sufficient</w:t>
            </w:r>
          </w:p>
        </w:tc>
        <w:tc>
          <w:tcPr>
            <w:tcW w:w="3100" w:type="dxa"/>
            <w:tcMar>
              <w:top w:w="70" w:type="dxa"/>
              <w:left w:w="100" w:type="dxa"/>
              <w:bottom w:w="70" w:type="dxa"/>
              <w:right w:w="100" w:type="dxa"/>
            </w:tcMar>
            <w:vAlign w:val="center"/>
          </w:tcPr>
          <w:p w14:paraId="75C7A173" w14:textId="77777777" w:rsidR="002D25EA" w:rsidRDefault="002D25EA" w:rsidP="00D9409F">
            <w:r>
              <w:rPr>
                <w:sz w:val="18"/>
                <w:szCs w:val="18"/>
              </w:rPr>
              <w:t>One address per Private Endpoint; size to the number of backend services expected, with headroom</w:t>
            </w:r>
          </w:p>
        </w:tc>
      </w:tr>
    </w:tbl>
    <w:p w14:paraId="6CEC0288" w14:textId="77777777" w:rsidR="002D25EA" w:rsidRDefault="002D25EA" w:rsidP="002D25EA">
      <w:pPr>
        <w:spacing w:after="140"/>
      </w:pPr>
      <w:r>
        <w:rPr>
          <w:i/>
          <w:iCs/>
        </w:rPr>
        <w:t>This is flagged as an open item because it depends on facts this HLD does not have: the actual hub-spoke address plan, whether the Organization reserves address space per environment or per region, and how many scale units Production is expected to reach. It should be resolved alongside the landing-zone validation already called out as the top item in the assumptions register (section 17.7, A.02 and A.03).</w:t>
      </w:r>
    </w:p>
    <w:p w14:paraId="352A091A" w14:textId="77777777" w:rsidR="002D25EA" w:rsidRPr="00007E30" w:rsidRDefault="002D25EA" w:rsidP="00007E30">
      <w:pPr>
        <w:rPr>
          <w:b/>
          <w:bCs/>
        </w:rPr>
      </w:pPr>
      <w:r>
        <w:rPr>
          <w:b/>
          <w:bCs/>
        </w:rPr>
        <w:t>Required network artefacts and the asymmetric-routing gate</w:t>
      </w:r>
    </w:p>
    <w:p w14:paraId="28AC014A" w14:textId="77777777" w:rsidR="002D25EA" w:rsidRDefault="002D25EA" w:rsidP="002D25EA">
      <w:pPr>
        <w:spacing w:after="140"/>
      </w:pPr>
      <w:r>
        <w:t>In plain terms: Azure needs to manage APIM over the internet, but the firewall wants to inspect everything, and those two requirements clash unless one specific route is added to let Azure's management traffic skip the firewall. Miss that one route and APIM quietly stops responding to scaling, updates and health checks, with no obvious error pointing at the cause. Section 7 sets the topology; this checklist is what a network engineer needs to produce the detailed design without re-deriving it. It also names the one failure mode that must be handled explicitly, because getting it wrong silently breaks the platform.</w:t>
      </w:r>
    </w:p>
    <w:p w14:paraId="69BA3B5D" w14:textId="77777777" w:rsidR="002D25EA" w:rsidRDefault="002D25EA" w:rsidP="002D25EA">
      <w:pPr>
        <w:spacing w:after="140"/>
      </w:pPr>
      <w:r>
        <w:t>The non-negotiable gate: the APIM control-plane bypass. When APIM is injected into a VNet and outbound traffic is force-tunnelled through the Palo Alto, the return path for Azure’s own management traffic to the APIM management endpoint (port 3443) no longer maps back symmetrically. This asymmetric routing drops the management connection and, left unaddressed, breaks configuration, scaling and health of the instance. The documented fix is mandatory: a user-defined route for the ApiManagement service tag with next hop set to Internet, which steers that control-plane return traffic straight back to Azure rather than through the firewall. Microsoft is explicit that allowing this management traffic to bypass the NVA is not a meaningful security risk. This UDR is a required build artefact, not an optimisation, and should be treated as a design gate that TDA checks for.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300"/>
        <w:gridCol w:w="1700"/>
      </w:tblGrid>
      <w:tr w:rsidR="002D25EA" w14:paraId="7A651467" w14:textId="77777777" w:rsidTr="00D9409F">
        <w:trPr>
          <w:tblHeader/>
        </w:trPr>
        <w:tc>
          <w:tcPr>
            <w:tcW w:w="2300" w:type="dxa"/>
            <w:shd w:val="clear" w:color="auto" w:fill="1E2761"/>
            <w:tcMar>
              <w:top w:w="70" w:type="dxa"/>
              <w:left w:w="100" w:type="dxa"/>
              <w:bottom w:w="70" w:type="dxa"/>
              <w:right w:w="100" w:type="dxa"/>
            </w:tcMar>
          </w:tcPr>
          <w:p w14:paraId="28844391" w14:textId="77777777" w:rsidR="002D25EA" w:rsidRDefault="002D25EA" w:rsidP="00D9409F">
            <w:r>
              <w:rPr>
                <w:b/>
                <w:bCs/>
                <w:color w:val="FFFFFF"/>
                <w:sz w:val="18"/>
                <w:szCs w:val="18"/>
              </w:rPr>
              <w:t>Network artefact</w:t>
            </w:r>
          </w:p>
        </w:tc>
        <w:tc>
          <w:tcPr>
            <w:tcW w:w="5300" w:type="dxa"/>
            <w:shd w:val="clear" w:color="auto" w:fill="1E2761"/>
            <w:tcMar>
              <w:top w:w="70" w:type="dxa"/>
              <w:left w:w="100" w:type="dxa"/>
              <w:bottom w:w="70" w:type="dxa"/>
              <w:right w:w="100" w:type="dxa"/>
            </w:tcMar>
          </w:tcPr>
          <w:p w14:paraId="7520D0EA" w14:textId="77777777" w:rsidR="002D25EA" w:rsidRDefault="002D25EA" w:rsidP="00D9409F">
            <w:r>
              <w:rPr>
                <w:b/>
                <w:bCs/>
                <w:color w:val="FFFFFF"/>
                <w:sz w:val="18"/>
                <w:szCs w:val="18"/>
              </w:rPr>
              <w:t>Requirement</w:t>
            </w:r>
          </w:p>
        </w:tc>
        <w:tc>
          <w:tcPr>
            <w:tcW w:w="1700" w:type="dxa"/>
            <w:shd w:val="clear" w:color="auto" w:fill="1E2761"/>
            <w:tcMar>
              <w:top w:w="70" w:type="dxa"/>
              <w:left w:w="100" w:type="dxa"/>
              <w:bottom w:w="70" w:type="dxa"/>
              <w:right w:w="100" w:type="dxa"/>
            </w:tcMar>
          </w:tcPr>
          <w:p w14:paraId="06FB868A" w14:textId="77777777" w:rsidR="002D25EA" w:rsidRDefault="002D25EA" w:rsidP="00D9409F">
            <w:r>
              <w:rPr>
                <w:b/>
                <w:bCs/>
                <w:color w:val="FFFFFF"/>
                <w:sz w:val="18"/>
                <w:szCs w:val="18"/>
              </w:rPr>
              <w:t>Owner</w:t>
            </w:r>
          </w:p>
        </w:tc>
      </w:tr>
      <w:tr w:rsidR="002D25EA" w14:paraId="1C607C75" w14:textId="77777777" w:rsidTr="00D9409F">
        <w:tc>
          <w:tcPr>
            <w:tcW w:w="2300" w:type="dxa"/>
            <w:tcMar>
              <w:top w:w="70" w:type="dxa"/>
              <w:left w:w="100" w:type="dxa"/>
              <w:bottom w:w="70" w:type="dxa"/>
              <w:right w:w="100" w:type="dxa"/>
            </w:tcMar>
          </w:tcPr>
          <w:p w14:paraId="12CC9D12" w14:textId="77777777" w:rsidR="002D25EA" w:rsidRDefault="002D25EA" w:rsidP="00D9409F">
            <w:r>
              <w:rPr>
                <w:sz w:val="18"/>
                <w:szCs w:val="18"/>
              </w:rPr>
              <w:t>UDR: control-plane bypass</w:t>
            </w:r>
          </w:p>
        </w:tc>
        <w:tc>
          <w:tcPr>
            <w:tcW w:w="5300" w:type="dxa"/>
            <w:tcMar>
              <w:top w:w="70" w:type="dxa"/>
              <w:left w:w="100" w:type="dxa"/>
              <w:bottom w:w="70" w:type="dxa"/>
              <w:right w:w="100" w:type="dxa"/>
            </w:tcMar>
          </w:tcPr>
          <w:p w14:paraId="4EB27383" w14:textId="77777777" w:rsidR="002D25EA" w:rsidRDefault="002D25EA" w:rsidP="00D9409F">
            <w:r>
              <w:rPr>
                <w:sz w:val="18"/>
                <w:szCs w:val="18"/>
              </w:rPr>
              <w:t>Route for ApiManagement service tag, next hop = Internet (MANDATORY: prevents the asymmetric-routing failure above)</w:t>
            </w:r>
          </w:p>
        </w:tc>
        <w:tc>
          <w:tcPr>
            <w:tcW w:w="1700" w:type="dxa"/>
            <w:tcMar>
              <w:top w:w="70" w:type="dxa"/>
              <w:left w:w="100" w:type="dxa"/>
              <w:bottom w:w="70" w:type="dxa"/>
              <w:right w:w="100" w:type="dxa"/>
            </w:tcMar>
          </w:tcPr>
          <w:p w14:paraId="2F06365E" w14:textId="77777777" w:rsidR="002D25EA" w:rsidRDefault="002D25EA" w:rsidP="00D9409F">
            <w:r>
              <w:rPr>
                <w:sz w:val="18"/>
                <w:szCs w:val="18"/>
              </w:rPr>
              <w:t>Network</w:t>
            </w:r>
          </w:p>
        </w:tc>
      </w:tr>
      <w:tr w:rsidR="002D25EA" w14:paraId="0B64290F" w14:textId="77777777" w:rsidTr="00D9409F">
        <w:tc>
          <w:tcPr>
            <w:tcW w:w="2300" w:type="dxa"/>
            <w:tcMar>
              <w:top w:w="70" w:type="dxa"/>
              <w:left w:w="100" w:type="dxa"/>
              <w:bottom w:w="70" w:type="dxa"/>
              <w:right w:w="100" w:type="dxa"/>
            </w:tcMar>
          </w:tcPr>
          <w:p w14:paraId="3C9352D8" w14:textId="77777777" w:rsidR="002D25EA" w:rsidRDefault="002D25EA" w:rsidP="00D9409F">
            <w:r>
              <w:rPr>
                <w:sz w:val="18"/>
                <w:szCs w:val="18"/>
              </w:rPr>
              <w:t>UDR: egress</w:t>
            </w:r>
          </w:p>
        </w:tc>
        <w:tc>
          <w:tcPr>
            <w:tcW w:w="5300" w:type="dxa"/>
            <w:tcMar>
              <w:top w:w="70" w:type="dxa"/>
              <w:left w:w="100" w:type="dxa"/>
              <w:bottom w:w="70" w:type="dxa"/>
              <w:right w:w="100" w:type="dxa"/>
            </w:tcMar>
          </w:tcPr>
          <w:p w14:paraId="7ADE071A" w14:textId="77777777" w:rsidR="002D25EA" w:rsidRDefault="002D25EA" w:rsidP="00D9409F">
            <w:r>
              <w:rPr>
                <w:sz w:val="18"/>
                <w:szCs w:val="18"/>
              </w:rPr>
              <w:t>Default route 0.0.0.0/0 → Palo Alto for outbound inspection and URL filtering</w:t>
            </w:r>
          </w:p>
        </w:tc>
        <w:tc>
          <w:tcPr>
            <w:tcW w:w="1700" w:type="dxa"/>
            <w:tcMar>
              <w:top w:w="70" w:type="dxa"/>
              <w:left w:w="100" w:type="dxa"/>
              <w:bottom w:w="70" w:type="dxa"/>
              <w:right w:w="100" w:type="dxa"/>
            </w:tcMar>
          </w:tcPr>
          <w:p w14:paraId="32C35A18" w14:textId="77777777" w:rsidR="002D25EA" w:rsidRDefault="002D25EA" w:rsidP="00D9409F">
            <w:r>
              <w:rPr>
                <w:sz w:val="18"/>
                <w:szCs w:val="18"/>
              </w:rPr>
              <w:t>Network</w:t>
            </w:r>
          </w:p>
        </w:tc>
      </w:tr>
      <w:tr w:rsidR="002D25EA" w14:paraId="06DE2A96" w14:textId="77777777" w:rsidTr="00D9409F">
        <w:tc>
          <w:tcPr>
            <w:tcW w:w="2300" w:type="dxa"/>
            <w:tcMar>
              <w:top w:w="70" w:type="dxa"/>
              <w:left w:w="100" w:type="dxa"/>
              <w:bottom w:w="70" w:type="dxa"/>
              <w:right w:w="100" w:type="dxa"/>
            </w:tcMar>
          </w:tcPr>
          <w:p w14:paraId="1C87CBDD" w14:textId="77777777" w:rsidR="002D25EA" w:rsidRDefault="002D25EA" w:rsidP="00D9409F">
            <w:r>
              <w:rPr>
                <w:sz w:val="18"/>
                <w:szCs w:val="18"/>
              </w:rPr>
              <w:t>UDR: east-west (optional)</w:t>
            </w:r>
          </w:p>
        </w:tc>
        <w:tc>
          <w:tcPr>
            <w:tcW w:w="5300" w:type="dxa"/>
            <w:tcMar>
              <w:top w:w="70" w:type="dxa"/>
              <w:left w:w="100" w:type="dxa"/>
              <w:bottom w:w="70" w:type="dxa"/>
              <w:right w:w="100" w:type="dxa"/>
            </w:tcMar>
          </w:tcPr>
          <w:p w14:paraId="20A4A598" w14:textId="77777777" w:rsidR="002D25EA" w:rsidRDefault="002D25EA" w:rsidP="00D9409F">
            <w:r>
              <w:rPr>
                <w:sz w:val="18"/>
                <w:szCs w:val="18"/>
              </w:rPr>
              <w:t>/32 route to the firewall only if policy requires PE traffic to be inspected; otherwise Private Endpoint + NSG is the default and east-west does not traverse the NVA</w:t>
            </w:r>
          </w:p>
        </w:tc>
        <w:tc>
          <w:tcPr>
            <w:tcW w:w="1700" w:type="dxa"/>
            <w:tcMar>
              <w:top w:w="70" w:type="dxa"/>
              <w:left w:w="100" w:type="dxa"/>
              <w:bottom w:w="70" w:type="dxa"/>
              <w:right w:w="100" w:type="dxa"/>
            </w:tcMar>
          </w:tcPr>
          <w:p w14:paraId="6771768F" w14:textId="77777777" w:rsidR="002D25EA" w:rsidRDefault="002D25EA" w:rsidP="00D9409F">
            <w:r>
              <w:rPr>
                <w:sz w:val="18"/>
                <w:szCs w:val="18"/>
              </w:rPr>
              <w:t>Network + Security</w:t>
            </w:r>
          </w:p>
        </w:tc>
      </w:tr>
      <w:tr w:rsidR="002D25EA" w14:paraId="535B463A" w14:textId="77777777" w:rsidTr="00D9409F">
        <w:tc>
          <w:tcPr>
            <w:tcW w:w="2300" w:type="dxa"/>
            <w:tcMar>
              <w:top w:w="70" w:type="dxa"/>
              <w:left w:w="100" w:type="dxa"/>
              <w:bottom w:w="70" w:type="dxa"/>
              <w:right w:w="100" w:type="dxa"/>
            </w:tcMar>
          </w:tcPr>
          <w:p w14:paraId="14147FC8" w14:textId="77777777" w:rsidR="002D25EA" w:rsidRDefault="002D25EA" w:rsidP="00D9409F">
            <w:r>
              <w:rPr>
                <w:sz w:val="18"/>
                <w:szCs w:val="18"/>
              </w:rPr>
              <w:lastRenderedPageBreak/>
              <w:t>NSG: management</w:t>
            </w:r>
          </w:p>
        </w:tc>
        <w:tc>
          <w:tcPr>
            <w:tcW w:w="5300" w:type="dxa"/>
            <w:tcMar>
              <w:top w:w="70" w:type="dxa"/>
              <w:left w:w="100" w:type="dxa"/>
              <w:bottom w:w="70" w:type="dxa"/>
              <w:right w:w="100" w:type="dxa"/>
            </w:tcMar>
          </w:tcPr>
          <w:p w14:paraId="7176D37A" w14:textId="77777777" w:rsidR="002D25EA" w:rsidRDefault="002D25EA" w:rsidP="00D9409F">
            <w:r>
              <w:rPr>
                <w:sz w:val="18"/>
                <w:szCs w:val="18"/>
              </w:rPr>
              <w:t>Allow inbound TCP 3443 from the ApiManagement service tag only (use the service tag, not hard-coded IPs, which change)</w:t>
            </w:r>
          </w:p>
        </w:tc>
        <w:tc>
          <w:tcPr>
            <w:tcW w:w="1700" w:type="dxa"/>
            <w:tcMar>
              <w:top w:w="70" w:type="dxa"/>
              <w:left w:w="100" w:type="dxa"/>
              <w:bottom w:w="70" w:type="dxa"/>
              <w:right w:w="100" w:type="dxa"/>
            </w:tcMar>
          </w:tcPr>
          <w:p w14:paraId="769BD585" w14:textId="77777777" w:rsidR="002D25EA" w:rsidRDefault="002D25EA" w:rsidP="00D9409F">
            <w:r>
              <w:rPr>
                <w:sz w:val="18"/>
                <w:szCs w:val="18"/>
              </w:rPr>
              <w:t>Network</w:t>
            </w:r>
          </w:p>
        </w:tc>
      </w:tr>
      <w:tr w:rsidR="002D25EA" w14:paraId="63687B77" w14:textId="77777777" w:rsidTr="00D9409F">
        <w:tc>
          <w:tcPr>
            <w:tcW w:w="2300" w:type="dxa"/>
            <w:tcMar>
              <w:top w:w="70" w:type="dxa"/>
              <w:left w:w="100" w:type="dxa"/>
              <w:bottom w:w="70" w:type="dxa"/>
              <w:right w:w="100" w:type="dxa"/>
            </w:tcMar>
          </w:tcPr>
          <w:p w14:paraId="6FA20319" w14:textId="77777777" w:rsidR="002D25EA" w:rsidRDefault="002D25EA" w:rsidP="00D9409F">
            <w:r>
              <w:rPr>
                <w:sz w:val="18"/>
                <w:szCs w:val="18"/>
              </w:rPr>
              <w:t>NSG: gateway</w:t>
            </w:r>
          </w:p>
        </w:tc>
        <w:tc>
          <w:tcPr>
            <w:tcW w:w="5300" w:type="dxa"/>
            <w:tcMar>
              <w:top w:w="70" w:type="dxa"/>
              <w:left w:w="100" w:type="dxa"/>
              <w:bottom w:w="70" w:type="dxa"/>
              <w:right w:w="100" w:type="dxa"/>
            </w:tcMar>
          </w:tcPr>
          <w:p w14:paraId="355DC2BB" w14:textId="77777777" w:rsidR="002D25EA" w:rsidRDefault="002D25EA" w:rsidP="00D9409F">
            <w:r>
              <w:rPr>
                <w:sz w:val="18"/>
                <w:szCs w:val="18"/>
              </w:rPr>
              <w:t>Allow 443 from permitted sources only (Front Door Private Link subnet under Model A, or internal ranges); deny the Internet service tag</w:t>
            </w:r>
          </w:p>
        </w:tc>
        <w:tc>
          <w:tcPr>
            <w:tcW w:w="1700" w:type="dxa"/>
            <w:tcMar>
              <w:top w:w="70" w:type="dxa"/>
              <w:left w:w="100" w:type="dxa"/>
              <w:bottom w:w="70" w:type="dxa"/>
              <w:right w:w="100" w:type="dxa"/>
            </w:tcMar>
          </w:tcPr>
          <w:p w14:paraId="69044218" w14:textId="77777777" w:rsidR="002D25EA" w:rsidRDefault="002D25EA" w:rsidP="00D9409F">
            <w:r>
              <w:rPr>
                <w:sz w:val="18"/>
                <w:szCs w:val="18"/>
              </w:rPr>
              <w:t>Network</w:t>
            </w:r>
          </w:p>
        </w:tc>
      </w:tr>
      <w:tr w:rsidR="002D25EA" w14:paraId="34A9E2F3" w14:textId="77777777" w:rsidTr="00D9409F">
        <w:tc>
          <w:tcPr>
            <w:tcW w:w="2300" w:type="dxa"/>
            <w:tcMar>
              <w:top w:w="70" w:type="dxa"/>
              <w:left w:w="100" w:type="dxa"/>
              <w:bottom w:w="70" w:type="dxa"/>
              <w:right w:w="100" w:type="dxa"/>
            </w:tcMar>
          </w:tcPr>
          <w:p w14:paraId="3A5581E3" w14:textId="77777777" w:rsidR="002D25EA" w:rsidRDefault="002D25EA" w:rsidP="00D9409F">
            <w:r>
              <w:rPr>
                <w:sz w:val="18"/>
                <w:szCs w:val="18"/>
              </w:rPr>
              <w:t>NSG: load balancer</w:t>
            </w:r>
          </w:p>
        </w:tc>
        <w:tc>
          <w:tcPr>
            <w:tcW w:w="5300" w:type="dxa"/>
            <w:tcMar>
              <w:top w:w="70" w:type="dxa"/>
              <w:left w:w="100" w:type="dxa"/>
              <w:bottom w:w="70" w:type="dxa"/>
              <w:right w:w="100" w:type="dxa"/>
            </w:tcMar>
          </w:tcPr>
          <w:p w14:paraId="7D64AC64" w14:textId="77777777" w:rsidR="002D25EA" w:rsidRDefault="002D25EA" w:rsidP="00D9409F">
            <w:r>
              <w:rPr>
                <w:sz w:val="18"/>
                <w:szCs w:val="18"/>
              </w:rPr>
              <w:t>Allow inbound from the AzureLoadBalancer service tag</w:t>
            </w:r>
          </w:p>
        </w:tc>
        <w:tc>
          <w:tcPr>
            <w:tcW w:w="1700" w:type="dxa"/>
            <w:tcMar>
              <w:top w:w="70" w:type="dxa"/>
              <w:left w:w="100" w:type="dxa"/>
              <w:bottom w:w="70" w:type="dxa"/>
              <w:right w:w="100" w:type="dxa"/>
            </w:tcMar>
          </w:tcPr>
          <w:p w14:paraId="1A366ABF" w14:textId="77777777" w:rsidR="002D25EA" w:rsidRDefault="002D25EA" w:rsidP="00D9409F">
            <w:r>
              <w:rPr>
                <w:sz w:val="18"/>
                <w:szCs w:val="18"/>
              </w:rPr>
              <w:t>Network</w:t>
            </w:r>
          </w:p>
        </w:tc>
      </w:tr>
      <w:tr w:rsidR="002D25EA" w14:paraId="13E10B5E" w14:textId="77777777" w:rsidTr="00D9409F">
        <w:tc>
          <w:tcPr>
            <w:tcW w:w="2300" w:type="dxa"/>
            <w:tcMar>
              <w:top w:w="70" w:type="dxa"/>
              <w:left w:w="100" w:type="dxa"/>
              <w:bottom w:w="70" w:type="dxa"/>
              <w:right w:w="100" w:type="dxa"/>
            </w:tcMar>
          </w:tcPr>
          <w:p w14:paraId="74745BA4" w14:textId="77777777" w:rsidR="002D25EA" w:rsidRDefault="002D25EA" w:rsidP="00D9409F">
            <w:r>
              <w:rPr>
                <w:sz w:val="18"/>
                <w:szCs w:val="18"/>
              </w:rPr>
              <w:t>DNAT (Model B only)</w:t>
            </w:r>
          </w:p>
        </w:tc>
        <w:tc>
          <w:tcPr>
            <w:tcW w:w="5300" w:type="dxa"/>
            <w:tcMar>
              <w:top w:w="70" w:type="dxa"/>
              <w:left w:w="100" w:type="dxa"/>
              <w:bottom w:w="70" w:type="dxa"/>
              <w:right w:w="100" w:type="dxa"/>
            </w:tcMar>
          </w:tcPr>
          <w:p w14:paraId="2EEC9AD7" w14:textId="77777777" w:rsidR="002D25EA" w:rsidRDefault="002D25EA" w:rsidP="00D9409F">
            <w:r>
              <w:rPr>
                <w:sz w:val="18"/>
                <w:szCs w:val="18"/>
              </w:rPr>
              <w:t>Palo Alto public VIP → APIM internal gateway private VIP, locked to Front Door service tags + X-Azure-FDID</w:t>
            </w:r>
          </w:p>
        </w:tc>
        <w:tc>
          <w:tcPr>
            <w:tcW w:w="1700" w:type="dxa"/>
            <w:tcMar>
              <w:top w:w="70" w:type="dxa"/>
              <w:left w:w="100" w:type="dxa"/>
              <w:bottom w:w="70" w:type="dxa"/>
              <w:right w:w="100" w:type="dxa"/>
            </w:tcMar>
          </w:tcPr>
          <w:p w14:paraId="45FCF21D" w14:textId="77777777" w:rsidR="002D25EA" w:rsidRDefault="002D25EA" w:rsidP="00D9409F">
            <w:r>
              <w:rPr>
                <w:sz w:val="18"/>
                <w:szCs w:val="18"/>
              </w:rPr>
              <w:t>Network</w:t>
            </w:r>
          </w:p>
        </w:tc>
      </w:tr>
      <w:tr w:rsidR="002D25EA" w14:paraId="48E82050" w14:textId="77777777" w:rsidTr="00D9409F">
        <w:tc>
          <w:tcPr>
            <w:tcW w:w="2300" w:type="dxa"/>
            <w:tcMar>
              <w:top w:w="70" w:type="dxa"/>
              <w:left w:w="100" w:type="dxa"/>
              <w:bottom w:w="70" w:type="dxa"/>
              <w:right w:w="100" w:type="dxa"/>
            </w:tcMar>
          </w:tcPr>
          <w:p w14:paraId="3B7DDDE8" w14:textId="77777777" w:rsidR="002D25EA" w:rsidRDefault="002D25EA" w:rsidP="00D9409F">
            <w:r>
              <w:rPr>
                <w:sz w:val="18"/>
                <w:szCs w:val="18"/>
              </w:rPr>
              <w:t>Private DNS</w:t>
            </w:r>
          </w:p>
        </w:tc>
        <w:tc>
          <w:tcPr>
            <w:tcW w:w="5300" w:type="dxa"/>
            <w:tcMar>
              <w:top w:w="70" w:type="dxa"/>
              <w:left w:w="100" w:type="dxa"/>
              <w:bottom w:w="70" w:type="dxa"/>
              <w:right w:w="100" w:type="dxa"/>
            </w:tcMar>
          </w:tcPr>
          <w:p w14:paraId="66B6CF11" w14:textId="77777777" w:rsidR="002D25EA" w:rsidRDefault="002D25EA" w:rsidP="00D9409F">
            <w:r>
              <w:rPr>
                <w:sz w:val="18"/>
                <w:szCs w:val="18"/>
              </w:rPr>
              <w:t>Do NOT create a Private DNS zone for azure-api.net. Create explicit A records mapping each APIM endpoint FQDN to the private VIP, resolvable from all VNets and on-prem networks that need access</w:t>
            </w:r>
          </w:p>
        </w:tc>
        <w:tc>
          <w:tcPr>
            <w:tcW w:w="1700" w:type="dxa"/>
            <w:tcMar>
              <w:top w:w="70" w:type="dxa"/>
              <w:left w:w="100" w:type="dxa"/>
              <w:bottom w:w="70" w:type="dxa"/>
              <w:right w:w="100" w:type="dxa"/>
            </w:tcMar>
          </w:tcPr>
          <w:p w14:paraId="0E32AB73" w14:textId="77777777" w:rsidR="002D25EA" w:rsidRDefault="002D25EA" w:rsidP="00D9409F">
            <w:r>
              <w:rPr>
                <w:sz w:val="18"/>
                <w:szCs w:val="18"/>
              </w:rPr>
              <w:t>Platform + Network</w:t>
            </w:r>
          </w:p>
        </w:tc>
      </w:tr>
      <w:tr w:rsidR="002D25EA" w14:paraId="418ED8B1" w14:textId="77777777" w:rsidTr="00D9409F">
        <w:tc>
          <w:tcPr>
            <w:tcW w:w="2300" w:type="dxa"/>
            <w:tcMar>
              <w:top w:w="70" w:type="dxa"/>
              <w:left w:w="100" w:type="dxa"/>
              <w:bottom w:w="70" w:type="dxa"/>
              <w:right w:w="100" w:type="dxa"/>
            </w:tcMar>
          </w:tcPr>
          <w:p w14:paraId="0C2C661F" w14:textId="77777777" w:rsidR="002D25EA" w:rsidRDefault="002D25EA" w:rsidP="00D9409F">
            <w:r>
              <w:rPr>
                <w:sz w:val="18"/>
                <w:szCs w:val="18"/>
              </w:rPr>
              <w:t>Backend DNS resolution</w:t>
            </w:r>
          </w:p>
        </w:tc>
        <w:tc>
          <w:tcPr>
            <w:tcW w:w="5300" w:type="dxa"/>
            <w:tcMar>
              <w:top w:w="70" w:type="dxa"/>
              <w:left w:w="100" w:type="dxa"/>
              <w:bottom w:w="70" w:type="dxa"/>
              <w:right w:w="100" w:type="dxa"/>
            </w:tcMar>
          </w:tcPr>
          <w:p w14:paraId="1E566A90" w14:textId="77777777" w:rsidR="002D25EA" w:rsidRDefault="002D25EA" w:rsidP="00D9409F">
            <w:r>
              <w:rPr>
                <w:sz w:val="18"/>
                <w:szCs w:val="18"/>
              </w:rPr>
              <w:t>Azure Private DNS Resolver with forwarding rulesets for APIM-to-on-prem backend name resolution</w:t>
            </w:r>
          </w:p>
        </w:tc>
        <w:tc>
          <w:tcPr>
            <w:tcW w:w="1700" w:type="dxa"/>
            <w:tcMar>
              <w:top w:w="70" w:type="dxa"/>
              <w:left w:w="100" w:type="dxa"/>
              <w:bottom w:w="70" w:type="dxa"/>
              <w:right w:w="100" w:type="dxa"/>
            </w:tcMar>
          </w:tcPr>
          <w:p w14:paraId="7442CBBC" w14:textId="77777777" w:rsidR="002D25EA" w:rsidRDefault="002D25EA" w:rsidP="00D9409F">
            <w:r>
              <w:rPr>
                <w:sz w:val="18"/>
                <w:szCs w:val="18"/>
              </w:rPr>
              <w:t>Network</w:t>
            </w:r>
          </w:p>
        </w:tc>
      </w:tr>
      <w:tr w:rsidR="002D25EA" w14:paraId="570FE894" w14:textId="77777777" w:rsidTr="00D9409F">
        <w:tc>
          <w:tcPr>
            <w:tcW w:w="2300" w:type="dxa"/>
            <w:tcMar>
              <w:top w:w="70" w:type="dxa"/>
              <w:left w:w="100" w:type="dxa"/>
              <w:bottom w:w="70" w:type="dxa"/>
              <w:right w:w="100" w:type="dxa"/>
            </w:tcMar>
          </w:tcPr>
          <w:p w14:paraId="201BDFA3" w14:textId="77777777" w:rsidR="002D25EA" w:rsidRDefault="002D25EA" w:rsidP="00D9409F">
            <w:r>
              <w:rPr>
                <w:sz w:val="18"/>
                <w:szCs w:val="18"/>
              </w:rPr>
              <w:t>ExpressRoute / VPN return-path symmetry</w:t>
            </w:r>
          </w:p>
        </w:tc>
        <w:tc>
          <w:tcPr>
            <w:tcW w:w="5300" w:type="dxa"/>
            <w:tcMar>
              <w:top w:w="70" w:type="dxa"/>
              <w:left w:w="100" w:type="dxa"/>
              <w:bottom w:w="70" w:type="dxa"/>
              <w:right w:w="100" w:type="dxa"/>
            </w:tcMar>
          </w:tcPr>
          <w:p w14:paraId="685F21D1" w14:textId="77777777" w:rsidR="002D25EA" w:rsidRDefault="002D25EA" w:rsidP="00D9409F">
            <w:r>
              <w:rPr>
                <w:sz w:val="18"/>
                <w:szCs w:val="18"/>
              </w:rPr>
              <w:t>Ensure symmetric routing for on-prem consumers reaching the internal VIP: UDRs and firewall rules must be consistent on both the Azure and on-prem sides so return traffic follows the forward path</w:t>
            </w:r>
          </w:p>
        </w:tc>
        <w:tc>
          <w:tcPr>
            <w:tcW w:w="1700" w:type="dxa"/>
            <w:tcMar>
              <w:top w:w="70" w:type="dxa"/>
              <w:left w:w="100" w:type="dxa"/>
              <w:bottom w:w="70" w:type="dxa"/>
              <w:right w:w="100" w:type="dxa"/>
            </w:tcMar>
          </w:tcPr>
          <w:p w14:paraId="24A13235" w14:textId="77777777" w:rsidR="002D25EA" w:rsidRDefault="002D25EA" w:rsidP="00D9409F">
            <w:r>
              <w:rPr>
                <w:sz w:val="18"/>
                <w:szCs w:val="18"/>
              </w:rPr>
              <w:t>Network</w:t>
            </w:r>
          </w:p>
        </w:tc>
      </w:tr>
    </w:tbl>
    <w:p w14:paraId="185A60FE" w14:textId="77777777" w:rsidR="002D25EA" w:rsidRDefault="002D25EA" w:rsidP="002D25EA">
      <w:pPr>
        <w:spacing w:after="140"/>
      </w:pPr>
      <w:r>
        <w:t>IP plan (placeholder for the network team). Subnet sizing must be validated against the Organization’s IPAM and expected scale. As a planning rule, one Premium unit in internal mode consumes about three subnet IPs (one private VIP plus one per gateway VM), and each additional scale unit consumes more, so the subnet must leave headroom for the maximum unit count the region will ever run; backends should allow-list the whole APIM subnet rather than individual instance IPs, which change on scale-out. A dedicated /26 per region is the recommended default, to be confirmed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1600"/>
        <w:gridCol w:w="2000"/>
      </w:tblGrid>
      <w:tr w:rsidR="002D25EA" w14:paraId="4E741DCB" w14:textId="77777777" w:rsidTr="00D9409F">
        <w:trPr>
          <w:tblHeader/>
        </w:trPr>
        <w:tc>
          <w:tcPr>
            <w:tcW w:w="2500" w:type="dxa"/>
            <w:shd w:val="clear" w:color="auto" w:fill="1E2761"/>
            <w:tcMar>
              <w:top w:w="70" w:type="dxa"/>
              <w:left w:w="100" w:type="dxa"/>
              <w:bottom w:w="70" w:type="dxa"/>
              <w:right w:w="100" w:type="dxa"/>
            </w:tcMar>
          </w:tcPr>
          <w:p w14:paraId="5E47A0FA" w14:textId="77777777" w:rsidR="002D25EA" w:rsidRDefault="002D25EA" w:rsidP="00D9409F">
            <w:r>
              <w:rPr>
                <w:b/>
                <w:bCs/>
                <w:color w:val="FFFFFF"/>
                <w:sz w:val="18"/>
                <w:szCs w:val="18"/>
              </w:rPr>
              <w:t>Subnet (indicative name)</w:t>
            </w:r>
          </w:p>
        </w:tc>
        <w:tc>
          <w:tcPr>
            <w:tcW w:w="3200" w:type="dxa"/>
            <w:shd w:val="clear" w:color="auto" w:fill="1E2761"/>
            <w:tcMar>
              <w:top w:w="70" w:type="dxa"/>
              <w:left w:w="100" w:type="dxa"/>
              <w:bottom w:w="70" w:type="dxa"/>
              <w:right w:w="100" w:type="dxa"/>
            </w:tcMar>
          </w:tcPr>
          <w:p w14:paraId="7CF77334" w14:textId="77777777" w:rsidR="002D25EA" w:rsidRDefault="002D25EA" w:rsidP="00D9409F">
            <w:r>
              <w:rPr>
                <w:b/>
                <w:bCs/>
                <w:color w:val="FFFFFF"/>
                <w:sz w:val="18"/>
                <w:szCs w:val="18"/>
              </w:rPr>
              <w:t>Purpose</w:t>
            </w:r>
          </w:p>
        </w:tc>
        <w:tc>
          <w:tcPr>
            <w:tcW w:w="1600" w:type="dxa"/>
            <w:shd w:val="clear" w:color="auto" w:fill="1E2761"/>
            <w:tcMar>
              <w:top w:w="70" w:type="dxa"/>
              <w:left w:w="100" w:type="dxa"/>
              <w:bottom w:w="70" w:type="dxa"/>
              <w:right w:w="100" w:type="dxa"/>
            </w:tcMar>
          </w:tcPr>
          <w:p w14:paraId="3C0B90AB" w14:textId="77777777" w:rsidR="002D25EA" w:rsidRDefault="002D25EA" w:rsidP="00D9409F">
            <w:r>
              <w:rPr>
                <w:b/>
                <w:bCs/>
                <w:color w:val="FFFFFF"/>
                <w:sz w:val="18"/>
                <w:szCs w:val="18"/>
              </w:rPr>
              <w:t>Suggested size</w:t>
            </w:r>
          </w:p>
        </w:tc>
        <w:tc>
          <w:tcPr>
            <w:tcW w:w="2000" w:type="dxa"/>
            <w:shd w:val="clear" w:color="auto" w:fill="1E2761"/>
            <w:tcMar>
              <w:top w:w="70" w:type="dxa"/>
              <w:left w:w="100" w:type="dxa"/>
              <w:bottom w:w="70" w:type="dxa"/>
              <w:right w:w="100" w:type="dxa"/>
            </w:tcMar>
          </w:tcPr>
          <w:p w14:paraId="22B9D6DA" w14:textId="77777777" w:rsidR="002D25EA" w:rsidRDefault="002D25EA" w:rsidP="00D9409F">
            <w:r>
              <w:rPr>
                <w:b/>
                <w:bCs/>
                <w:color w:val="FFFFFF"/>
                <w:sz w:val="18"/>
                <w:szCs w:val="18"/>
              </w:rPr>
              <w:t>Address range</w:t>
            </w:r>
          </w:p>
        </w:tc>
      </w:tr>
      <w:tr w:rsidR="002D25EA" w14:paraId="2ACEBBFD" w14:textId="77777777" w:rsidTr="00D9409F">
        <w:tc>
          <w:tcPr>
            <w:tcW w:w="2500" w:type="dxa"/>
            <w:tcMar>
              <w:top w:w="70" w:type="dxa"/>
              <w:left w:w="100" w:type="dxa"/>
              <w:bottom w:w="70" w:type="dxa"/>
              <w:right w:w="100" w:type="dxa"/>
            </w:tcMar>
          </w:tcPr>
          <w:p w14:paraId="57A7E237" w14:textId="77777777" w:rsidR="002D25EA" w:rsidRDefault="002D25EA" w:rsidP="00D9409F">
            <w:r>
              <w:rPr>
                <w:sz w:val="18"/>
                <w:szCs w:val="18"/>
              </w:rPr>
              <w:t>snet-apim-prod-uksouth</w:t>
            </w:r>
          </w:p>
        </w:tc>
        <w:tc>
          <w:tcPr>
            <w:tcW w:w="3200" w:type="dxa"/>
            <w:tcMar>
              <w:top w:w="70" w:type="dxa"/>
              <w:left w:w="100" w:type="dxa"/>
              <w:bottom w:w="70" w:type="dxa"/>
              <w:right w:w="100" w:type="dxa"/>
            </w:tcMar>
          </w:tcPr>
          <w:p w14:paraId="5E9E4047" w14:textId="77777777" w:rsidR="002D25EA" w:rsidRDefault="002D25EA" w:rsidP="00D9409F">
            <w:r>
              <w:rPr>
                <w:sz w:val="18"/>
                <w:szCs w:val="18"/>
              </w:rPr>
              <w:t>APIM injection (internal mode), UK South</w:t>
            </w:r>
          </w:p>
        </w:tc>
        <w:tc>
          <w:tcPr>
            <w:tcW w:w="1600" w:type="dxa"/>
            <w:tcMar>
              <w:top w:w="70" w:type="dxa"/>
              <w:left w:w="100" w:type="dxa"/>
              <w:bottom w:w="70" w:type="dxa"/>
              <w:right w:w="100" w:type="dxa"/>
            </w:tcMar>
          </w:tcPr>
          <w:p w14:paraId="7814DDFF" w14:textId="77777777" w:rsidR="002D25EA" w:rsidRDefault="002D25EA" w:rsidP="00D9409F">
            <w:r>
              <w:rPr>
                <w:sz w:val="18"/>
                <w:szCs w:val="18"/>
              </w:rPr>
              <w:t>/26 (default)</w:t>
            </w:r>
          </w:p>
        </w:tc>
        <w:tc>
          <w:tcPr>
            <w:tcW w:w="2000" w:type="dxa"/>
            <w:tcMar>
              <w:top w:w="70" w:type="dxa"/>
              <w:left w:w="100" w:type="dxa"/>
              <w:bottom w:w="70" w:type="dxa"/>
              <w:right w:w="100" w:type="dxa"/>
            </w:tcMar>
          </w:tcPr>
          <w:p w14:paraId="539589A7" w14:textId="77777777" w:rsidR="002D25EA" w:rsidRDefault="002D25EA" w:rsidP="00D9409F">
            <w:r>
              <w:rPr>
                <w:sz w:val="18"/>
                <w:szCs w:val="18"/>
              </w:rPr>
              <w:t>To confirm vs IPAM</w:t>
            </w:r>
          </w:p>
        </w:tc>
      </w:tr>
      <w:tr w:rsidR="002D25EA" w14:paraId="18690E5E" w14:textId="77777777" w:rsidTr="00D9409F">
        <w:tc>
          <w:tcPr>
            <w:tcW w:w="2500" w:type="dxa"/>
            <w:tcMar>
              <w:top w:w="70" w:type="dxa"/>
              <w:left w:w="100" w:type="dxa"/>
              <w:bottom w:w="70" w:type="dxa"/>
              <w:right w:w="100" w:type="dxa"/>
            </w:tcMar>
          </w:tcPr>
          <w:p w14:paraId="580E9719" w14:textId="77777777" w:rsidR="002D25EA" w:rsidRDefault="002D25EA" w:rsidP="00D9409F">
            <w:r>
              <w:rPr>
                <w:sz w:val="18"/>
                <w:szCs w:val="18"/>
              </w:rPr>
              <w:t>snet-apim-prod-ukwest</w:t>
            </w:r>
          </w:p>
        </w:tc>
        <w:tc>
          <w:tcPr>
            <w:tcW w:w="3200" w:type="dxa"/>
            <w:tcMar>
              <w:top w:w="70" w:type="dxa"/>
              <w:left w:w="100" w:type="dxa"/>
              <w:bottom w:w="70" w:type="dxa"/>
              <w:right w:w="100" w:type="dxa"/>
            </w:tcMar>
          </w:tcPr>
          <w:p w14:paraId="42C79125" w14:textId="77777777" w:rsidR="002D25EA" w:rsidRDefault="002D25EA" w:rsidP="00D9409F">
            <w:r>
              <w:rPr>
                <w:sz w:val="18"/>
                <w:szCs w:val="18"/>
              </w:rPr>
              <w:t>APIM injection (internal mode), UK West</w:t>
            </w:r>
          </w:p>
        </w:tc>
        <w:tc>
          <w:tcPr>
            <w:tcW w:w="1600" w:type="dxa"/>
            <w:tcMar>
              <w:top w:w="70" w:type="dxa"/>
              <w:left w:w="100" w:type="dxa"/>
              <w:bottom w:w="70" w:type="dxa"/>
              <w:right w:w="100" w:type="dxa"/>
            </w:tcMar>
          </w:tcPr>
          <w:p w14:paraId="7D1803F7" w14:textId="77777777" w:rsidR="002D25EA" w:rsidRDefault="002D25EA" w:rsidP="00D9409F">
            <w:r>
              <w:rPr>
                <w:sz w:val="18"/>
                <w:szCs w:val="18"/>
              </w:rPr>
              <w:t>/26 (default)</w:t>
            </w:r>
          </w:p>
        </w:tc>
        <w:tc>
          <w:tcPr>
            <w:tcW w:w="2000" w:type="dxa"/>
            <w:tcMar>
              <w:top w:w="70" w:type="dxa"/>
              <w:left w:w="100" w:type="dxa"/>
              <w:bottom w:w="70" w:type="dxa"/>
              <w:right w:w="100" w:type="dxa"/>
            </w:tcMar>
          </w:tcPr>
          <w:p w14:paraId="1D5D1E88" w14:textId="77777777" w:rsidR="002D25EA" w:rsidRDefault="002D25EA" w:rsidP="00D9409F">
            <w:r>
              <w:rPr>
                <w:sz w:val="18"/>
                <w:szCs w:val="18"/>
              </w:rPr>
              <w:t>To confirm vs IPAM</w:t>
            </w:r>
          </w:p>
        </w:tc>
      </w:tr>
      <w:tr w:rsidR="002D25EA" w14:paraId="7E4223E7" w14:textId="77777777" w:rsidTr="00D9409F">
        <w:tc>
          <w:tcPr>
            <w:tcW w:w="2500" w:type="dxa"/>
            <w:tcMar>
              <w:top w:w="70" w:type="dxa"/>
              <w:left w:w="100" w:type="dxa"/>
              <w:bottom w:w="70" w:type="dxa"/>
              <w:right w:w="100" w:type="dxa"/>
            </w:tcMar>
          </w:tcPr>
          <w:p w14:paraId="1158E027" w14:textId="77777777" w:rsidR="002D25EA" w:rsidRDefault="002D25EA" w:rsidP="00D9409F">
            <w:r>
              <w:rPr>
                <w:sz w:val="18"/>
                <w:szCs w:val="18"/>
              </w:rPr>
              <w:t>snet-pe-backends-*</w:t>
            </w:r>
          </w:p>
        </w:tc>
        <w:tc>
          <w:tcPr>
            <w:tcW w:w="3200" w:type="dxa"/>
            <w:tcMar>
              <w:top w:w="70" w:type="dxa"/>
              <w:left w:w="100" w:type="dxa"/>
              <w:bottom w:w="70" w:type="dxa"/>
              <w:right w:w="100" w:type="dxa"/>
            </w:tcMar>
          </w:tcPr>
          <w:p w14:paraId="199BEDE5" w14:textId="77777777" w:rsidR="002D25EA" w:rsidRDefault="002D25EA" w:rsidP="00D9409F">
            <w:r>
              <w:rPr>
                <w:sz w:val="18"/>
                <w:szCs w:val="18"/>
              </w:rPr>
              <w:t>Private Endpoints for integration services, Functions and Service Bus</w:t>
            </w:r>
          </w:p>
        </w:tc>
        <w:tc>
          <w:tcPr>
            <w:tcW w:w="1600" w:type="dxa"/>
            <w:tcMar>
              <w:top w:w="70" w:type="dxa"/>
              <w:left w:w="100" w:type="dxa"/>
              <w:bottom w:w="70" w:type="dxa"/>
              <w:right w:w="100" w:type="dxa"/>
            </w:tcMar>
          </w:tcPr>
          <w:p w14:paraId="0E0226BD" w14:textId="77777777" w:rsidR="002D25EA" w:rsidRDefault="002D25EA" w:rsidP="00D9409F">
            <w:r>
              <w:rPr>
                <w:sz w:val="18"/>
                <w:szCs w:val="18"/>
              </w:rPr>
              <w:t>/26</w:t>
            </w:r>
          </w:p>
        </w:tc>
        <w:tc>
          <w:tcPr>
            <w:tcW w:w="2000" w:type="dxa"/>
            <w:tcMar>
              <w:top w:w="70" w:type="dxa"/>
              <w:left w:w="100" w:type="dxa"/>
              <w:bottom w:w="70" w:type="dxa"/>
              <w:right w:w="100" w:type="dxa"/>
            </w:tcMar>
          </w:tcPr>
          <w:p w14:paraId="0394CB26" w14:textId="77777777" w:rsidR="002D25EA" w:rsidRDefault="002D25EA" w:rsidP="00D9409F">
            <w:r>
              <w:rPr>
                <w:sz w:val="18"/>
                <w:szCs w:val="18"/>
              </w:rPr>
              <w:t>To confirm vs IPAM</w:t>
            </w:r>
          </w:p>
        </w:tc>
      </w:tr>
      <w:tr w:rsidR="002D25EA" w14:paraId="5D796D54" w14:textId="77777777" w:rsidTr="00D9409F">
        <w:tc>
          <w:tcPr>
            <w:tcW w:w="2500" w:type="dxa"/>
            <w:tcMar>
              <w:top w:w="70" w:type="dxa"/>
              <w:left w:w="100" w:type="dxa"/>
              <w:bottom w:w="70" w:type="dxa"/>
              <w:right w:w="100" w:type="dxa"/>
            </w:tcMar>
          </w:tcPr>
          <w:p w14:paraId="4A685079" w14:textId="77777777" w:rsidR="002D25EA" w:rsidRDefault="002D25EA" w:rsidP="00D9409F">
            <w:r>
              <w:rPr>
                <w:sz w:val="18"/>
                <w:szCs w:val="18"/>
              </w:rPr>
              <w:t>snet-frontdoor-pl-*</w:t>
            </w:r>
          </w:p>
        </w:tc>
        <w:tc>
          <w:tcPr>
            <w:tcW w:w="3200" w:type="dxa"/>
            <w:tcMar>
              <w:top w:w="70" w:type="dxa"/>
              <w:left w:w="100" w:type="dxa"/>
              <w:bottom w:w="70" w:type="dxa"/>
              <w:right w:w="100" w:type="dxa"/>
            </w:tcMar>
          </w:tcPr>
          <w:p w14:paraId="1EE42007" w14:textId="77777777" w:rsidR="002D25EA" w:rsidRDefault="002D25EA" w:rsidP="00D9409F">
            <w:r>
              <w:rPr>
                <w:sz w:val="18"/>
                <w:szCs w:val="18"/>
              </w:rPr>
              <w:t>Front Door Private Link (Model A)</w:t>
            </w:r>
          </w:p>
        </w:tc>
        <w:tc>
          <w:tcPr>
            <w:tcW w:w="1600" w:type="dxa"/>
            <w:tcMar>
              <w:top w:w="70" w:type="dxa"/>
              <w:left w:w="100" w:type="dxa"/>
              <w:bottom w:w="70" w:type="dxa"/>
              <w:right w:w="100" w:type="dxa"/>
            </w:tcMar>
          </w:tcPr>
          <w:p w14:paraId="30AD7FDD" w14:textId="77777777" w:rsidR="002D25EA" w:rsidRDefault="002D25EA" w:rsidP="00D9409F">
            <w:r>
              <w:rPr>
                <w:sz w:val="18"/>
                <w:szCs w:val="18"/>
              </w:rPr>
              <w:t>/27</w:t>
            </w:r>
          </w:p>
        </w:tc>
        <w:tc>
          <w:tcPr>
            <w:tcW w:w="2000" w:type="dxa"/>
            <w:tcMar>
              <w:top w:w="70" w:type="dxa"/>
              <w:left w:w="100" w:type="dxa"/>
              <w:bottom w:w="70" w:type="dxa"/>
              <w:right w:w="100" w:type="dxa"/>
            </w:tcMar>
          </w:tcPr>
          <w:p w14:paraId="0B0F1A87" w14:textId="77777777" w:rsidR="002D25EA" w:rsidRDefault="002D25EA" w:rsidP="00D9409F">
            <w:r>
              <w:rPr>
                <w:sz w:val="18"/>
                <w:szCs w:val="18"/>
              </w:rPr>
              <w:t>To confirm vs IPAM</w:t>
            </w:r>
          </w:p>
        </w:tc>
      </w:tr>
      <w:tr w:rsidR="002D25EA" w14:paraId="4550AD49" w14:textId="77777777" w:rsidTr="00D9409F">
        <w:tc>
          <w:tcPr>
            <w:tcW w:w="2500" w:type="dxa"/>
            <w:tcMar>
              <w:top w:w="70" w:type="dxa"/>
              <w:left w:w="100" w:type="dxa"/>
              <w:bottom w:w="70" w:type="dxa"/>
              <w:right w:w="100" w:type="dxa"/>
            </w:tcMar>
          </w:tcPr>
          <w:p w14:paraId="166429E0" w14:textId="77777777" w:rsidR="002D25EA" w:rsidRDefault="002D25EA" w:rsidP="00D9409F">
            <w:r>
              <w:rPr>
                <w:sz w:val="18"/>
                <w:szCs w:val="18"/>
              </w:rPr>
              <w:t>hub firewall subnets</w:t>
            </w:r>
          </w:p>
        </w:tc>
        <w:tc>
          <w:tcPr>
            <w:tcW w:w="3200" w:type="dxa"/>
            <w:tcMar>
              <w:top w:w="70" w:type="dxa"/>
              <w:left w:w="100" w:type="dxa"/>
              <w:bottom w:w="70" w:type="dxa"/>
              <w:right w:w="100" w:type="dxa"/>
            </w:tcMar>
          </w:tcPr>
          <w:p w14:paraId="1BA7419B" w14:textId="77777777" w:rsidR="002D25EA" w:rsidRDefault="002D25EA" w:rsidP="00D9409F">
            <w:r>
              <w:rPr>
                <w:sz w:val="18"/>
                <w:szCs w:val="18"/>
              </w:rPr>
              <w:t>Palo Alto NVA (trust / untrust / mgmt)</w:t>
            </w:r>
          </w:p>
        </w:tc>
        <w:tc>
          <w:tcPr>
            <w:tcW w:w="1600" w:type="dxa"/>
            <w:tcMar>
              <w:top w:w="70" w:type="dxa"/>
              <w:left w:w="100" w:type="dxa"/>
              <w:bottom w:w="70" w:type="dxa"/>
              <w:right w:w="100" w:type="dxa"/>
            </w:tcMar>
          </w:tcPr>
          <w:p w14:paraId="7A8C98DE" w14:textId="77777777" w:rsidR="002D25EA" w:rsidRDefault="002D25EA" w:rsidP="00D9409F">
            <w:r>
              <w:rPr>
                <w:sz w:val="18"/>
                <w:szCs w:val="18"/>
              </w:rPr>
              <w:t>Per vendor guidance</w:t>
            </w:r>
          </w:p>
        </w:tc>
        <w:tc>
          <w:tcPr>
            <w:tcW w:w="2000" w:type="dxa"/>
            <w:tcMar>
              <w:top w:w="70" w:type="dxa"/>
              <w:left w:w="100" w:type="dxa"/>
              <w:bottom w:w="70" w:type="dxa"/>
              <w:right w:w="100" w:type="dxa"/>
            </w:tcMar>
          </w:tcPr>
          <w:p w14:paraId="7ED17A60" w14:textId="77777777" w:rsidR="002D25EA" w:rsidRDefault="002D25EA" w:rsidP="00D9409F">
            <w:r>
              <w:rPr>
                <w:sz w:val="18"/>
                <w:szCs w:val="18"/>
              </w:rPr>
              <w:t>Owned by Network</w:t>
            </w:r>
          </w:p>
        </w:tc>
      </w:tr>
    </w:tbl>
    <w:p w14:paraId="43149F76" w14:textId="77777777" w:rsidR="002D25EA" w:rsidRDefault="002D25EA" w:rsidP="002D25EA">
      <w:pPr>
        <w:spacing w:after="60"/>
      </w:pPr>
    </w:p>
    <w:p w14:paraId="093658D3"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2" w:name="_Toc240539746"/>
      <w:r>
        <w:rPr>
          <w:rFonts w:asciiTheme="minorHAnsi" w:eastAsia="Times New Roman" w:hAnsiTheme="minorHAnsi" w:cs="Times New Roman"/>
          <w:b w:val="0"/>
          <w:color w:val="132040" w:themeColor="accent1" w:themeShade="BF"/>
          <w:sz w:val="24"/>
          <w:szCs w:val="26"/>
          <w:lang w:eastAsia="en-US"/>
        </w:rPr>
        <w:t>Traffic Management and Edge Security</w:t>
      </w:r>
      <w:bookmarkEnd w:id="22"/>
    </w:p>
    <w:p w14:paraId="04FA39CC" w14:textId="77777777" w:rsidR="002D25EA" w:rsidRDefault="002D25EA" w:rsidP="002D25EA">
      <w:pPr>
        <w:spacing w:after="140"/>
      </w:pPr>
      <w:r>
        <w:t>The edge and global-routing design, including the choice of Azure Front Door over Traffic Manager and the ingress topology, is set out within the network design in section 7 (see the ingress options and the Front Door versus Traffic Manager comparison). In summary: Azure Front Door Premium with WAF provides the global entry point, edge security and automatic multi-region failover for external and partner traffic; the Palo Alto firewall provides network inspection; and APIM runs in internal mode behind them.</w:t>
      </w:r>
    </w:p>
    <w:p w14:paraId="0E8801DB"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3" w:name="_Toc240539747"/>
      <w:r>
        <w:rPr>
          <w:rFonts w:asciiTheme="minorHAnsi" w:eastAsia="Times New Roman" w:hAnsiTheme="minorHAnsi" w:cs="Times New Roman"/>
          <w:b w:val="0"/>
          <w:color w:val="132040" w:themeColor="accent1" w:themeShade="BF"/>
          <w:sz w:val="24"/>
          <w:szCs w:val="26"/>
          <w:lang w:eastAsia="en-US"/>
        </w:rPr>
        <w:t>Authentication and Security Design</w:t>
      </w:r>
      <w:bookmarkEnd w:id="23"/>
    </w:p>
    <w:p w14:paraId="12BBF19F" w14:textId="77777777" w:rsidR="002D25EA" w:rsidRDefault="002D25EA" w:rsidP="002D25EA">
      <w:pPr>
        <w:spacing w:after="140"/>
      </w:pPr>
      <w:r>
        <w:t>Security is the highest priority in this design. It is checked at every hop, never assumed at the backend, and never granted just because a call came from inside the Organization’s network. Concretely, this means a request is never trusted just because it made it past the previous layer: identity is checked, then the network path is checked, then the gateway's own policies are checked, and so on, so that no single mistake in one layer exposes a backend. The diagram below is a map of those checks, read top to bottom: a request passes every layer in turn before any backend is reached, and each layer is shown next to the specific threat it defends against. The layers are ordered deliberately, not just listed, and a request that fails any one of them never proceeds.</w:t>
      </w:r>
    </w:p>
    <w:p w14:paraId="4F312A0A" w14:textId="77777777" w:rsidR="002D25EA" w:rsidRPr="00614651" w:rsidRDefault="002D25EA" w:rsidP="00614651">
      <w:pPr>
        <w:rPr>
          <w:b/>
          <w:bCs/>
        </w:rPr>
      </w:pPr>
      <w:r>
        <w:rPr>
          <w:b/>
          <w:bCs/>
        </w:rPr>
        <w:t>Security architecture: defence in depth at a glance</w:t>
      </w:r>
    </w:p>
    <w:p w14:paraId="2C26B433" w14:textId="77777777" w:rsidR="002D25EA" w:rsidRDefault="002D25EA" w:rsidP="002D25EA">
      <w:pPr>
        <w:spacing w:after="140"/>
      </w:pPr>
      <w:r>
        <w:lastRenderedPageBreak/>
        <w:t>Before the individual controls, the diagram below sets out the security architecture as a whole: a mandatory transport layer, then the enforcement checks each owning a distinct job, that an inbound request passes before any backend is reached. This is the standard Azure defence-in-depth pattern for a private-mode APIM behind an edge WAF, and it is the frame the rest of this section fills in. No single layer is a substitute for another; the security of the platform is the composition of them all.</w:t>
      </w:r>
    </w:p>
    <w:p w14:paraId="63DBD7F3" w14:textId="77777777" w:rsidR="002D25EA" w:rsidRDefault="002D25EA" w:rsidP="002D25EA">
      <w:pPr>
        <w:spacing w:before="80" w:after="120"/>
        <w:jc w:val="center"/>
      </w:pPr>
      <w:r>
        <w:rPr>
          <w:noProof/>
        </w:rPr>
        <w:drawing>
          <wp:inline distT="0" distB="0" distL="0" distR="0" wp14:anchorId="7970759B" wp14:editId="6A5CB238">
            <wp:extent cx="5760720" cy="520680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5206805"/>
                    </a:xfrm>
                    <a:prstGeom prst="rect">
                      <a:avLst/>
                    </a:prstGeom>
                  </pic:spPr>
                </pic:pic>
              </a:graphicData>
            </a:graphic>
          </wp:inline>
        </w:drawing>
      </w:r>
    </w:p>
    <w:p w14:paraId="6D7F2FE0" w14:textId="77777777" w:rsidR="002D25EA" w:rsidRPr="00007E30" w:rsidRDefault="002D25EA" w:rsidP="00007E30">
      <w:pPr>
        <w:rPr>
          <w:b/>
          <w:bCs/>
        </w:rPr>
      </w:pPr>
      <w:r>
        <w:rPr>
          <w:b/>
          <w:bCs/>
        </w:rPr>
        <w:t>Security design principles and residual risk</w:t>
      </w:r>
    </w:p>
    <w:p w14:paraId="435C8B40" w14:textId="77777777" w:rsidR="002D25EA" w:rsidRDefault="002D25EA" w:rsidP="002D25EA">
      <w:pPr>
        <w:spacing w:after="140"/>
      </w:pPr>
      <w:r>
        <w:t>The controls in this section all serve a small set of principles, stated here so a reviewer can see the intent behind them: verify every hop (nothing is trusted because it came from inside the network); defence in depth (no single control is load-bearing); least privilege (consumers, pipelines and admins get the minimum access needed); deny by default and secure by default (APIs are private and authenticated unless a decision is made otherwise); one identity provider (Entra ID for consumers and administrators alike); everything as code (security configuration is reviewed and version-controlled, never hand-set in Production); and secrets never in code (Key Vault-backed named values only).</w:t>
      </w:r>
    </w:p>
    <w:p w14:paraId="5056FF39" w14:textId="77777777" w:rsidR="002D25EA" w:rsidRDefault="002D25EA" w:rsidP="002D25EA">
      <w:pPr>
        <w:spacing w:after="140"/>
      </w:pPr>
      <w:r>
        <w:t>No design removes all risk. The residual risks below are the ones that remain after the controls, with the compensating measure and the owner who carries them: this is deliberately explicit so nothing is presented as fully solved when it is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2600"/>
        <w:gridCol w:w="1500"/>
      </w:tblGrid>
      <w:tr w:rsidR="002D25EA" w14:paraId="3D7BE966" w14:textId="77777777" w:rsidTr="00D9409F">
        <w:trPr>
          <w:tblHeader/>
        </w:trPr>
        <w:tc>
          <w:tcPr>
            <w:tcW w:w="2700" w:type="dxa"/>
            <w:shd w:val="clear" w:color="auto" w:fill="1E2761"/>
            <w:tcMar>
              <w:top w:w="70" w:type="dxa"/>
              <w:left w:w="100" w:type="dxa"/>
              <w:bottom w:w="70" w:type="dxa"/>
              <w:right w:w="100" w:type="dxa"/>
            </w:tcMar>
          </w:tcPr>
          <w:p w14:paraId="348A19E8" w14:textId="77777777" w:rsidR="002D25EA" w:rsidRDefault="002D25EA" w:rsidP="00D9409F">
            <w:r>
              <w:rPr>
                <w:b/>
                <w:bCs/>
                <w:color w:val="FFFFFF"/>
                <w:sz w:val="18"/>
                <w:szCs w:val="18"/>
              </w:rPr>
              <w:lastRenderedPageBreak/>
              <w:t>Residual risk</w:t>
            </w:r>
          </w:p>
        </w:tc>
        <w:tc>
          <w:tcPr>
            <w:tcW w:w="2500" w:type="dxa"/>
            <w:shd w:val="clear" w:color="auto" w:fill="1E2761"/>
            <w:tcMar>
              <w:top w:w="70" w:type="dxa"/>
              <w:left w:w="100" w:type="dxa"/>
              <w:bottom w:w="70" w:type="dxa"/>
              <w:right w:w="100" w:type="dxa"/>
            </w:tcMar>
          </w:tcPr>
          <w:p w14:paraId="311097D9" w14:textId="77777777" w:rsidR="002D25EA" w:rsidRDefault="002D25EA" w:rsidP="00D9409F">
            <w:r>
              <w:rPr>
                <w:b/>
                <w:bCs/>
                <w:color w:val="FFFFFF"/>
                <w:sz w:val="18"/>
                <w:szCs w:val="18"/>
              </w:rPr>
              <w:t>Why it remains</w:t>
            </w:r>
          </w:p>
        </w:tc>
        <w:tc>
          <w:tcPr>
            <w:tcW w:w="2600" w:type="dxa"/>
            <w:shd w:val="clear" w:color="auto" w:fill="1E2761"/>
            <w:tcMar>
              <w:top w:w="70" w:type="dxa"/>
              <w:left w:w="100" w:type="dxa"/>
              <w:bottom w:w="70" w:type="dxa"/>
              <w:right w:w="100" w:type="dxa"/>
            </w:tcMar>
          </w:tcPr>
          <w:p w14:paraId="649E2D02" w14:textId="77777777" w:rsidR="002D25EA" w:rsidRDefault="002D25EA" w:rsidP="00D9409F">
            <w:r>
              <w:rPr>
                <w:b/>
                <w:bCs/>
                <w:color w:val="FFFFFF"/>
                <w:sz w:val="18"/>
                <w:szCs w:val="18"/>
              </w:rPr>
              <w:t>Compensating control</w:t>
            </w:r>
          </w:p>
        </w:tc>
        <w:tc>
          <w:tcPr>
            <w:tcW w:w="1500" w:type="dxa"/>
            <w:shd w:val="clear" w:color="auto" w:fill="1E2761"/>
            <w:tcMar>
              <w:top w:w="70" w:type="dxa"/>
              <w:left w:w="100" w:type="dxa"/>
              <w:bottom w:w="70" w:type="dxa"/>
              <w:right w:w="100" w:type="dxa"/>
            </w:tcMar>
          </w:tcPr>
          <w:p w14:paraId="23318304" w14:textId="77777777" w:rsidR="002D25EA" w:rsidRDefault="002D25EA" w:rsidP="00D9409F">
            <w:r>
              <w:rPr>
                <w:b/>
                <w:bCs/>
                <w:color w:val="FFFFFF"/>
                <w:sz w:val="18"/>
                <w:szCs w:val="18"/>
              </w:rPr>
              <w:t>Owner</w:t>
            </w:r>
          </w:p>
        </w:tc>
      </w:tr>
      <w:tr w:rsidR="002D25EA" w14:paraId="435DD483" w14:textId="77777777" w:rsidTr="00D9409F">
        <w:tc>
          <w:tcPr>
            <w:tcW w:w="2700" w:type="dxa"/>
            <w:tcMar>
              <w:top w:w="70" w:type="dxa"/>
              <w:left w:w="100" w:type="dxa"/>
              <w:bottom w:w="70" w:type="dxa"/>
              <w:right w:w="100" w:type="dxa"/>
            </w:tcMar>
          </w:tcPr>
          <w:p w14:paraId="55B5C9B1" w14:textId="77777777" w:rsidR="002D25EA" w:rsidRDefault="002D25EA" w:rsidP="00D9409F">
            <w:r>
              <w:rPr>
                <w:sz w:val="18"/>
                <w:szCs w:val="18"/>
              </w:rPr>
              <w:t>Backend object-level authorization (BOLA) cannot be enforced at the gateway</w:t>
            </w:r>
          </w:p>
        </w:tc>
        <w:tc>
          <w:tcPr>
            <w:tcW w:w="2500" w:type="dxa"/>
            <w:tcMar>
              <w:top w:w="70" w:type="dxa"/>
              <w:left w:w="100" w:type="dxa"/>
              <w:bottom w:w="70" w:type="dxa"/>
              <w:right w:w="100" w:type="dxa"/>
            </w:tcMar>
          </w:tcPr>
          <w:p w14:paraId="3A076AC3" w14:textId="77777777" w:rsidR="002D25EA" w:rsidRDefault="002D25EA" w:rsidP="00D9409F">
            <w:r>
              <w:rPr>
                <w:sz w:val="18"/>
                <w:szCs w:val="18"/>
              </w:rPr>
              <w:t>APIM validates identity and passes claims, but only the backend knows its own object model</w:t>
            </w:r>
          </w:p>
        </w:tc>
        <w:tc>
          <w:tcPr>
            <w:tcW w:w="2600" w:type="dxa"/>
            <w:tcMar>
              <w:top w:w="70" w:type="dxa"/>
              <w:left w:w="100" w:type="dxa"/>
              <w:bottom w:w="70" w:type="dxa"/>
              <w:right w:w="100" w:type="dxa"/>
            </w:tcMar>
          </w:tcPr>
          <w:p w14:paraId="49977E0D" w14:textId="77777777" w:rsidR="002D25EA" w:rsidRDefault="002D25EA" w:rsidP="00D9409F">
            <w:r>
              <w:rPr>
                <w:sz w:val="18"/>
                <w:szCs w:val="18"/>
              </w:rPr>
              <w:t>Mandatory backend-authorization standard, code review and contract tests per API</w:t>
            </w:r>
          </w:p>
        </w:tc>
        <w:tc>
          <w:tcPr>
            <w:tcW w:w="1500" w:type="dxa"/>
            <w:tcMar>
              <w:top w:w="70" w:type="dxa"/>
              <w:left w:w="100" w:type="dxa"/>
              <w:bottom w:w="70" w:type="dxa"/>
              <w:right w:w="100" w:type="dxa"/>
            </w:tcMar>
          </w:tcPr>
          <w:p w14:paraId="53CB8FF0" w14:textId="77777777" w:rsidR="002D25EA" w:rsidRDefault="002D25EA" w:rsidP="00D9409F">
            <w:r>
              <w:rPr>
                <w:sz w:val="18"/>
                <w:szCs w:val="18"/>
              </w:rPr>
              <w:t>Domain teams</w:t>
            </w:r>
          </w:p>
        </w:tc>
      </w:tr>
      <w:tr w:rsidR="002D25EA" w14:paraId="56358B33" w14:textId="77777777" w:rsidTr="00D9409F">
        <w:tc>
          <w:tcPr>
            <w:tcW w:w="2700" w:type="dxa"/>
            <w:tcMar>
              <w:top w:w="70" w:type="dxa"/>
              <w:left w:w="100" w:type="dxa"/>
              <w:bottom w:w="70" w:type="dxa"/>
              <w:right w:w="100" w:type="dxa"/>
            </w:tcMar>
          </w:tcPr>
          <w:p w14:paraId="01AE75C4" w14:textId="77777777" w:rsidR="002D25EA" w:rsidRDefault="002D25EA" w:rsidP="00D9409F">
            <w:r>
              <w:rPr>
                <w:sz w:val="18"/>
                <w:szCs w:val="18"/>
              </w:rPr>
              <w:t>Non-OAuth exception consumers weaken the single-IdP model</w:t>
            </w:r>
          </w:p>
        </w:tc>
        <w:tc>
          <w:tcPr>
            <w:tcW w:w="2500" w:type="dxa"/>
            <w:tcMar>
              <w:top w:w="70" w:type="dxa"/>
              <w:left w:w="100" w:type="dxa"/>
              <w:bottom w:w="70" w:type="dxa"/>
              <w:right w:w="100" w:type="dxa"/>
            </w:tcMar>
          </w:tcPr>
          <w:p w14:paraId="1CE8A151" w14:textId="77777777" w:rsidR="002D25EA" w:rsidRDefault="002D25EA" w:rsidP="00D9409F">
            <w:r>
              <w:rPr>
                <w:sz w:val="18"/>
                <w:szCs w:val="18"/>
              </w:rPr>
              <w:t>Some partners cannot support OAuth 2.0</w:t>
            </w:r>
          </w:p>
        </w:tc>
        <w:tc>
          <w:tcPr>
            <w:tcW w:w="2600" w:type="dxa"/>
            <w:tcMar>
              <w:top w:w="70" w:type="dxa"/>
              <w:left w:w="100" w:type="dxa"/>
              <w:bottom w:w="70" w:type="dxa"/>
              <w:right w:w="100" w:type="dxa"/>
            </w:tcMar>
          </w:tcPr>
          <w:p w14:paraId="2381745A" w14:textId="77777777" w:rsidR="002D25EA" w:rsidRDefault="002D25EA" w:rsidP="00D9409F">
            <w:r>
              <w:rPr>
                <w:sz w:val="18"/>
                <w:szCs w:val="18"/>
              </w:rPr>
              <w:t>mTLS or IP allow-list plus short-lived rotating secret; time-boxed, reviewed exception (below)</w:t>
            </w:r>
          </w:p>
        </w:tc>
        <w:tc>
          <w:tcPr>
            <w:tcW w:w="1500" w:type="dxa"/>
            <w:tcMar>
              <w:top w:w="70" w:type="dxa"/>
              <w:left w:w="100" w:type="dxa"/>
              <w:bottom w:w="70" w:type="dxa"/>
              <w:right w:w="100" w:type="dxa"/>
            </w:tcMar>
          </w:tcPr>
          <w:p w14:paraId="38595598" w14:textId="77777777" w:rsidR="002D25EA" w:rsidRDefault="002D25EA" w:rsidP="00D9409F">
            <w:r>
              <w:rPr>
                <w:sz w:val="18"/>
                <w:szCs w:val="18"/>
              </w:rPr>
              <w:t>Security</w:t>
            </w:r>
          </w:p>
        </w:tc>
      </w:tr>
      <w:tr w:rsidR="002D25EA" w14:paraId="2E56437B" w14:textId="77777777" w:rsidTr="00D9409F">
        <w:tc>
          <w:tcPr>
            <w:tcW w:w="2700" w:type="dxa"/>
            <w:tcMar>
              <w:top w:w="70" w:type="dxa"/>
              <w:left w:w="100" w:type="dxa"/>
              <w:bottom w:w="70" w:type="dxa"/>
              <w:right w:w="100" w:type="dxa"/>
            </w:tcMar>
          </w:tcPr>
          <w:p w14:paraId="5F29FB57" w14:textId="77777777" w:rsidR="002D25EA" w:rsidRDefault="002D25EA" w:rsidP="00D9409F">
            <w:r>
              <w:rPr>
                <w:sz w:val="18"/>
                <w:szCs w:val="18"/>
              </w:rPr>
              <w:t>Compliance mapping not yet independently verified</w:t>
            </w:r>
          </w:p>
        </w:tc>
        <w:tc>
          <w:tcPr>
            <w:tcW w:w="2500" w:type="dxa"/>
            <w:tcMar>
              <w:top w:w="70" w:type="dxa"/>
              <w:left w:w="100" w:type="dxa"/>
              <w:bottom w:w="70" w:type="dxa"/>
              <w:right w:w="100" w:type="dxa"/>
            </w:tcMar>
          </w:tcPr>
          <w:p w14:paraId="689C344F" w14:textId="77777777" w:rsidR="002D25EA" w:rsidRDefault="002D25EA" w:rsidP="00D9409F">
            <w:r>
              <w:rPr>
                <w:sz w:val="18"/>
                <w:szCs w:val="18"/>
              </w:rPr>
              <w:t>The Organization control catalogue not cross-checked against this design</w:t>
            </w:r>
          </w:p>
        </w:tc>
        <w:tc>
          <w:tcPr>
            <w:tcW w:w="2600" w:type="dxa"/>
            <w:tcMar>
              <w:top w:w="70" w:type="dxa"/>
              <w:left w:w="100" w:type="dxa"/>
              <w:bottom w:w="70" w:type="dxa"/>
              <w:right w:w="100" w:type="dxa"/>
            </w:tcMar>
          </w:tcPr>
          <w:p w14:paraId="4B8FB6A1" w14:textId="77777777" w:rsidR="002D25EA" w:rsidRDefault="002D25EA" w:rsidP="00D9409F">
            <w:r>
              <w:rPr>
                <w:sz w:val="18"/>
                <w:szCs w:val="18"/>
              </w:rPr>
              <w:t>Compliance sign-off of the control-to-evidence matrix before go-live</w:t>
            </w:r>
          </w:p>
        </w:tc>
        <w:tc>
          <w:tcPr>
            <w:tcW w:w="1500" w:type="dxa"/>
            <w:tcMar>
              <w:top w:w="70" w:type="dxa"/>
              <w:left w:w="100" w:type="dxa"/>
              <w:bottom w:w="70" w:type="dxa"/>
              <w:right w:w="100" w:type="dxa"/>
            </w:tcMar>
          </w:tcPr>
          <w:p w14:paraId="635E28F6" w14:textId="77777777" w:rsidR="002D25EA" w:rsidRDefault="002D25EA" w:rsidP="00D9409F">
            <w:r>
              <w:rPr>
                <w:sz w:val="18"/>
                <w:szCs w:val="18"/>
              </w:rPr>
              <w:t>Compliance</w:t>
            </w:r>
          </w:p>
        </w:tc>
      </w:tr>
      <w:tr w:rsidR="002D25EA" w14:paraId="236A4ABD" w14:textId="77777777" w:rsidTr="00D9409F">
        <w:tc>
          <w:tcPr>
            <w:tcW w:w="2700" w:type="dxa"/>
            <w:tcMar>
              <w:top w:w="70" w:type="dxa"/>
              <w:left w:w="100" w:type="dxa"/>
              <w:bottom w:w="70" w:type="dxa"/>
              <w:right w:w="100" w:type="dxa"/>
            </w:tcMar>
          </w:tcPr>
          <w:p w14:paraId="3E677E8E" w14:textId="77777777" w:rsidR="002D25EA" w:rsidRDefault="002D25EA" w:rsidP="00D9409F">
            <w:r>
              <w:rPr>
                <w:sz w:val="18"/>
                <w:szCs w:val="18"/>
              </w:rPr>
              <w:t>Capacity behaviour under real peak load unproven</w:t>
            </w:r>
          </w:p>
        </w:tc>
        <w:tc>
          <w:tcPr>
            <w:tcW w:w="2500" w:type="dxa"/>
            <w:tcMar>
              <w:top w:w="70" w:type="dxa"/>
              <w:left w:w="100" w:type="dxa"/>
              <w:bottom w:w="70" w:type="dxa"/>
              <w:right w:w="100" w:type="dxa"/>
            </w:tcMar>
          </w:tcPr>
          <w:p w14:paraId="236EE242" w14:textId="77777777" w:rsidR="002D25EA" w:rsidRDefault="002D25EA" w:rsidP="00D9409F">
            <w:r>
              <w:rPr>
                <w:sz w:val="18"/>
                <w:szCs w:val="18"/>
              </w:rPr>
              <w:t>The Organization peak requests-per-second not yet provided</w:t>
            </w:r>
          </w:p>
        </w:tc>
        <w:tc>
          <w:tcPr>
            <w:tcW w:w="2600" w:type="dxa"/>
            <w:tcMar>
              <w:top w:w="70" w:type="dxa"/>
              <w:left w:w="100" w:type="dxa"/>
              <w:bottom w:w="70" w:type="dxa"/>
              <w:right w:w="100" w:type="dxa"/>
            </w:tcMar>
          </w:tcPr>
          <w:p w14:paraId="6FEABB31" w14:textId="77777777" w:rsidR="002D25EA" w:rsidRDefault="002D25EA" w:rsidP="00D9409F">
            <w:r>
              <w:rPr>
                <w:sz w:val="18"/>
                <w:szCs w:val="18"/>
              </w:rPr>
              <w:t>Load test before go-live; capacity-metric autoscale with headroom</w:t>
            </w:r>
          </w:p>
        </w:tc>
        <w:tc>
          <w:tcPr>
            <w:tcW w:w="1500" w:type="dxa"/>
            <w:tcMar>
              <w:top w:w="70" w:type="dxa"/>
              <w:left w:w="100" w:type="dxa"/>
              <w:bottom w:w="70" w:type="dxa"/>
              <w:right w:w="100" w:type="dxa"/>
            </w:tcMar>
          </w:tcPr>
          <w:p w14:paraId="1B1C3001" w14:textId="77777777" w:rsidR="002D25EA" w:rsidRDefault="002D25EA" w:rsidP="00D9409F">
            <w:r>
              <w:rPr>
                <w:sz w:val="18"/>
                <w:szCs w:val="18"/>
              </w:rPr>
              <w:t>Platform</w:t>
            </w:r>
          </w:p>
        </w:tc>
      </w:tr>
      <w:tr w:rsidR="002D25EA" w14:paraId="60E957EC" w14:textId="77777777" w:rsidTr="00D9409F">
        <w:tc>
          <w:tcPr>
            <w:tcW w:w="2700" w:type="dxa"/>
            <w:tcMar>
              <w:top w:w="70" w:type="dxa"/>
              <w:left w:w="100" w:type="dxa"/>
              <w:bottom w:w="70" w:type="dxa"/>
              <w:right w:w="100" w:type="dxa"/>
            </w:tcMar>
          </w:tcPr>
          <w:p w14:paraId="3FC20D3A" w14:textId="77777777" w:rsidR="002D25EA" w:rsidRDefault="002D25EA" w:rsidP="00D9409F">
            <w:r>
              <w:rPr>
                <w:sz w:val="18"/>
                <w:szCs w:val="18"/>
              </w:rPr>
              <w:t>Single ingress concentrates blast radius</w:t>
            </w:r>
          </w:p>
        </w:tc>
        <w:tc>
          <w:tcPr>
            <w:tcW w:w="2500" w:type="dxa"/>
            <w:tcMar>
              <w:top w:w="70" w:type="dxa"/>
              <w:left w:w="100" w:type="dxa"/>
              <w:bottom w:w="70" w:type="dxa"/>
              <w:right w:w="100" w:type="dxa"/>
            </w:tcMar>
          </w:tcPr>
          <w:p w14:paraId="12823860" w14:textId="77777777" w:rsidR="002D25EA" w:rsidRDefault="002D25EA" w:rsidP="00D9409F">
            <w:r>
              <w:rPr>
                <w:sz w:val="18"/>
                <w:szCs w:val="18"/>
              </w:rPr>
              <w:t>A shared platform is a bigger target than scattered endpoints</w:t>
            </w:r>
          </w:p>
        </w:tc>
        <w:tc>
          <w:tcPr>
            <w:tcW w:w="2600" w:type="dxa"/>
            <w:tcMar>
              <w:top w:w="70" w:type="dxa"/>
              <w:left w:w="100" w:type="dxa"/>
              <w:bottom w:w="70" w:type="dxa"/>
              <w:right w:w="100" w:type="dxa"/>
            </w:tcMar>
          </w:tcPr>
          <w:p w14:paraId="28B9673C" w14:textId="77777777" w:rsidR="002D25EA" w:rsidRDefault="002D25EA" w:rsidP="00D9409F">
            <w:r>
              <w:rPr>
                <w:sz w:val="18"/>
                <w:szCs w:val="18"/>
              </w:rPr>
              <w:t>Rate limits, workspace isolation, multi-region, WAF/DDoS, break-glass runbook</w:t>
            </w:r>
          </w:p>
        </w:tc>
        <w:tc>
          <w:tcPr>
            <w:tcW w:w="1500" w:type="dxa"/>
            <w:tcMar>
              <w:top w:w="70" w:type="dxa"/>
              <w:left w:w="100" w:type="dxa"/>
              <w:bottom w:w="70" w:type="dxa"/>
              <w:right w:w="100" w:type="dxa"/>
            </w:tcMar>
          </w:tcPr>
          <w:p w14:paraId="6BBA30A7" w14:textId="77777777" w:rsidR="002D25EA" w:rsidRDefault="002D25EA" w:rsidP="00D9409F">
            <w:r>
              <w:rPr>
                <w:sz w:val="18"/>
                <w:szCs w:val="18"/>
              </w:rPr>
              <w:t>Platform + Security</w:t>
            </w:r>
          </w:p>
        </w:tc>
      </w:tr>
    </w:tbl>
    <w:p w14:paraId="72DEF03E" w14:textId="77777777" w:rsidR="002D25EA" w:rsidRPr="00007E30" w:rsidRDefault="002D25EA" w:rsidP="00007E30">
      <w:pPr>
        <w:rPr>
          <w:b/>
          <w:bCs/>
        </w:rPr>
      </w:pPr>
      <w:r>
        <w:rPr>
          <w:b/>
          <w:bCs/>
        </w:rPr>
        <w:t>Threat model: STRIDE and the OWASP API Security Top 10</w:t>
      </w:r>
    </w:p>
    <w:p>
      <w:pPr>
        <w:spacing w:after="140"/>
      </w:pPr>
      <w:r>
        <w:rPr>
          <w:rFonts w:ascii="Noe Text" w:cs="Noe Text" w:eastAsia="Noe Text" w:hAnsi="Noe Text"/>
          <w:color w:val="333333"/>
          <w:sz w:val="21"/>
          <w:szCs w:val="21"/>
        </w:rPr>
        <w:t xml:space="preserve">the Organization’s security is checked against two recognised frameworks so nothing is missed: STRIDE (platform-level threat categories) and the OWASP API Security Top 10 (the API-specific risks a security reviewer will expect to see addressed). The one-page summary below gives the key risks and the controls that address them; the full framework-by-framework mapping is in the appendix "Threat model: STRIDE and OWASP in detail" for the security architect who needs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Key risk area</w:t>
            </w:r>
          </w:p>
        </w:tc>
        <w:tc>
          <w:tcPr>
            <w:tcW w:type="dxa" w:w="6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How this design controls it</w:t>
            </w:r>
          </w:p>
        </w:tc>
      </w:tr>
      <w:tr>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Impersonation / broken authentication</w:t>
            </w:r>
          </w:p>
        </w:tc>
        <w:tc>
          <w:tcPr>
            <w:tcW w:type="dxa" w:w="6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OAuth 2.0 with JWT validation at the gateway; single identity provider; mTLS for approved exceptions</w:t>
            </w:r>
          </w:p>
        </w:tc>
      </w:tr>
      <w:tr>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Tampering / data in transit</w:t>
            </w:r>
          </w:p>
        </w:tc>
        <w:tc>
          <w:tcPr>
            <w:tcW w:type="dxa" w:w="6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TLS 1.2+ end-to-end; Front Door WAF; request schema validation</w:t>
            </w:r>
          </w:p>
        </w:tc>
      </w:tr>
      <w:tr>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Information disclosure</w:t>
            </w:r>
          </w:p>
        </w:tc>
        <w:tc>
          <w:tcPr>
            <w:tcW w:type="dxa" w:w="6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Least-privilege products and scopes; payload logging off by default with redaction; Private Endpoints; no secrets in policy</w:t>
            </w:r>
          </w:p>
        </w:tc>
      </w:tr>
      <w:tr>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Denial of service</w:t>
            </w:r>
          </w:p>
        </w:tc>
        <w:tc>
          <w:tcPr>
            <w:tcW w:type="dxa" w:w="6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DDoS and WAF; per-subscription rate limits and quotas; capacity-based autoscale</w:t>
            </w:r>
          </w:p>
        </w:tc>
      </w:tr>
      <w:tr>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Broken authorization (object / function level)</w:t>
            </w:r>
          </w:p>
        </w:tc>
        <w:tc>
          <w:tcPr>
            <w:tcW w:type="dxa" w:w="6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APIM validates identity and forwards claims, but the backend must enforce object- and function-level authorization; this is a shared responsibility, not solved at the gateway alone</w:t>
            </w:r>
          </w:p>
        </w:tc>
      </w:tr>
      <w:tr>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Unmanaged or shadow APIs</w:t>
            </w:r>
          </w:p>
        </w:tc>
        <w:tc>
          <w:tcPr>
            <w:tcW w:type="dxa" w:w="6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Single ingress plus central catalogue prevents undiscovered APIs; lifecycle and audience tagging; versioning and deprecation</w:t>
            </w:r>
          </w:p>
        </w:tc>
      </w:tr>
    </w:tbl>
    <w:p>
      <w:pPr>
        <w:spacing w:after="140"/>
      </w:pPr>
      <w:r>
        <w:rPr>
          <w:rFonts w:ascii="Noe Text" w:cs="Noe Text" w:eastAsia="Noe Text" w:hAnsi="Noe Text"/>
          <w:i/>
          <w:iCs/>
          <w:color w:val="333333"/>
          <w:sz w:val="21"/>
          <w:szCs w:val="21"/>
        </w:rPr>
        <w:t xml:space="preserve">Two points a reviewer should note: the gateway cannot enforce backend object-level authorization (the backend owns its object model), and compliance mapping is not yet independently verified. Both are tracked with compensating controls in the residual-risk table above and in the assumptions register (section 17.7).</w:t>
      </w:r>
    </w:p>
    <w:p w14:paraId="7F3D3F15" w14:textId="77777777" w:rsidR="002D25EA" w:rsidRPr="00007E30" w:rsidRDefault="002D25EA" w:rsidP="00007E30">
      <w:pPr>
        <w:rPr>
          <w:b/>
          <w:bCs/>
        </w:rPr>
      </w:pPr>
      <w:r>
        <w:rPr>
          <w:b/>
          <w:bCs/>
        </w:rPr>
        <w:t>Data classification, payload logging and PII</w:t>
      </w:r>
    </w:p>
    <w:p w14:paraId="6BAA0109" w14:textId="77777777" w:rsidR="002D25EA" w:rsidRDefault="002D25EA" w:rsidP="002D25EA">
      <w:pPr>
        <w:spacing w:after="140"/>
      </w:pPr>
      <w:r>
        <w:t>Because the platform carries claims and policy data, how it treats that data in transit and in logs matters as much as who can call it. The position is: classify what flows, do not log message bodies by default, and keep operational metadata free of personal data.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Area</w:t>
            </w:r>
          </w:p>
        </w:tc>
        <w:tc>
          <w:tcPr>
            <w:tcW w:type="dxa" w:w="71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Position</w:t>
            </w:r>
          </w:p>
        </w:tc>
      </w:tr>
      <w:tr>
        <w:tc>
          <w:tcPr>
            <w:tcW w:type="dxa" w:w="2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Classification</w:t>
            </w:r>
          </w:p>
        </w:tc>
        <w:tc>
          <w:tcPr>
            <w:tcW w:type="dxa" w:w="7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Every API tagged at onboarding with its highest sensitivity tier: public/reference, internal, confidential (personal data), or restricted (special-category or highly sensitive claims data). The tier drives logging, masking and which products may carry it.</w:t>
            </w:r>
          </w:p>
        </w:tc>
      </w:tr>
      <w:tr>
        <w:tc>
          <w:tcPr>
            <w:tcW w:type="dxa" w:w="2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Payload logging</w:t>
            </w:r>
          </w:p>
        </w:tc>
        <w:tc>
          <w:tcPr>
            <w:tcW w:type="dxa" w:w="7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Request and response bodies are not logged by default. If a body must be captured for diagnostics, sensitive fields are masked first, and verbose logging is time-boxed, never left on in Production. Tokens and secrets are always excluded from logs.</w:t>
            </w:r>
          </w:p>
        </w:tc>
      </w:tr>
      <w:tr>
        <w:tc>
          <w:tcPr>
            <w:tcW w:type="dxa" w:w="2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Correlation IDs</w:t>
            </w:r>
          </w:p>
        </w:tc>
        <w:tc>
          <w:tcPr>
            <w:tcW w:type="dxa" w:w="7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Opaque identifiers only, never email, policy or customer numbers.</w:t>
            </w:r>
          </w:p>
        </w:tc>
      </w:tr>
      <w:tr>
        <w:tc>
          <w:tcPr>
            <w:tcW w:type="dxa" w:w="2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Retention</w:t>
            </w:r>
          </w:p>
        </w:tc>
        <w:tc>
          <w:tcPr>
            <w:tcW w:type="dxa" w:w="71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Long enough for investigation and audit, no longer, aligned to UK GDPR data-minimisation. Exact period to be confirmed with Compliance and recorded against the observability design (section 13).</w:t>
            </w:r>
          </w:p>
        </w:tc>
      </w:tr>
    </w:tbl>
    <w:p w14:paraId="2D11532F" w14:textId="77777777" w:rsidR="002D25EA" w:rsidRPr="00007E30" w:rsidRDefault="002D25EA" w:rsidP="00007E30">
      <w:pPr>
        <w:rPr>
          <w:b/>
          <w:bCs/>
        </w:rPr>
      </w:pPr>
      <w:r>
        <w:rPr>
          <w:b/>
          <w:bCs/>
        </w:rPr>
        <w:t>Exception process for non-OAuth consumers</w:t>
      </w:r>
    </w:p>
    <w:p w14:paraId="0CB0F164" w14:textId="77777777" w:rsidR="002D25EA" w:rsidRDefault="002D25EA" w:rsidP="002D25EA">
      <w:pPr>
        <w:spacing w:after="140"/>
      </w:pPr>
      <w:r>
        <w:t>OAuth 2.0 with Entra ID is the default and the expectation. Where a partner genuinely cannot support it, an exception is allowed but governed: the point of the process is that exceptions are deliberate, compensated, time-boxed and reviewed, not permanent quiet workarounds.</w:t>
      </w:r>
    </w:p>
    <w:p>
      <w:pPr>
        <w:spacing w:after="120" w:before="120"/>
        <w:jc w:val="center"/>
      </w:pPr>
      <w:r>
        <w:drawing>
          <wp:inline distT="0" distB="0" distL="0" distR="0">
            <wp:extent cx="3048000" cy="2316480"/>
            <wp:effectExtent l="0" t="0" r="0" b="0"/>
            <wp:docPr id="9201" name="Non-OAuth excep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3048000" cy="2316480"/>
                    </a:xfrm>
                    <a:prstGeom prst="rect">
                      <a:avLst/>
                    </a:prstGeom>
                  </pic:spPr>
                </pic:pic>
              </a:graphicData>
            </a:graphic>
          </wp:inline>
        </w:drawing>
      </w:r>
    </w:p>
    <w:p>
      <w:pPr>
        <w:spacing w:after="180"/>
        <w:jc w:val="center"/>
      </w:pPr>
      <w:r>
        <w:rPr>
          <w:i/>
          <w:iCs/>
          <w:color w:val="666666"/>
          <w:sz w:val="18"/>
          <w:szCs w:val="18"/>
        </w:rPr>
        <w:t>Figure 13a: The non-OAuth exception approval workflow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D25EA" w14:paraId="21485F78" w14:textId="77777777" w:rsidTr="00D9409F">
        <w:trPr>
          <w:tblHeader/>
        </w:trPr>
        <w:tc>
          <w:tcPr>
            <w:tcW w:w="2600" w:type="dxa"/>
            <w:shd w:val="clear" w:color="auto" w:fill="1E2761"/>
            <w:tcMar>
              <w:top w:w="70" w:type="dxa"/>
              <w:left w:w="100" w:type="dxa"/>
              <w:bottom w:w="70" w:type="dxa"/>
              <w:right w:w="100" w:type="dxa"/>
            </w:tcMar>
          </w:tcPr>
          <w:p w14:paraId="7B294F75" w14:textId="77777777" w:rsidR="002D25EA" w:rsidRDefault="002D25EA" w:rsidP="00D9409F">
            <w:r>
              <w:rPr>
                <w:b/>
                <w:bCs/>
                <w:color w:val="FFFFFF"/>
                <w:sz w:val="18"/>
                <w:szCs w:val="18"/>
              </w:rPr>
              <w:t>Aspect</w:t>
            </w:r>
          </w:p>
        </w:tc>
        <w:tc>
          <w:tcPr>
            <w:tcW w:w="6700" w:type="dxa"/>
            <w:shd w:val="clear" w:color="auto" w:fill="1E2761"/>
            <w:tcMar>
              <w:top w:w="70" w:type="dxa"/>
              <w:left w:w="100" w:type="dxa"/>
              <w:bottom w:w="70" w:type="dxa"/>
              <w:right w:w="100" w:type="dxa"/>
            </w:tcMar>
          </w:tcPr>
          <w:p w14:paraId="7ADA3C4D" w14:textId="77777777" w:rsidR="002D25EA" w:rsidRDefault="002D25EA" w:rsidP="00D9409F">
            <w:r>
              <w:rPr>
                <w:b/>
                <w:bCs/>
                <w:color w:val="FFFFFF"/>
                <w:sz w:val="18"/>
                <w:szCs w:val="18"/>
              </w:rPr>
              <w:t>Requirement</w:t>
            </w:r>
          </w:p>
        </w:tc>
      </w:tr>
      <w:tr w:rsidR="002D25EA" w14:paraId="2A3E55AA" w14:textId="77777777" w:rsidTr="00D9409F">
        <w:tc>
          <w:tcPr>
            <w:tcW w:w="2600" w:type="dxa"/>
            <w:tcMar>
              <w:top w:w="70" w:type="dxa"/>
              <w:left w:w="100" w:type="dxa"/>
              <w:bottom w:w="70" w:type="dxa"/>
              <w:right w:w="100" w:type="dxa"/>
            </w:tcMar>
          </w:tcPr>
          <w:p w14:paraId="70833E0E" w14:textId="77777777" w:rsidR="002D25EA" w:rsidRDefault="002D25EA" w:rsidP="00D9409F">
            <w:r>
              <w:rPr>
                <w:sz w:val="18"/>
                <w:szCs w:val="18"/>
              </w:rPr>
              <w:t>Who approves</w:t>
            </w:r>
          </w:p>
        </w:tc>
        <w:tc>
          <w:tcPr>
            <w:tcW w:w="6700" w:type="dxa"/>
            <w:tcMar>
              <w:top w:w="70" w:type="dxa"/>
              <w:left w:w="100" w:type="dxa"/>
              <w:bottom w:w="70" w:type="dxa"/>
              <w:right w:w="100" w:type="dxa"/>
            </w:tcMar>
          </w:tcPr>
          <w:p w14:paraId="75F09984" w14:textId="77777777" w:rsidR="002D25EA" w:rsidRDefault="002D25EA" w:rsidP="00D9409F">
            <w:r>
              <w:rPr>
                <w:sz w:val="18"/>
                <w:szCs w:val="18"/>
              </w:rPr>
              <w:t>Joint approval by the Security lead and the API Platform lead: not the requesting team alone</w:t>
            </w:r>
          </w:p>
        </w:tc>
      </w:tr>
      <w:tr w:rsidR="002D25EA" w14:paraId="2E9B62FF" w14:textId="77777777" w:rsidTr="00D9409F">
        <w:tc>
          <w:tcPr>
            <w:tcW w:w="2600" w:type="dxa"/>
            <w:tcMar>
              <w:top w:w="70" w:type="dxa"/>
              <w:left w:w="100" w:type="dxa"/>
              <w:bottom w:w="70" w:type="dxa"/>
              <w:right w:w="100" w:type="dxa"/>
            </w:tcMar>
          </w:tcPr>
          <w:p w14:paraId="34692636" w14:textId="77777777" w:rsidR="002D25EA" w:rsidRDefault="002D25EA" w:rsidP="00D9409F">
            <w:r>
              <w:rPr>
                <w:sz w:val="18"/>
                <w:szCs w:val="18"/>
              </w:rPr>
              <w:t>Compensating controls required</w:t>
            </w:r>
          </w:p>
        </w:tc>
        <w:tc>
          <w:tcPr>
            <w:tcW w:w="6700" w:type="dxa"/>
            <w:tcMar>
              <w:top w:w="70" w:type="dxa"/>
              <w:left w:w="100" w:type="dxa"/>
              <w:bottom w:w="70" w:type="dxa"/>
              <w:right w:w="100" w:type="dxa"/>
            </w:tcMar>
          </w:tcPr>
          <w:p w14:paraId="40EBBC16" w14:textId="77777777" w:rsidR="002D25EA" w:rsidRDefault="002D25EA" w:rsidP="00D9409F">
            <w:r>
              <w:rPr>
                <w:sz w:val="18"/>
                <w:szCs w:val="18"/>
              </w:rPr>
              <w:t>mTLS or a strict IP allow-list, plus a short-lived secret with enforced rotation; least-privilege product scope</w:t>
            </w:r>
          </w:p>
        </w:tc>
      </w:tr>
      <w:tr w:rsidR="002D25EA" w14:paraId="71ADD49C" w14:textId="77777777" w:rsidTr="00D9409F">
        <w:tc>
          <w:tcPr>
            <w:tcW w:w="2600" w:type="dxa"/>
            <w:tcMar>
              <w:top w:w="70" w:type="dxa"/>
              <w:left w:w="100" w:type="dxa"/>
              <w:bottom w:w="70" w:type="dxa"/>
              <w:right w:w="100" w:type="dxa"/>
            </w:tcMar>
          </w:tcPr>
          <w:p w14:paraId="1A31A3A9" w14:textId="77777777" w:rsidR="002D25EA" w:rsidRDefault="002D25EA" w:rsidP="00D9409F">
            <w:r>
              <w:rPr>
                <w:sz w:val="18"/>
                <w:szCs w:val="18"/>
              </w:rPr>
              <w:t>Maximum validity</w:t>
            </w:r>
          </w:p>
        </w:tc>
        <w:tc>
          <w:tcPr>
            <w:tcW w:w="6700" w:type="dxa"/>
            <w:tcMar>
              <w:top w:w="70" w:type="dxa"/>
              <w:left w:w="100" w:type="dxa"/>
              <w:bottom w:w="70" w:type="dxa"/>
              <w:right w:w="100" w:type="dxa"/>
            </w:tcMar>
          </w:tcPr>
          <w:p w14:paraId="7D6047C2" w14:textId="77777777" w:rsidR="002D25EA" w:rsidRDefault="002D25EA" w:rsidP="00D9409F">
            <w:r>
              <w:rPr>
                <w:sz w:val="18"/>
                <w:szCs w:val="18"/>
              </w:rPr>
              <w:t>Time-boxed (recommended 12 months): an exception expires and must be re-approved, it does not roll over silently</w:t>
            </w:r>
          </w:p>
        </w:tc>
      </w:tr>
      <w:tr w:rsidR="002D25EA" w14:paraId="0FAA4B1E" w14:textId="77777777" w:rsidTr="00D9409F">
        <w:tc>
          <w:tcPr>
            <w:tcW w:w="2600" w:type="dxa"/>
            <w:tcMar>
              <w:top w:w="70" w:type="dxa"/>
              <w:left w:w="100" w:type="dxa"/>
              <w:bottom w:w="70" w:type="dxa"/>
              <w:right w:w="100" w:type="dxa"/>
            </w:tcMar>
          </w:tcPr>
          <w:p w14:paraId="34C25DAF" w14:textId="77777777" w:rsidR="002D25EA" w:rsidRDefault="002D25EA" w:rsidP="00D9409F">
            <w:r>
              <w:rPr>
                <w:sz w:val="18"/>
                <w:szCs w:val="18"/>
              </w:rPr>
              <w:t>Review cadence</w:t>
            </w:r>
          </w:p>
        </w:tc>
        <w:tc>
          <w:tcPr>
            <w:tcW w:w="6700" w:type="dxa"/>
            <w:tcMar>
              <w:top w:w="70" w:type="dxa"/>
              <w:left w:w="100" w:type="dxa"/>
              <w:bottom w:w="70" w:type="dxa"/>
              <w:right w:w="100" w:type="dxa"/>
            </w:tcMar>
          </w:tcPr>
          <w:p w14:paraId="1F90C38A" w14:textId="77777777" w:rsidR="002D25EA" w:rsidRDefault="002D25EA" w:rsidP="00D9409F">
            <w:r>
              <w:rPr>
                <w:sz w:val="18"/>
                <w:szCs w:val="18"/>
              </w:rPr>
              <w:t>Reviewed at least quarterly against continued need and the partner’s ability to move to OAuth</w:t>
            </w:r>
          </w:p>
        </w:tc>
      </w:tr>
      <w:tr w:rsidR="002D25EA" w14:paraId="47EF98BB" w14:textId="77777777" w:rsidTr="00D9409F">
        <w:tc>
          <w:tcPr>
            <w:tcW w:w="2600" w:type="dxa"/>
            <w:tcMar>
              <w:top w:w="70" w:type="dxa"/>
              <w:left w:w="100" w:type="dxa"/>
              <w:bottom w:w="70" w:type="dxa"/>
              <w:right w:w="100" w:type="dxa"/>
            </w:tcMar>
          </w:tcPr>
          <w:p w14:paraId="13108A67" w14:textId="77777777" w:rsidR="002D25EA" w:rsidRDefault="002D25EA" w:rsidP="00D9409F">
            <w:r>
              <w:rPr>
                <w:sz w:val="18"/>
                <w:szCs w:val="18"/>
              </w:rPr>
              <w:t>Record</w:t>
            </w:r>
          </w:p>
        </w:tc>
        <w:tc>
          <w:tcPr>
            <w:tcW w:w="6700" w:type="dxa"/>
            <w:tcMar>
              <w:top w:w="70" w:type="dxa"/>
              <w:left w:w="100" w:type="dxa"/>
              <w:bottom w:w="70" w:type="dxa"/>
              <w:right w:w="100" w:type="dxa"/>
            </w:tcMar>
          </w:tcPr>
          <w:p w14:paraId="7C9A5659" w14:textId="77777777" w:rsidR="002D25EA" w:rsidRDefault="002D25EA" w:rsidP="00D9409F">
            <w:r>
              <w:rPr>
                <w:sz w:val="18"/>
                <w:szCs w:val="18"/>
              </w:rPr>
              <w:t>Logged in a standing exception register with owner, justification, controls, approval date and expiry; referenced in the assumptions register (A.04)</w:t>
            </w:r>
          </w:p>
        </w:tc>
      </w:tr>
      <w:tr w:rsidR="002D25EA" w14:paraId="69C91F85" w14:textId="77777777" w:rsidTr="00D9409F">
        <w:tc>
          <w:tcPr>
            <w:tcW w:w="2600" w:type="dxa"/>
            <w:tcMar>
              <w:top w:w="70" w:type="dxa"/>
              <w:left w:w="100" w:type="dxa"/>
              <w:bottom w:w="70" w:type="dxa"/>
              <w:right w:w="100" w:type="dxa"/>
            </w:tcMar>
          </w:tcPr>
          <w:p w14:paraId="4DC31646" w14:textId="77777777" w:rsidR="002D25EA" w:rsidRDefault="002D25EA" w:rsidP="00D9409F">
            <w:r>
              <w:rPr>
                <w:sz w:val="18"/>
                <w:szCs w:val="18"/>
              </w:rPr>
              <w:lastRenderedPageBreak/>
              <w:t>Exit</w:t>
            </w:r>
          </w:p>
        </w:tc>
        <w:tc>
          <w:tcPr>
            <w:tcW w:w="6700" w:type="dxa"/>
            <w:tcMar>
              <w:top w:w="70" w:type="dxa"/>
              <w:left w:w="100" w:type="dxa"/>
              <w:bottom w:w="70" w:type="dxa"/>
              <w:right w:w="100" w:type="dxa"/>
            </w:tcMar>
          </w:tcPr>
          <w:p w14:paraId="503A5B30" w14:textId="77777777" w:rsidR="002D25EA" w:rsidRDefault="002D25EA" w:rsidP="00D9409F">
            <w:r>
              <w:rPr>
                <w:sz w:val="18"/>
                <w:szCs w:val="18"/>
              </w:rPr>
              <w:t>Each exception carries a target date and named owner for moving the consumer onto OAuth</w:t>
            </w:r>
          </w:p>
        </w:tc>
      </w:tr>
    </w:tbl>
    <w:p w14:paraId="63CB1E69" w14:textId="77777777" w:rsidR="002D25EA" w:rsidRDefault="002D25EA" w:rsidP="002D25EA">
      <w:pPr>
        <w:spacing w:after="60"/>
      </w:pPr>
    </w:p>
    <w:p w14:paraId="025A8DF8" w14:textId="77777777" w:rsidR="002D25EA" w:rsidRDefault="002D25EA" w:rsidP="002D25EA">
      <w:pPr>
        <w:spacing w:after="140"/>
      </w:pPr>
      <w:r>
        <w:t>The diagram below adapts Microsoft's Protect APIs with Application Gateway and API Management reference architecture, showing how external and internal traffic are split at the edge before either ever reaches APIM.</w:t>
      </w:r>
    </w:p>
    <w:p w14:paraId="6705252E" w14:textId="77777777" w:rsidR="002D25EA" w:rsidRDefault="002D25EA" w:rsidP="002D25EA">
      <w:pPr>
        <w:spacing w:before="80" w:after="120"/>
        <w:jc w:val="center"/>
      </w:pPr>
      <w:r>
        <w:rPr>
          <w:noProof/>
        </w:rPr>
        <w:drawing>
          <wp:inline distT="0" distB="0" distL="0" distR="0" wp14:anchorId="012DF261" wp14:editId="5AB81328">
            <wp:extent cx="5486400" cy="809625"/>
            <wp:effectExtent l="0" t="0" r="0" b="0"/>
            <wp:docPr id="1457468829" name="Picture 145746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809625"/>
                    </a:xfrm>
                    <a:prstGeom prst="rect">
                      <a:avLst/>
                    </a:prstGeom>
                  </pic:spPr>
                </pic:pic>
              </a:graphicData>
            </a:graphic>
          </wp:inline>
        </w:drawing>
      </w:r>
    </w:p>
    <w:p w14:paraId="4B70377F" w14:textId="77777777" w:rsidR="002D25EA" w:rsidRDefault="002D25EA" w:rsidP="002D25EA">
      <w:pPr>
        <w:spacing w:after="180"/>
        <w:jc w:val="center"/>
      </w:pPr>
      <w:r>
        <w:rPr>
          <w:i/>
          <w:iCs/>
          <w:color w:val="666666"/>
          <w:sz w:val="18"/>
          <w:szCs w:val="18"/>
        </w:rPr>
        <w:t>Figure 13: Edge routing pattern, adapted from Microsoft's Protect APIs with Application Gateway and API Management reference architecture</w:t>
      </w:r>
    </w:p>
    <w:p w14:paraId="2B0DCF31" w14:textId="77777777" w:rsidR="002D25EA" w:rsidRPr="00007E30" w:rsidRDefault="002D25EA" w:rsidP="00007E30">
      <w:pPr>
        <w:rPr>
          <w:b/>
          <w:bCs/>
        </w:rPr>
      </w:pPr>
      <w:r>
        <w:rPr>
          <w:b/>
          <w:bCs/>
        </w:rPr>
        <w:t>How each consumer type proves who they are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33380E8" w14:textId="77777777" w:rsidTr="00D9409F">
        <w:trPr>
          <w:tblHeader/>
        </w:trPr>
        <w:tc>
          <w:tcPr>
            <w:tcW w:w="3100" w:type="dxa"/>
            <w:shd w:val="clear" w:color="auto" w:fill="1E2761"/>
            <w:tcMar>
              <w:top w:w="70" w:type="dxa"/>
              <w:left w:w="100" w:type="dxa"/>
              <w:bottom w:w="70" w:type="dxa"/>
              <w:right w:w="100" w:type="dxa"/>
            </w:tcMar>
            <w:vAlign w:val="center"/>
          </w:tcPr>
          <w:p w14:paraId="4BD24C4A" w14:textId="77777777" w:rsidR="002D25EA" w:rsidRDefault="002D25EA" w:rsidP="00D9409F">
            <w:r>
              <w:rPr>
                <w:b/>
                <w:bCs/>
                <w:color w:val="FFFFFF"/>
                <w:sz w:val="18"/>
                <w:szCs w:val="18"/>
              </w:rPr>
              <w:t>Consumer</w:t>
            </w:r>
          </w:p>
        </w:tc>
        <w:tc>
          <w:tcPr>
            <w:tcW w:w="3100" w:type="dxa"/>
            <w:shd w:val="clear" w:color="auto" w:fill="1E2761"/>
            <w:tcMar>
              <w:top w:w="70" w:type="dxa"/>
              <w:left w:w="100" w:type="dxa"/>
              <w:bottom w:w="70" w:type="dxa"/>
              <w:right w:w="100" w:type="dxa"/>
            </w:tcMar>
            <w:vAlign w:val="center"/>
          </w:tcPr>
          <w:p w14:paraId="5DC58348" w14:textId="77777777" w:rsidR="002D25EA" w:rsidRDefault="002D25EA" w:rsidP="00D9409F">
            <w:r>
              <w:rPr>
                <w:b/>
                <w:bCs/>
                <w:color w:val="FFFFFF"/>
                <w:sz w:val="18"/>
                <w:szCs w:val="18"/>
              </w:rPr>
              <w:t>How they authenticate</w:t>
            </w:r>
          </w:p>
        </w:tc>
        <w:tc>
          <w:tcPr>
            <w:tcW w:w="3100" w:type="dxa"/>
            <w:shd w:val="clear" w:color="auto" w:fill="1E2761"/>
            <w:tcMar>
              <w:top w:w="70" w:type="dxa"/>
              <w:left w:w="100" w:type="dxa"/>
              <w:bottom w:w="70" w:type="dxa"/>
              <w:right w:w="100" w:type="dxa"/>
            </w:tcMar>
            <w:vAlign w:val="center"/>
          </w:tcPr>
          <w:p w14:paraId="7D4A372C" w14:textId="77777777" w:rsidR="002D25EA" w:rsidRDefault="002D25EA" w:rsidP="00D9409F">
            <w:r>
              <w:rPr>
                <w:b/>
                <w:bCs/>
                <w:color w:val="FFFFFF"/>
                <w:sz w:val="18"/>
                <w:szCs w:val="18"/>
              </w:rPr>
              <w:t>Backup control</w:t>
            </w:r>
          </w:p>
        </w:tc>
      </w:tr>
      <w:tr w:rsidR="002D25EA" w14:paraId="4DA6D30D" w14:textId="77777777" w:rsidTr="00D9409F">
        <w:tc>
          <w:tcPr>
            <w:tcW w:w="3100" w:type="dxa"/>
            <w:tcMar>
              <w:top w:w="70" w:type="dxa"/>
              <w:left w:w="100" w:type="dxa"/>
              <w:bottom w:w="70" w:type="dxa"/>
              <w:right w:w="100" w:type="dxa"/>
            </w:tcMar>
            <w:vAlign w:val="center"/>
          </w:tcPr>
          <w:p w14:paraId="09E509BE" w14:textId="77777777" w:rsidR="002D25EA" w:rsidRDefault="002D25EA" w:rsidP="00D9409F">
            <w:r>
              <w:rPr>
                <w:sz w:val="18"/>
                <w:szCs w:val="18"/>
              </w:rPr>
              <w:t>Broker or partner</w:t>
            </w:r>
          </w:p>
        </w:tc>
        <w:tc>
          <w:tcPr>
            <w:tcW w:w="3100" w:type="dxa"/>
            <w:tcMar>
              <w:top w:w="70" w:type="dxa"/>
              <w:left w:w="100" w:type="dxa"/>
              <w:bottom w:w="70" w:type="dxa"/>
              <w:right w:w="100" w:type="dxa"/>
            </w:tcMar>
            <w:vAlign w:val="center"/>
          </w:tcPr>
          <w:p w14:paraId="32B3801D" w14:textId="77777777" w:rsidR="002D25EA" w:rsidRDefault="002D25EA" w:rsidP="00D9409F">
            <w:r>
              <w:rPr>
                <w:sz w:val="18"/>
                <w:szCs w:val="18"/>
              </w:rPr>
              <w:t>OAuth 2.0 token from Entra ID, validated on every call</w:t>
            </w:r>
          </w:p>
        </w:tc>
        <w:tc>
          <w:tcPr>
            <w:tcW w:w="3100" w:type="dxa"/>
            <w:tcMar>
              <w:top w:w="70" w:type="dxa"/>
              <w:left w:w="100" w:type="dxa"/>
              <w:bottom w:w="70" w:type="dxa"/>
              <w:right w:w="100" w:type="dxa"/>
            </w:tcMar>
            <w:vAlign w:val="center"/>
          </w:tcPr>
          <w:p w14:paraId="2B4693F4" w14:textId="77777777" w:rsidR="002D25EA" w:rsidRDefault="002D25EA" w:rsidP="00D9409F">
            <w:r>
              <w:rPr>
                <w:sz w:val="18"/>
                <w:szCs w:val="18"/>
              </w:rPr>
              <w:t>Subscription key, IP allow-list where fixed egress IPs exist</w:t>
            </w:r>
          </w:p>
        </w:tc>
      </w:tr>
      <w:tr w:rsidR="002D25EA" w14:paraId="23DF7BDE" w14:textId="77777777" w:rsidTr="00D9409F">
        <w:tc>
          <w:tcPr>
            <w:tcW w:w="3100" w:type="dxa"/>
            <w:tcMar>
              <w:top w:w="70" w:type="dxa"/>
              <w:left w:w="100" w:type="dxa"/>
              <w:bottom w:w="70" w:type="dxa"/>
              <w:right w:w="100" w:type="dxa"/>
            </w:tcMar>
            <w:vAlign w:val="center"/>
          </w:tcPr>
          <w:p w14:paraId="13FB8AA5" w14:textId="77777777" w:rsidR="002D25EA" w:rsidRDefault="002D25EA" w:rsidP="00D9409F">
            <w:r>
              <w:rPr>
                <w:sz w:val="18"/>
                <w:szCs w:val="18"/>
              </w:rPr>
              <w:t>Lloyd's market system</w:t>
            </w:r>
          </w:p>
        </w:tc>
        <w:tc>
          <w:tcPr>
            <w:tcW w:w="3100" w:type="dxa"/>
            <w:tcMar>
              <w:top w:w="70" w:type="dxa"/>
              <w:left w:w="100" w:type="dxa"/>
              <w:bottom w:w="70" w:type="dxa"/>
              <w:right w:w="100" w:type="dxa"/>
            </w:tcMar>
            <w:vAlign w:val="center"/>
          </w:tcPr>
          <w:p w14:paraId="34028527" w14:textId="77777777" w:rsidR="002D25EA" w:rsidRDefault="002D25EA" w:rsidP="00D9409F">
            <w:r>
              <w:rPr>
                <w:sz w:val="18"/>
                <w:szCs w:val="18"/>
              </w:rPr>
              <w:t>OAuth 2.0, with mutual TLS where the market requires certificate-based trust</w:t>
            </w:r>
          </w:p>
        </w:tc>
        <w:tc>
          <w:tcPr>
            <w:tcW w:w="3100" w:type="dxa"/>
            <w:tcMar>
              <w:top w:w="70" w:type="dxa"/>
              <w:left w:w="100" w:type="dxa"/>
              <w:bottom w:w="70" w:type="dxa"/>
              <w:right w:w="100" w:type="dxa"/>
            </w:tcMar>
            <w:vAlign w:val="center"/>
          </w:tcPr>
          <w:p w14:paraId="5FBAFF42" w14:textId="77777777" w:rsidR="002D25EA" w:rsidRDefault="002D25EA" w:rsidP="00D9409F">
            <w:r>
              <w:rPr>
                <w:sz w:val="18"/>
                <w:szCs w:val="18"/>
              </w:rPr>
              <w:t>Subscription key</w:t>
            </w:r>
          </w:p>
        </w:tc>
      </w:tr>
      <w:tr w:rsidR="002D25EA" w14:paraId="3D162489" w14:textId="77777777" w:rsidTr="00D9409F">
        <w:tc>
          <w:tcPr>
            <w:tcW w:w="3100" w:type="dxa"/>
            <w:tcMar>
              <w:top w:w="70" w:type="dxa"/>
              <w:left w:w="100" w:type="dxa"/>
              <w:bottom w:w="70" w:type="dxa"/>
              <w:right w:w="100" w:type="dxa"/>
            </w:tcMar>
            <w:vAlign w:val="center"/>
          </w:tcPr>
          <w:p w14:paraId="4F9FB4E9" w14:textId="77777777" w:rsidR="002D25EA" w:rsidRDefault="002D25EA" w:rsidP="00D9409F">
            <w:r>
              <w:rPr>
                <w:sz w:val="18"/>
                <w:szCs w:val="18"/>
              </w:rPr>
              <w:t>Internal the Organization system</w:t>
            </w:r>
          </w:p>
        </w:tc>
        <w:tc>
          <w:tcPr>
            <w:tcW w:w="3100" w:type="dxa"/>
            <w:tcMar>
              <w:top w:w="70" w:type="dxa"/>
              <w:left w:w="100" w:type="dxa"/>
              <w:bottom w:w="70" w:type="dxa"/>
              <w:right w:w="100" w:type="dxa"/>
            </w:tcMar>
            <w:vAlign w:val="center"/>
          </w:tcPr>
          <w:p w14:paraId="3CEC3080" w14:textId="77777777" w:rsidR="002D25EA" w:rsidRDefault="002D25EA" w:rsidP="00D9409F">
            <w:r>
              <w:rPr>
                <w:sz w:val="18"/>
                <w:szCs w:val="18"/>
              </w:rPr>
              <w:t>Managed Identity, no secret ever stored or typed</w:t>
            </w:r>
          </w:p>
        </w:tc>
        <w:tc>
          <w:tcPr>
            <w:tcW w:w="3100" w:type="dxa"/>
            <w:tcMar>
              <w:top w:w="70" w:type="dxa"/>
              <w:left w:w="100" w:type="dxa"/>
              <w:bottom w:w="70" w:type="dxa"/>
              <w:right w:w="100" w:type="dxa"/>
            </w:tcMar>
            <w:vAlign w:val="center"/>
          </w:tcPr>
          <w:p w14:paraId="4C0D80E1" w14:textId="77777777" w:rsidR="002D25EA" w:rsidRDefault="002D25EA" w:rsidP="00D9409F">
            <w:r>
              <w:rPr>
                <w:sz w:val="18"/>
                <w:szCs w:val="18"/>
              </w:rPr>
              <w:t>Entra ID conditional access on the calling service</w:t>
            </w:r>
          </w:p>
        </w:tc>
      </w:tr>
      <w:tr w:rsidR="002D25EA" w14:paraId="49E00CE2" w14:textId="77777777" w:rsidTr="00D9409F">
        <w:tc>
          <w:tcPr>
            <w:tcW w:w="3100" w:type="dxa"/>
            <w:tcMar>
              <w:top w:w="70" w:type="dxa"/>
              <w:left w:w="100" w:type="dxa"/>
              <w:bottom w:w="70" w:type="dxa"/>
              <w:right w:w="100" w:type="dxa"/>
            </w:tcMar>
            <w:vAlign w:val="center"/>
          </w:tcPr>
          <w:p w14:paraId="15846BB9" w14:textId="77777777" w:rsidR="002D25EA" w:rsidRDefault="002D25EA" w:rsidP="00D9409F">
            <w:r>
              <w:rPr>
                <w:sz w:val="18"/>
                <w:szCs w:val="18"/>
              </w:rPr>
              <w:t>Inbound webhook from a vendor</w:t>
            </w:r>
          </w:p>
        </w:tc>
        <w:tc>
          <w:tcPr>
            <w:tcW w:w="3100" w:type="dxa"/>
            <w:tcMar>
              <w:top w:w="70" w:type="dxa"/>
              <w:left w:w="100" w:type="dxa"/>
              <w:bottom w:w="70" w:type="dxa"/>
              <w:right w:w="100" w:type="dxa"/>
            </w:tcMar>
            <w:vAlign w:val="center"/>
          </w:tcPr>
          <w:p w14:paraId="1425446B" w14:textId="77777777" w:rsidR="002D25EA" w:rsidRDefault="002D25EA" w:rsidP="00D9409F">
            <w:r>
              <w:rPr>
                <w:sz w:val="18"/>
                <w:szCs w:val="18"/>
              </w:rPr>
              <w:t>Shared secret header, checked against Key Vault</w:t>
            </w:r>
          </w:p>
        </w:tc>
        <w:tc>
          <w:tcPr>
            <w:tcW w:w="3100" w:type="dxa"/>
            <w:tcMar>
              <w:top w:w="70" w:type="dxa"/>
              <w:left w:w="100" w:type="dxa"/>
              <w:bottom w:w="70" w:type="dxa"/>
              <w:right w:w="100" w:type="dxa"/>
            </w:tcMar>
            <w:vAlign w:val="center"/>
          </w:tcPr>
          <w:p w14:paraId="74BE76CA" w14:textId="77777777" w:rsidR="002D25EA" w:rsidRDefault="002D25EA" w:rsidP="00D9409F">
            <w:r>
              <w:rPr>
                <w:sz w:val="18"/>
                <w:szCs w:val="18"/>
              </w:rPr>
              <w:t>IP allow-list restricting the source range</w:t>
            </w:r>
          </w:p>
        </w:tc>
      </w:tr>
    </w:tbl>
    <w:p w14:paraId="335B0A5A" w14:textId="77777777" w:rsidR="002D25EA" w:rsidRDefault="002D25EA" w:rsidP="002D25EA">
      <w:pPr>
        <w:spacing w:after="140"/>
      </w:pPr>
    </w:p>
    <w:p w14:paraId="46A8E6C7" w14:textId="77777777" w:rsidR="002D25EA" w:rsidRPr="00007E30" w:rsidRDefault="002D25EA" w:rsidP="00007E30">
      <w:pPr>
        <w:rPr>
          <w:b/>
          <w:bCs/>
        </w:rPr>
      </w:pPr>
      <w:r>
        <w:rPr>
          <w:b/>
          <w:bCs/>
        </w:rPr>
        <w:t>OAuth 2.0 flow at the gateway</w:t>
      </w:r>
    </w:p>
    <w:p w14:paraId="58AA3017" w14:textId="77777777" w:rsidR="002D25EA" w:rsidRDefault="002D25EA" w:rsidP="002D25EA">
      <w:pPr>
        <w:spacing w:after="140"/>
      </w:pPr>
      <w:r>
        <w:t>Client credentials and authorization code flows are both enforced at the gateway using tokens issued by Entra ID. The backend never sees or validates a raw credential, only a pre-verified, policy-enforced token.</w:t>
      </w:r>
    </w:p>
    <w:p w14:paraId="1403CD5B" w14:textId="77777777" w:rsidR="002D25EA" w:rsidRDefault="002D25EA" w:rsidP="002D25EA">
      <w:pPr>
        <w:spacing w:before="80" w:after="120"/>
        <w:jc w:val="center"/>
      </w:pPr>
      <w:r>
        <w:rPr>
          <w:noProof/>
        </w:rPr>
        <w:drawing>
          <wp:inline distT="0" distB="0" distL="0" distR="0" wp14:anchorId="62C3CDE8" wp14:editId="0CBF2390">
            <wp:extent cx="5486400" cy="1123950"/>
            <wp:effectExtent l="0" t="0" r="0" b="0"/>
            <wp:docPr id="1709115362" name="Picture 170911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1123950"/>
                    </a:xfrm>
                    <a:prstGeom prst="rect">
                      <a:avLst/>
                    </a:prstGeom>
                  </pic:spPr>
                </pic:pic>
              </a:graphicData>
            </a:graphic>
          </wp:inline>
        </w:drawing>
      </w:r>
    </w:p>
    <w:p w14:paraId="70E9DE38" w14:textId="77777777" w:rsidR="002D25EA" w:rsidRDefault="002D25EA" w:rsidP="002D25EA">
      <w:pPr>
        <w:spacing w:after="180"/>
        <w:jc w:val="center"/>
      </w:pPr>
      <w:r>
        <w:rPr>
          <w:i/>
          <w:iCs/>
          <w:color w:val="666666"/>
          <w:sz w:val="18"/>
          <w:szCs w:val="18"/>
        </w:rPr>
        <w:t>Figure 14: OAuth 2.0 architecture</w:t>
      </w:r>
    </w:p>
    <w:p w14:paraId="56FEF318" w14:textId="77777777" w:rsidR="002D25EA" w:rsidRPr="00614651" w:rsidRDefault="002D25EA" w:rsidP="00614651">
      <w:pPr>
        <w:rPr>
          <w:b/>
          <w:bCs/>
        </w:rPr>
      </w:pPr>
      <w:r>
        <w:rPr>
          <w:b/>
          <w:bCs/>
        </w:rPr>
        <w:t>JWT validation at the gateway</w:t>
      </w:r>
    </w:p>
    <w:p w14:paraId="0DC0B72A" w14:textId="77777777" w:rsidR="002D25EA" w:rsidRDefault="002D25EA" w:rsidP="002D25EA">
      <w:pPr>
        <w:spacing w:after="140"/>
      </w:pPr>
      <w:r>
        <w:t>Every request is checked against four things before it is allowed through: signature, issuer and audience, expiry, and required claims or scopes. A failure on any of them is rejected with a 401 at the gateway; it never reaches the backend.</w:t>
      </w:r>
    </w:p>
    <w:p w14:paraId="353F78C3" w14:textId="77777777" w:rsidR="002D25EA" w:rsidRDefault="002D25EA" w:rsidP="002D25EA">
      <w:pPr>
        <w:spacing w:before="80" w:after="120"/>
        <w:jc w:val="center"/>
      </w:pPr>
      <w:r>
        <w:rPr>
          <w:noProof/>
        </w:rPr>
        <w:lastRenderedPageBreak/>
        <w:drawing>
          <wp:inline distT="0" distB="0" distL="0" distR="0" wp14:anchorId="1BC3FC78" wp14:editId="48B94110">
            <wp:extent cx="5486400" cy="2314575"/>
            <wp:effectExtent l="0" t="0" r="0" b="0"/>
            <wp:docPr id="1788627407" name="Picture 178862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314575"/>
                    </a:xfrm>
                    <a:prstGeom prst="rect">
                      <a:avLst/>
                    </a:prstGeom>
                  </pic:spPr>
                </pic:pic>
              </a:graphicData>
            </a:graphic>
          </wp:inline>
        </w:drawing>
      </w:r>
    </w:p>
    <w:p w14:paraId="5F0894A6" w14:textId="77777777" w:rsidR="002D25EA" w:rsidRDefault="002D25EA" w:rsidP="002D25EA">
      <w:pPr>
        <w:spacing w:after="180"/>
        <w:jc w:val="center"/>
      </w:pPr>
      <w:r>
        <w:rPr>
          <w:i/>
          <w:iCs/>
          <w:color w:val="666666"/>
          <w:sz w:val="18"/>
          <w:szCs w:val="18"/>
        </w:rPr>
        <w:t>Figure 15: JWT validation architecture</w:t>
      </w:r>
    </w:p>
    <w:p w14:paraId="673B8CE7" w14:textId="77777777" w:rsidR="002D25EA" w:rsidRPr="00614651" w:rsidRDefault="002D25EA" w:rsidP="00614651">
      <w:pPr>
        <w:rPr>
          <w:b/>
          <w:bCs/>
        </w:rPr>
      </w:pPr>
      <w:r>
        <w:rPr>
          <w:b/>
          <w:bCs/>
        </w:rPr>
        <w:t>Entra ID as the single identity provider</w:t>
      </w:r>
    </w:p>
    <w:p w14:paraId="729969A2" w14:textId="77777777" w:rsidR="002D25EA" w:rsidRDefault="002D25EA" w:rsidP="002D25EA">
      <w:pPr>
        <w:spacing w:after="140"/>
      </w:pPr>
      <w:r>
        <w:t>The same identity provider covers both API consumers and platform administrators, so there is one place, not two, where identity is managed.</w:t>
      </w:r>
    </w:p>
    <w:p w14:paraId="02766564" w14:textId="77777777" w:rsidR="002D25EA" w:rsidRDefault="002D25EA" w:rsidP="002D25EA">
      <w:pPr>
        <w:spacing w:before="80" w:after="120"/>
        <w:jc w:val="center"/>
      </w:pPr>
      <w:r>
        <w:rPr>
          <w:noProof/>
        </w:rPr>
        <w:drawing>
          <wp:inline distT="0" distB="0" distL="0" distR="0" wp14:anchorId="0601E8DE" wp14:editId="124F4F43">
            <wp:extent cx="5486400" cy="1628775"/>
            <wp:effectExtent l="0" t="0" r="0" b="0"/>
            <wp:docPr id="2110402445" name="Picture 211040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1628775"/>
                    </a:xfrm>
                    <a:prstGeom prst="rect">
                      <a:avLst/>
                    </a:prstGeom>
                  </pic:spPr>
                </pic:pic>
              </a:graphicData>
            </a:graphic>
          </wp:inline>
        </w:drawing>
      </w:r>
    </w:p>
    <w:p w14:paraId="131C526C" w14:textId="77777777" w:rsidR="002D25EA" w:rsidRDefault="002D25EA" w:rsidP="002D25EA">
      <w:pPr>
        <w:spacing w:after="180"/>
        <w:jc w:val="center"/>
      </w:pPr>
      <w:r>
        <w:rPr>
          <w:i/>
          <w:iCs/>
          <w:color w:val="666666"/>
          <w:sz w:val="18"/>
          <w:szCs w:val="18"/>
        </w:rPr>
        <w:t>Figure 16: APIM and Entra ID integration</w:t>
      </w:r>
    </w:p>
    <w:p w14:paraId="4092A957" w14:textId="77777777" w:rsidR="002D25EA" w:rsidRPr="00614651" w:rsidRDefault="002D25EA" w:rsidP="00614651">
      <w:pPr>
        <w:rPr>
          <w:b/>
          <w:bCs/>
        </w:rPr>
      </w:pPr>
      <w:r>
        <w:rPr>
          <w:b/>
          <w:bCs/>
        </w:rPr>
        <w:t>Secrets and certificate management</w:t>
      </w:r>
    </w:p>
    <w:p w14:paraId="5577509C" w14:textId="77777777" w:rsidR="002D25EA" w:rsidRDefault="002D25EA" w:rsidP="002D25EA">
      <w:pPr>
        <w:spacing w:after="140"/>
      </w:pPr>
      <w:r>
        <w:t>Azure Key Vault is the single source of truth for every secret, certificate, and key APIM depends on. Certificates rotate automatically; nothing sensitive is ever written into a policy file.</w:t>
      </w:r>
    </w:p>
    <w:p w14:paraId="5D5C60FD" w14:textId="77777777" w:rsidR="002D25EA" w:rsidRDefault="002D25EA" w:rsidP="002D25EA">
      <w:pPr>
        <w:spacing w:before="80" w:after="120"/>
        <w:jc w:val="center"/>
      </w:pPr>
      <w:r>
        <w:rPr>
          <w:noProof/>
        </w:rPr>
        <w:drawing>
          <wp:inline distT="0" distB="0" distL="0" distR="0" wp14:anchorId="07A0832D" wp14:editId="33D513EA">
            <wp:extent cx="5486400" cy="1628775"/>
            <wp:effectExtent l="0" t="0" r="0" b="0"/>
            <wp:docPr id="592143897" name="Picture 59214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1628775"/>
                    </a:xfrm>
                    <a:prstGeom prst="rect">
                      <a:avLst/>
                    </a:prstGeom>
                  </pic:spPr>
                </pic:pic>
              </a:graphicData>
            </a:graphic>
          </wp:inline>
        </w:drawing>
      </w:r>
    </w:p>
    <w:p w14:paraId="3C01AE77" w14:textId="77777777" w:rsidR="002D25EA" w:rsidRDefault="002D25EA" w:rsidP="002D25EA">
      <w:pPr>
        <w:spacing w:after="180"/>
        <w:jc w:val="center"/>
      </w:pPr>
      <w:r>
        <w:rPr>
          <w:i/>
          <w:iCs/>
          <w:color w:val="666666"/>
          <w:sz w:val="18"/>
          <w:szCs w:val="18"/>
        </w:rPr>
        <w:t>Figure 17: Secrets and certificates management</w:t>
      </w:r>
    </w:p>
    <w:p w14:paraId="278EDBEE" w14:textId="77777777" w:rsidR="002D25EA" w:rsidRPr="00614651" w:rsidRDefault="002D25EA" w:rsidP="00614651">
      <w:pPr>
        <w:rPr>
          <w:b/>
          <w:bCs/>
        </w:rPr>
      </w:pPr>
      <w:r>
        <w:rPr>
          <w:b/>
          <w:bCs/>
        </w:rPr>
        <w:t>Which control owns what</w:t>
      </w:r>
    </w:p>
    <w:p w14:paraId="2E9804FD" w14:textId="77777777" w:rsidR="002D25EA" w:rsidRDefault="002D25EA" w:rsidP="002D25EA">
      <w:pPr>
        <w:spacing w:after="140"/>
      </w:pPr>
      <w:r>
        <w:t>These controls are layered deliberately, and they are not interchangeable. Each owns a distinct job, and the security of the whole depends on each doing its own rather than being treated as a substitute for another. The table makes the boundaries explicit so no control is assumed to cover a gap it does not.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1CC0ED61" w14:textId="77777777" w:rsidTr="00D9409F">
        <w:trPr>
          <w:tblHeader/>
        </w:trPr>
        <w:tc>
          <w:tcPr>
            <w:tcW w:w="4650" w:type="dxa"/>
            <w:shd w:val="clear" w:color="auto" w:fill="1E2761"/>
            <w:tcMar>
              <w:top w:w="70" w:type="dxa"/>
              <w:left w:w="100" w:type="dxa"/>
              <w:bottom w:w="70" w:type="dxa"/>
              <w:right w:w="100" w:type="dxa"/>
            </w:tcMar>
            <w:vAlign w:val="center"/>
          </w:tcPr>
          <w:p w14:paraId="19043B59" w14:textId="77777777" w:rsidR="002D25EA" w:rsidRDefault="002D25EA" w:rsidP="00D9409F">
            <w:r>
              <w:rPr>
                <w:b/>
                <w:bCs/>
                <w:color w:val="FFFFFF"/>
                <w:sz w:val="18"/>
                <w:szCs w:val="18"/>
              </w:rPr>
              <w:lastRenderedPageBreak/>
              <w:t>Control</w:t>
            </w:r>
          </w:p>
        </w:tc>
        <w:tc>
          <w:tcPr>
            <w:tcW w:w="4650" w:type="dxa"/>
            <w:shd w:val="clear" w:color="auto" w:fill="1E2761"/>
            <w:tcMar>
              <w:top w:w="70" w:type="dxa"/>
              <w:left w:w="100" w:type="dxa"/>
              <w:bottom w:w="70" w:type="dxa"/>
              <w:right w:w="100" w:type="dxa"/>
            </w:tcMar>
            <w:vAlign w:val="center"/>
          </w:tcPr>
          <w:p w14:paraId="52658C37" w14:textId="77777777" w:rsidR="002D25EA" w:rsidRDefault="002D25EA" w:rsidP="00D9409F">
            <w:r>
              <w:rPr>
                <w:b/>
                <w:bCs/>
                <w:color w:val="FFFFFF"/>
                <w:sz w:val="18"/>
                <w:szCs w:val="18"/>
              </w:rPr>
              <w:t>Primary responsibility</w:t>
            </w:r>
          </w:p>
        </w:tc>
      </w:tr>
      <w:tr w:rsidR="002D25EA" w14:paraId="56E11D43" w14:textId="77777777" w:rsidTr="00D9409F">
        <w:tc>
          <w:tcPr>
            <w:tcW w:w="4650" w:type="dxa"/>
            <w:tcMar>
              <w:top w:w="70" w:type="dxa"/>
              <w:left w:w="100" w:type="dxa"/>
              <w:bottom w:w="70" w:type="dxa"/>
              <w:right w:w="100" w:type="dxa"/>
            </w:tcMar>
            <w:vAlign w:val="center"/>
          </w:tcPr>
          <w:p w14:paraId="305F5C16" w14:textId="77777777" w:rsidR="002D25EA" w:rsidRDefault="002D25EA" w:rsidP="00D9409F">
            <w:r>
              <w:rPr>
                <w:sz w:val="18"/>
                <w:szCs w:val="18"/>
              </w:rPr>
              <w:t>Microsoft Entra ID</w:t>
            </w:r>
          </w:p>
        </w:tc>
        <w:tc>
          <w:tcPr>
            <w:tcW w:w="4650" w:type="dxa"/>
            <w:tcMar>
              <w:top w:w="70" w:type="dxa"/>
              <w:left w:w="100" w:type="dxa"/>
              <w:bottom w:w="70" w:type="dxa"/>
              <w:right w:w="100" w:type="dxa"/>
            </w:tcMar>
            <w:vAlign w:val="center"/>
          </w:tcPr>
          <w:p w14:paraId="555C7429" w14:textId="77777777" w:rsidR="002D25EA" w:rsidRDefault="002D25EA" w:rsidP="00D9409F">
            <w:r>
              <w:rPr>
                <w:sz w:val="18"/>
                <w:szCs w:val="18"/>
              </w:rPr>
              <w:t>Identity and authentication</w:t>
            </w:r>
          </w:p>
        </w:tc>
      </w:tr>
      <w:tr w:rsidR="002D25EA" w14:paraId="6BE6EA78" w14:textId="77777777" w:rsidTr="00D9409F">
        <w:tc>
          <w:tcPr>
            <w:tcW w:w="4650" w:type="dxa"/>
            <w:tcMar>
              <w:top w:w="70" w:type="dxa"/>
              <w:left w:w="100" w:type="dxa"/>
              <w:bottom w:w="70" w:type="dxa"/>
              <w:right w:w="100" w:type="dxa"/>
            </w:tcMar>
            <w:vAlign w:val="center"/>
          </w:tcPr>
          <w:p w14:paraId="152C816A" w14:textId="77777777" w:rsidR="002D25EA" w:rsidRDefault="002D25EA" w:rsidP="00D9409F">
            <w:r>
              <w:rPr>
                <w:sz w:val="18"/>
                <w:szCs w:val="18"/>
              </w:rPr>
              <w:t>OAuth 2.0 / JWT</w:t>
            </w:r>
          </w:p>
        </w:tc>
        <w:tc>
          <w:tcPr>
            <w:tcW w:w="4650" w:type="dxa"/>
            <w:tcMar>
              <w:top w:w="70" w:type="dxa"/>
              <w:left w:w="100" w:type="dxa"/>
              <w:bottom w:w="70" w:type="dxa"/>
              <w:right w:w="100" w:type="dxa"/>
            </w:tcMar>
            <w:vAlign w:val="center"/>
          </w:tcPr>
          <w:p w14:paraId="676D6C76" w14:textId="77777777" w:rsidR="002D25EA" w:rsidRDefault="002D25EA" w:rsidP="00D9409F">
            <w:r>
              <w:rPr>
                <w:sz w:val="18"/>
                <w:szCs w:val="18"/>
              </w:rPr>
              <w:t>Authorisation context per request</w:t>
            </w:r>
          </w:p>
        </w:tc>
      </w:tr>
      <w:tr w:rsidR="002D25EA" w14:paraId="56CF2112" w14:textId="77777777" w:rsidTr="00D9409F">
        <w:tc>
          <w:tcPr>
            <w:tcW w:w="4650" w:type="dxa"/>
            <w:tcMar>
              <w:top w:w="70" w:type="dxa"/>
              <w:left w:w="100" w:type="dxa"/>
              <w:bottom w:w="70" w:type="dxa"/>
              <w:right w:w="100" w:type="dxa"/>
            </w:tcMar>
            <w:vAlign w:val="center"/>
          </w:tcPr>
          <w:p w14:paraId="14BDE440" w14:textId="77777777" w:rsidR="002D25EA" w:rsidRDefault="002D25EA" w:rsidP="00D9409F">
            <w:r>
              <w:rPr>
                <w:sz w:val="18"/>
                <w:szCs w:val="18"/>
              </w:rPr>
              <w:t>APIM</w:t>
            </w:r>
          </w:p>
        </w:tc>
        <w:tc>
          <w:tcPr>
            <w:tcW w:w="4650" w:type="dxa"/>
            <w:tcMar>
              <w:top w:w="70" w:type="dxa"/>
              <w:left w:w="100" w:type="dxa"/>
              <w:bottom w:w="70" w:type="dxa"/>
              <w:right w:w="100" w:type="dxa"/>
            </w:tcMar>
            <w:vAlign w:val="center"/>
          </w:tcPr>
          <w:p w14:paraId="53EA1908" w14:textId="77777777" w:rsidR="002D25EA" w:rsidRDefault="002D25EA" w:rsidP="00D9409F">
            <w:r>
              <w:rPr>
                <w:sz w:val="18"/>
                <w:szCs w:val="18"/>
              </w:rPr>
              <w:t>API gateway and policy enforcement</w:t>
            </w:r>
          </w:p>
        </w:tc>
      </w:tr>
      <w:tr w:rsidR="002D25EA" w14:paraId="01544A83" w14:textId="77777777" w:rsidTr="00D9409F">
        <w:tc>
          <w:tcPr>
            <w:tcW w:w="4650" w:type="dxa"/>
            <w:tcMar>
              <w:top w:w="70" w:type="dxa"/>
              <w:left w:w="100" w:type="dxa"/>
              <w:bottom w:w="70" w:type="dxa"/>
              <w:right w:w="100" w:type="dxa"/>
            </w:tcMar>
            <w:vAlign w:val="center"/>
          </w:tcPr>
          <w:p w14:paraId="63348F38" w14:textId="77777777" w:rsidR="002D25EA" w:rsidRDefault="002D25EA" w:rsidP="00D9409F">
            <w:r>
              <w:rPr>
                <w:sz w:val="18"/>
                <w:szCs w:val="18"/>
              </w:rPr>
              <w:t>WAF (Front Door / App Gateway)</w:t>
            </w:r>
          </w:p>
        </w:tc>
        <w:tc>
          <w:tcPr>
            <w:tcW w:w="4650" w:type="dxa"/>
            <w:tcMar>
              <w:top w:w="70" w:type="dxa"/>
              <w:left w:w="100" w:type="dxa"/>
              <w:bottom w:w="70" w:type="dxa"/>
              <w:right w:w="100" w:type="dxa"/>
            </w:tcMar>
            <w:vAlign w:val="center"/>
          </w:tcPr>
          <w:p w14:paraId="726755D2" w14:textId="77777777" w:rsidR="002D25EA" w:rsidRDefault="002D25EA" w:rsidP="00D9409F">
            <w:r>
              <w:rPr>
                <w:sz w:val="18"/>
                <w:szCs w:val="18"/>
              </w:rPr>
              <w:t>HTTP and API-layer attack protection</w:t>
            </w:r>
          </w:p>
        </w:tc>
      </w:tr>
      <w:tr w:rsidR="002D25EA" w14:paraId="483F37E6" w14:textId="77777777" w:rsidTr="00D9409F">
        <w:tc>
          <w:tcPr>
            <w:tcW w:w="4650" w:type="dxa"/>
            <w:tcMar>
              <w:top w:w="70" w:type="dxa"/>
              <w:left w:w="100" w:type="dxa"/>
              <w:bottom w:w="70" w:type="dxa"/>
              <w:right w:w="100" w:type="dxa"/>
            </w:tcMar>
            <w:vAlign w:val="center"/>
          </w:tcPr>
          <w:p w14:paraId="19BB2263" w14:textId="77777777" w:rsidR="002D25EA" w:rsidRDefault="002D25EA" w:rsidP="00D9409F">
            <w:r>
              <w:rPr>
                <w:sz w:val="18"/>
                <w:szCs w:val="18"/>
              </w:rPr>
              <w:t>Azure DDoS Protection</w:t>
            </w:r>
          </w:p>
        </w:tc>
        <w:tc>
          <w:tcPr>
            <w:tcW w:w="4650" w:type="dxa"/>
            <w:tcMar>
              <w:top w:w="70" w:type="dxa"/>
              <w:left w:w="100" w:type="dxa"/>
              <w:bottom w:w="70" w:type="dxa"/>
              <w:right w:w="100" w:type="dxa"/>
            </w:tcMar>
            <w:vAlign w:val="center"/>
          </w:tcPr>
          <w:p w14:paraId="3B22FC8B" w14:textId="77777777" w:rsidR="002D25EA" w:rsidRDefault="002D25EA" w:rsidP="00D9409F">
            <w:r>
              <w:rPr>
                <w:sz w:val="18"/>
                <w:szCs w:val="18"/>
              </w:rPr>
              <w:t>Volumetric and network DDoS</w:t>
            </w:r>
          </w:p>
        </w:tc>
      </w:tr>
      <w:tr w:rsidR="002D25EA" w14:paraId="4DD195A2" w14:textId="77777777" w:rsidTr="00D9409F">
        <w:tc>
          <w:tcPr>
            <w:tcW w:w="4650" w:type="dxa"/>
            <w:tcMar>
              <w:top w:w="70" w:type="dxa"/>
              <w:left w:w="100" w:type="dxa"/>
              <w:bottom w:w="70" w:type="dxa"/>
              <w:right w:w="100" w:type="dxa"/>
            </w:tcMar>
            <w:vAlign w:val="center"/>
          </w:tcPr>
          <w:p w14:paraId="3C505B28" w14:textId="77777777" w:rsidR="002D25EA" w:rsidRDefault="002D25EA" w:rsidP="00D9409F">
            <w:r>
              <w:rPr>
                <w:sz w:val="18"/>
                <w:szCs w:val="18"/>
              </w:rPr>
              <w:t>Azure Firewall / NVA</w:t>
            </w:r>
          </w:p>
        </w:tc>
        <w:tc>
          <w:tcPr>
            <w:tcW w:w="4650" w:type="dxa"/>
            <w:tcMar>
              <w:top w:w="70" w:type="dxa"/>
              <w:left w:w="100" w:type="dxa"/>
              <w:bottom w:w="70" w:type="dxa"/>
              <w:right w:w="100" w:type="dxa"/>
            </w:tcMar>
            <w:vAlign w:val="center"/>
          </w:tcPr>
          <w:p w14:paraId="71C5D6E2" w14:textId="77777777" w:rsidR="002D25EA" w:rsidRDefault="002D25EA" w:rsidP="00D9409F">
            <w:r>
              <w:rPr>
                <w:sz w:val="18"/>
                <w:szCs w:val="18"/>
              </w:rPr>
              <w:t>Network segmentation and egress control</w:t>
            </w:r>
          </w:p>
        </w:tc>
      </w:tr>
      <w:tr w:rsidR="002D25EA" w14:paraId="50B12B02" w14:textId="77777777" w:rsidTr="00D9409F">
        <w:tc>
          <w:tcPr>
            <w:tcW w:w="4650" w:type="dxa"/>
            <w:tcMar>
              <w:top w:w="70" w:type="dxa"/>
              <w:left w:w="100" w:type="dxa"/>
              <w:bottom w:w="70" w:type="dxa"/>
              <w:right w:w="100" w:type="dxa"/>
            </w:tcMar>
            <w:vAlign w:val="center"/>
          </w:tcPr>
          <w:p w14:paraId="7C6659AA" w14:textId="77777777" w:rsidR="002D25EA" w:rsidRDefault="002D25EA" w:rsidP="00D9409F">
            <w:r>
              <w:rPr>
                <w:sz w:val="18"/>
                <w:szCs w:val="18"/>
              </w:rPr>
              <w:t>Private Endpoint</w:t>
            </w:r>
          </w:p>
        </w:tc>
        <w:tc>
          <w:tcPr>
            <w:tcW w:w="4650" w:type="dxa"/>
            <w:tcMar>
              <w:top w:w="70" w:type="dxa"/>
              <w:left w:w="100" w:type="dxa"/>
              <w:bottom w:w="70" w:type="dxa"/>
              <w:right w:w="100" w:type="dxa"/>
            </w:tcMar>
            <w:vAlign w:val="center"/>
          </w:tcPr>
          <w:p w14:paraId="7D8ACB96" w14:textId="77777777" w:rsidR="002D25EA" w:rsidRDefault="002D25EA" w:rsidP="00D9409F">
            <w:r>
              <w:rPr>
                <w:sz w:val="18"/>
                <w:szCs w:val="18"/>
              </w:rPr>
              <w:t>Private connectivity to backends</w:t>
            </w:r>
          </w:p>
        </w:tc>
      </w:tr>
      <w:tr w:rsidR="002D25EA" w14:paraId="2C456E3A" w14:textId="77777777" w:rsidTr="00D9409F">
        <w:tc>
          <w:tcPr>
            <w:tcW w:w="4650" w:type="dxa"/>
            <w:tcMar>
              <w:top w:w="70" w:type="dxa"/>
              <w:left w:w="100" w:type="dxa"/>
              <w:bottom w:w="70" w:type="dxa"/>
              <w:right w:w="100" w:type="dxa"/>
            </w:tcMar>
            <w:vAlign w:val="center"/>
          </w:tcPr>
          <w:p w14:paraId="37CBCCC2" w14:textId="77777777" w:rsidR="002D25EA" w:rsidRDefault="002D25EA" w:rsidP="00D9409F">
            <w:r>
              <w:rPr>
                <w:sz w:val="18"/>
                <w:szCs w:val="18"/>
              </w:rPr>
              <w:t>the Organization’s SIEM</w:t>
            </w:r>
          </w:p>
        </w:tc>
        <w:tc>
          <w:tcPr>
            <w:tcW w:w="4650" w:type="dxa"/>
            <w:tcMar>
              <w:top w:w="70" w:type="dxa"/>
              <w:left w:w="100" w:type="dxa"/>
              <w:bottom w:w="70" w:type="dxa"/>
              <w:right w:w="100" w:type="dxa"/>
            </w:tcMar>
            <w:vAlign w:val="center"/>
          </w:tcPr>
          <w:p w14:paraId="207B10EF" w14:textId="77777777" w:rsidR="002D25EA" w:rsidRDefault="002D25EA" w:rsidP="00D9409F">
            <w:r>
              <w:rPr>
                <w:sz w:val="18"/>
                <w:szCs w:val="18"/>
              </w:rPr>
              <w:t>Detection and investigation</w:t>
            </w:r>
          </w:p>
        </w:tc>
      </w:tr>
      <w:tr w:rsidR="002D25EA" w14:paraId="69FF6F55" w14:textId="77777777" w:rsidTr="00D9409F">
        <w:tc>
          <w:tcPr>
            <w:tcW w:w="4650" w:type="dxa"/>
            <w:tcMar>
              <w:top w:w="70" w:type="dxa"/>
              <w:left w:w="100" w:type="dxa"/>
              <w:bottom w:w="70" w:type="dxa"/>
              <w:right w:w="100" w:type="dxa"/>
            </w:tcMar>
            <w:vAlign w:val="center"/>
          </w:tcPr>
          <w:p w14:paraId="7EA272E5" w14:textId="77777777" w:rsidR="002D25EA" w:rsidRDefault="002D25EA" w:rsidP="00D9409F">
            <w:r>
              <w:rPr>
                <w:sz w:val="18"/>
                <w:szCs w:val="18"/>
              </w:rPr>
              <w:t>APIM policies</w:t>
            </w:r>
          </w:p>
        </w:tc>
        <w:tc>
          <w:tcPr>
            <w:tcW w:w="4650" w:type="dxa"/>
            <w:tcMar>
              <w:top w:w="70" w:type="dxa"/>
              <w:left w:w="100" w:type="dxa"/>
              <w:bottom w:w="70" w:type="dxa"/>
              <w:right w:w="100" w:type="dxa"/>
            </w:tcMar>
            <w:vAlign w:val="center"/>
          </w:tcPr>
          <w:p w14:paraId="391EB480" w14:textId="77777777" w:rsidR="002D25EA" w:rsidRDefault="002D25EA" w:rsidP="00D9409F">
            <w:r>
              <w:rPr>
                <w:sz w:val="18"/>
                <w:szCs w:val="18"/>
              </w:rPr>
              <w:t>Rate limits, quotas, validation, transformation</w:t>
            </w:r>
          </w:p>
        </w:tc>
      </w:tr>
    </w:tbl>
    <w:p w14:paraId="075F121C" w14:textId="77777777" w:rsidR="002D25EA" w:rsidRDefault="002D25EA" w:rsidP="002D25EA">
      <w:pPr>
        <w:spacing w:after="140"/>
      </w:pPr>
    </w:p>
    <w:p w14:paraId="654663CF" w14:textId="77777777" w:rsidR="002D25EA" w:rsidRPr="00614651" w:rsidRDefault="002D25EA" w:rsidP="00614651">
      <w:pPr>
        <w:rPr>
          <w:b/>
          <w:bCs/>
        </w:rPr>
      </w:pPr>
      <w:r>
        <w:rPr>
          <w:b/>
          <w:bCs/>
        </w:rPr>
        <w:t>Partner and external identity</w:t>
      </w:r>
    </w:p>
    <w:p w14:paraId="586FD969" w14:textId="77777777" w:rsidR="002D25EA" w:rsidRDefault="002D25EA" w:rsidP="002D25EA">
      <w:pPr>
        <w:spacing w:after="140"/>
      </w:pPr>
      <w:r>
        <w:t>"External" is not one thing, and the identity model reflects that: the Organization’s external consumers span brokers, Lloyd's ecosystem participants, strategic partners, suppliers and third-party service providers, and no single pattern fits all of them.</w:t>
      </w:r>
    </w:p>
    <w:p>
      <w:pPr>
        <w:spacing w:after="140"/>
      </w:pPr>
      <w:r>
        <w:t xml:space="preserve">The default and the exception path:</w:t>
      </w:r>
    </w:p>
    <w:p>
      <w:pPr>
        <w:pStyle w:val="ListParagraph"/>
        <w:numPr>
          <w:ilvl w:val="0"/>
          <w:numId w:val="2"/>
        </w:numPr>
        <w:spacing w:after="70"/>
      </w:pPr>
      <w:r>
        <w:rPr>
          <w:rFonts w:ascii="Noe Text" w:cs="Noe Text" w:eastAsia="Noe Text" w:hAnsi="Noe Text"/>
          <w:color w:val="333333"/>
          <w:sz w:val="21"/>
          <w:szCs w:val="21"/>
        </w:rPr>
        <w:t xml:space="preserve">Default: partner organisations are represented as Microsoft Entra External ID (B2B) identities where they can support it, with a per-partner app registration and subscription so access is granted and revoked per organisation.</w:t>
      </w:r>
    </w:p>
    <w:p>
      <w:pPr>
        <w:pStyle w:val="ListParagraph"/>
        <w:numPr>
          <w:ilvl w:val="0"/>
          <w:numId w:val="2"/>
        </w:numPr>
        <w:spacing w:after="70"/>
      </w:pPr>
      <w:r>
        <w:rPr>
          <w:rFonts w:ascii="Noe Text" w:cs="Noe Text" w:eastAsia="Noe Text" w:hAnsi="Noe Text"/>
          <w:color w:val="333333"/>
          <w:sz w:val="21"/>
          <w:szCs w:val="21"/>
        </w:rPr>
        <w:t xml:space="preserve">Exception: where a partner cannot use Entra, a brokered or federated identity, or certificate-based (mTLS) trust, is handled as an approved exception (see the exception process above).</w:t>
      </w:r>
    </w:p>
    <w:p>
      <w:pPr>
        <w:pStyle w:val="ListParagraph"/>
        <w:numPr>
          <w:ilvl w:val="0"/>
          <w:numId w:val="2"/>
        </w:numPr>
        <w:spacing w:after="70"/>
      </w:pPr>
      <w:r>
        <w:rPr>
          <w:rFonts w:ascii="Noe Text" w:cs="Noe Text" w:eastAsia="Noe Text" w:hAnsi="Noe Text"/>
          <w:color w:val="333333"/>
          <w:sz w:val="21"/>
          <w:szCs w:val="21"/>
        </w:rPr>
        <w:t xml:space="preserve">Open questions for the Organization’s identity team, not presumed by this design: who owns partner onboarding, who registers partner applications, and who rotates and revokes partner credentials. Recorded in the assumptions register (A.04 and the identity items).</w:t>
      </w:r>
    </w:p>
    <w:p w14:paraId="55F4697C" w14:textId="77777777" w:rsidR="002D25EA" w:rsidRPr="00614651" w:rsidRDefault="002D25EA" w:rsidP="00614651">
      <w:pPr>
        <w:rPr>
          <w:b/>
          <w:bCs/>
        </w:rPr>
      </w:pPr>
      <w:r>
        <w:rPr>
          <w:b/>
          <w:bCs/>
        </w:rPr>
        <w:t>Identity resilience and break-glass</w:t>
      </w:r>
    </w:p>
    <w:p w14:paraId="1C7F99CF" w14:textId="77777777" w:rsidR="002D25EA" w:rsidRDefault="002D25EA" w:rsidP="002D25EA">
      <w:pPr>
        <w:spacing w:after="140"/>
      </w:pPr>
      <w:r>
        <w:t>Because the design leans heavily on Entra ID, it must also say what happens when Entra ID, or normal administrative access, is unavailable. This is a deliberate operational design point, not an afterthought. In practice this means four things, each needing the Organization’s identity and security teams to confirm the specifics:</w:t>
      </w:r>
    </w:p>
    <w:p>
      <w:pPr>
        <w:pStyle w:val="ListParagraph"/>
        <w:numPr>
          <w:ilvl w:val="0"/>
          <w:numId w:val="2"/>
        </w:numPr>
        <w:spacing w:after="70"/>
      </w:pPr>
      <w:r>
        <w:rPr>
          <w:rFonts w:ascii="Noe Text" w:cs="Noe Text" w:eastAsia="Noe Text" w:hAnsi="Noe Text"/>
          <w:color w:val="333333"/>
          <w:sz w:val="21"/>
          <w:szCs w:val="21"/>
        </w:rPr>
        <w:t xml:space="preserve">A documented break-glass process: a small number of emergency-access accounts held outside the normal flow, with their use alarmed and audited, so the platform can still be operated during an identity-provider outage without weakening the everyday model.</w:t>
      </w:r>
    </w:p>
    <w:p>
      <w:pPr>
        <w:pStyle w:val="ListParagraph"/>
        <w:numPr>
          <w:ilvl w:val="0"/>
          <w:numId w:val="2"/>
        </w:numPr>
        <w:spacing w:after="70"/>
      </w:pPr>
      <w:r>
        <w:rPr>
          <w:rFonts w:ascii="Noe Text" w:cs="Noe Text" w:eastAsia="Noe Text" w:hAnsi="Noe Text"/>
          <w:color w:val="333333"/>
          <w:sz w:val="21"/>
          <w:szCs w:val="21"/>
        </w:rPr>
        <w:t xml:space="preserve">Proactive tracking of certificate and secret expiry (the 30-day certificate-expiry alert in section 13 is part of this).</w:t>
      </w:r>
    </w:p>
    <w:p>
      <w:pPr>
        <w:pStyle w:val="ListParagraph"/>
        <w:numPr>
          <w:ilvl w:val="0"/>
          <w:numId w:val="2"/>
        </w:numPr>
        <w:spacing w:after="70"/>
      </w:pPr>
      <w:r>
        <w:rPr>
          <w:rFonts w:ascii="Noe Text" w:cs="Noe Text" w:eastAsia="Noe Text" w:hAnsi="Noe Text"/>
          <w:color w:val="333333"/>
          <w:sz w:val="21"/>
          <w:szCs w:val="21"/>
        </w:rPr>
        <w:t xml:space="preserve">A defined partner-credential revocation process.</w:t>
      </w:r>
    </w:p>
    <w:p>
      <w:pPr>
        <w:pStyle w:val="ListParagraph"/>
        <w:numPr>
          <w:ilvl w:val="0"/>
          <w:numId w:val="2"/>
        </w:numPr>
        <w:spacing w:after="70"/>
      </w:pPr>
      <w:r>
        <w:rPr>
          <w:rFonts w:ascii="Noe Text" w:cs="Noe Text" w:eastAsia="Noe Text" w:hAnsi="Noe Text"/>
          <w:color w:val="333333"/>
          <w:sz w:val="21"/>
          <w:szCs w:val="21"/>
        </w:rPr>
        <w:t xml:space="preserve">Clear ownership of the application-registration lifecycle. The specifics of the Organization’s break-glass standard need confirming with the identity and security teams; the requirement is stated here so it is not missed.</w:t>
      </w:r>
    </w:p>
    <w:p w14:paraId="663C52EB" w14:textId="77777777" w:rsidR="002D25EA" w:rsidRPr="00614651" w:rsidRDefault="002D25EA" w:rsidP="00614651">
      <w:pPr>
        <w:rPr>
          <w:b/>
          <w:bCs/>
        </w:rPr>
      </w:pPr>
      <w:r>
        <w:rPr>
          <w:b/>
          <w:bCs/>
        </w:rPr>
        <w:t>Important policy snippets</w:t>
      </w:r>
    </w:p>
    <w:p w14:paraId="3345EE78" w14:textId="77777777" w:rsidR="002D25EA" w:rsidRDefault="002D25EA" w:rsidP="002D25EA">
      <w:pPr>
        <w:spacing w:after="140"/>
      </w:pPr>
      <w:r>
        <w:t>The standard reusable policy fragments (OAuth/JWT validation, per-subscription rate limit and quota, and managed-identity backend authentication) are held once in Appendix 9.6 and referenced from here rather than repeated. The one fragment kept inline is the non-OAuth exception pattern, because it belongs with the exception process above:</w:t>
      </w:r>
    </w:p>
    <w:p w14:paraId="1CDA370E" w14:textId="77777777" w:rsidR="002D25EA" w:rsidRDefault="002D25EA" w:rsidP="002D25EA">
      <w:pPr>
        <w:spacing w:after="140"/>
      </w:pPr>
    </w:p>
    <w:p w14:paraId="7A7ED62B" w14:textId="77777777" w:rsidR="002D25EA" w:rsidRDefault="002D25EA" w:rsidP="002D25EA">
      <w:pPr>
        <w:spacing w:after="140"/>
      </w:pPr>
    </w:p>
    <w:p w14:paraId="6EEB37C3" w14:textId="77777777" w:rsidR="002D25EA" w:rsidRDefault="002D25EA" w:rsidP="002D25EA">
      <w:pPr>
        <w:spacing w:after="140"/>
      </w:pPr>
    </w:p>
    <w:p w14:paraId="50C735B1" w14:textId="77777777" w:rsidR="002D25EA" w:rsidRDefault="002D25EA" w:rsidP="002D25EA">
      <w:pPr>
        <w:spacing w:after="140"/>
      </w:pPr>
      <w:r>
        <w:t>Restrict an inbound webhook to a known partner IP range and a shared secret. Note that shared-secret and IP-allowlist authentication is an approved exception pattern, not a peer of OAuth: it is used only where a partner genuinely cannot support anything stronger. The preferred order is OAuth 2.0 where supported, then mutual TLS where appropriate, then a signed HMAC webhook signature, and only then a shared secret plus IP restriction. Wherever the shared-secret pattern is used, the design still requires defined secret rotation, revocation, replay protection, monitoring and a named owner.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2D25EA" w14:paraId="58ED81FA" w14:textId="77777777" w:rsidTr="00D9409F">
        <w:trPr>
          <w:tblHeader/>
        </w:trPr>
        <w:tc>
          <w:tcPr>
            <w:tcW w:w="9300" w:type="dxa"/>
            <w:shd w:val="clear" w:color="auto" w:fill="1E2761"/>
            <w:tcMar>
              <w:top w:w="70" w:type="dxa"/>
              <w:left w:w="100" w:type="dxa"/>
              <w:bottom w:w="70" w:type="dxa"/>
              <w:right w:w="100" w:type="dxa"/>
            </w:tcMar>
            <w:vAlign w:val="center"/>
          </w:tcPr>
          <w:p w14:paraId="056398E7" w14:textId="77777777" w:rsidR="002D25EA" w:rsidRDefault="002D25EA" w:rsidP="00D9409F">
            <w:r>
              <w:rPr>
                <w:b/>
                <w:bCs/>
                <w:color w:val="FFFFFF"/>
                <w:sz w:val="18"/>
                <w:szCs w:val="18"/>
              </w:rPr>
              <w:lastRenderedPageBreak/>
              <w:t>&lt;inbound&gt;   &lt;ip-filter action="allow"&gt;     &lt;address-range from="203.0.113.0" to="203.0.113.255" /&gt;   &lt;/ip-filter&gt;   &lt;check-header name="x-api-key" failed-check-httpcode="401"       failed-check-error-message="Unauthorised: missing API key."&gt;     &lt;value&gt;{{webhook-api-key}}&lt;/value&gt;   &lt;/check-header&gt; &lt;/inbound&gt;</w:t>
            </w:r>
          </w:p>
        </w:tc>
      </w:tr>
    </w:tbl>
    <w:p w14:paraId="2AA0262B" w14:textId="77777777" w:rsidR="002D25EA" w:rsidRDefault="002D25EA" w:rsidP="002D25EA">
      <w:pPr>
        <w:spacing w:after="140"/>
      </w:pPr>
    </w:p>
    <w:p w14:paraId="5CE50AFF" w14:textId="77777777" w:rsidR="002D25EA" w:rsidRPr="00614651" w:rsidRDefault="002D25EA" w:rsidP="00614651">
      <w:pPr>
        <w:rPr>
          <w:b/>
          <w:bCs/>
        </w:rPr>
      </w:pPr>
      <w:r>
        <w:rPr>
          <w:b/>
          <w:bCs/>
        </w:rPr>
        <w:t>Regulatory and compliance alignment</w:t>
      </w:r>
    </w:p>
    <w:p w14:paraId="59E3CE7F" w14:textId="77777777" w:rsidR="002D25EA" w:rsidRDefault="002D25EA" w:rsidP="002D25EA">
      <w:pPr>
        <w:spacing w:after="140"/>
      </w:pPr>
      <w:r>
        <w:t>The alignment above is deliberately honest that it is not yet the Organization-verified. To make it something Compliance can actually sign rather than a narrative, the matrix below restates it as control area → Azure capability that delivers it → evidence artefact that proves it → owner. It is still proposed until Compliance confirms it against the Organization’s own control catalogue, but it is now in a form that can be confirmed line by line.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00"/>
        <w:gridCol w:w="2600"/>
        <w:gridCol w:w="1400"/>
      </w:tblGrid>
      <w:tr w:rsidR="002D25EA" w14:paraId="5A8B86F5" w14:textId="77777777" w:rsidTr="00D9409F">
        <w:trPr>
          <w:tblHeader/>
        </w:trPr>
        <w:tc>
          <w:tcPr>
            <w:tcW w:w="2900" w:type="dxa"/>
            <w:shd w:val="clear" w:color="auto" w:fill="1E2761"/>
            <w:tcMar>
              <w:top w:w="70" w:type="dxa"/>
              <w:left w:w="100" w:type="dxa"/>
              <w:bottom w:w="70" w:type="dxa"/>
              <w:right w:w="100" w:type="dxa"/>
            </w:tcMar>
          </w:tcPr>
          <w:p w14:paraId="1375D3A1" w14:textId="77777777" w:rsidR="002D25EA" w:rsidRDefault="002D25EA" w:rsidP="00D9409F">
            <w:r>
              <w:rPr>
                <w:b/>
                <w:bCs/>
                <w:color w:val="FFFFFF"/>
                <w:sz w:val="18"/>
                <w:szCs w:val="18"/>
              </w:rPr>
              <w:t>Control area (regulatory driver)</w:t>
            </w:r>
          </w:p>
        </w:tc>
        <w:tc>
          <w:tcPr>
            <w:tcW w:w="2400" w:type="dxa"/>
            <w:shd w:val="clear" w:color="auto" w:fill="1E2761"/>
            <w:tcMar>
              <w:top w:w="70" w:type="dxa"/>
              <w:left w:w="100" w:type="dxa"/>
              <w:bottom w:w="70" w:type="dxa"/>
              <w:right w:w="100" w:type="dxa"/>
            </w:tcMar>
          </w:tcPr>
          <w:p w14:paraId="2A4473C6" w14:textId="77777777" w:rsidR="002D25EA" w:rsidRDefault="002D25EA" w:rsidP="00D9409F">
            <w:r>
              <w:rPr>
                <w:b/>
                <w:bCs/>
                <w:color w:val="FFFFFF"/>
                <w:sz w:val="18"/>
                <w:szCs w:val="18"/>
              </w:rPr>
              <w:t>Azure capability</w:t>
            </w:r>
          </w:p>
        </w:tc>
        <w:tc>
          <w:tcPr>
            <w:tcW w:w="2600" w:type="dxa"/>
            <w:shd w:val="clear" w:color="auto" w:fill="1E2761"/>
            <w:tcMar>
              <w:top w:w="70" w:type="dxa"/>
              <w:left w:w="100" w:type="dxa"/>
              <w:bottom w:w="70" w:type="dxa"/>
              <w:right w:w="100" w:type="dxa"/>
            </w:tcMar>
          </w:tcPr>
          <w:p w14:paraId="1F1A33D2" w14:textId="77777777" w:rsidR="002D25EA" w:rsidRDefault="002D25EA" w:rsidP="00D9409F">
            <w:r>
              <w:rPr>
                <w:b/>
                <w:bCs/>
                <w:color w:val="FFFFFF"/>
                <w:sz w:val="18"/>
                <w:szCs w:val="18"/>
              </w:rPr>
              <w:t>Evidence artefact</w:t>
            </w:r>
          </w:p>
        </w:tc>
        <w:tc>
          <w:tcPr>
            <w:tcW w:w="1400" w:type="dxa"/>
            <w:shd w:val="clear" w:color="auto" w:fill="1E2761"/>
            <w:tcMar>
              <w:top w:w="70" w:type="dxa"/>
              <w:left w:w="100" w:type="dxa"/>
              <w:bottom w:w="70" w:type="dxa"/>
              <w:right w:w="100" w:type="dxa"/>
            </w:tcMar>
          </w:tcPr>
          <w:p w14:paraId="4B42BE4E" w14:textId="77777777" w:rsidR="002D25EA" w:rsidRDefault="002D25EA" w:rsidP="00D9409F">
            <w:r>
              <w:rPr>
                <w:b/>
                <w:bCs/>
                <w:color w:val="FFFFFF"/>
                <w:sz w:val="18"/>
                <w:szCs w:val="18"/>
              </w:rPr>
              <w:t>Owner</w:t>
            </w:r>
          </w:p>
        </w:tc>
      </w:tr>
      <w:tr w:rsidR="002D25EA" w14:paraId="50E8351E" w14:textId="77777777" w:rsidTr="00D9409F">
        <w:tc>
          <w:tcPr>
            <w:tcW w:w="2900" w:type="dxa"/>
            <w:tcMar>
              <w:top w:w="70" w:type="dxa"/>
              <w:left w:w="100" w:type="dxa"/>
              <w:bottom w:w="70" w:type="dxa"/>
              <w:right w:w="100" w:type="dxa"/>
            </w:tcMar>
          </w:tcPr>
          <w:p w14:paraId="35C54FED" w14:textId="77777777" w:rsidR="002D25EA" w:rsidRDefault="002D25EA" w:rsidP="00D9409F">
            <w:r>
              <w:rPr>
                <w:sz w:val="18"/>
                <w:szCs w:val="18"/>
              </w:rPr>
              <w:t>Access control &amp; authentication (FCA SYSC; UK GDPR)</w:t>
            </w:r>
          </w:p>
        </w:tc>
        <w:tc>
          <w:tcPr>
            <w:tcW w:w="2400" w:type="dxa"/>
            <w:tcMar>
              <w:top w:w="70" w:type="dxa"/>
              <w:left w:w="100" w:type="dxa"/>
              <w:bottom w:w="70" w:type="dxa"/>
              <w:right w:w="100" w:type="dxa"/>
            </w:tcMar>
          </w:tcPr>
          <w:p w14:paraId="6D9818A7" w14:textId="77777777" w:rsidR="002D25EA" w:rsidRDefault="002D25EA" w:rsidP="00D9409F">
            <w:r>
              <w:rPr>
                <w:sz w:val="18"/>
                <w:szCs w:val="18"/>
              </w:rPr>
              <w:t>Entra ID OAuth 2.0, gateway JWT validation, control-plane RBAC</w:t>
            </w:r>
          </w:p>
        </w:tc>
        <w:tc>
          <w:tcPr>
            <w:tcW w:w="2600" w:type="dxa"/>
            <w:tcMar>
              <w:top w:w="70" w:type="dxa"/>
              <w:left w:w="100" w:type="dxa"/>
              <w:bottom w:w="70" w:type="dxa"/>
              <w:right w:w="100" w:type="dxa"/>
            </w:tcMar>
          </w:tcPr>
          <w:p w14:paraId="7EF6AB89" w14:textId="77777777" w:rsidR="002D25EA" w:rsidRDefault="002D25EA" w:rsidP="00D9409F">
            <w:r>
              <w:rPr>
                <w:sz w:val="18"/>
                <w:szCs w:val="18"/>
              </w:rPr>
              <w:t>Entra sign-in/audit logs; policy config in Git; access-review records</w:t>
            </w:r>
          </w:p>
        </w:tc>
        <w:tc>
          <w:tcPr>
            <w:tcW w:w="1400" w:type="dxa"/>
            <w:tcMar>
              <w:top w:w="70" w:type="dxa"/>
              <w:left w:w="100" w:type="dxa"/>
              <w:bottom w:w="70" w:type="dxa"/>
              <w:right w:w="100" w:type="dxa"/>
            </w:tcMar>
          </w:tcPr>
          <w:p w14:paraId="581FA420" w14:textId="77777777" w:rsidR="002D25EA" w:rsidRDefault="002D25EA" w:rsidP="00D9409F">
            <w:r>
              <w:rPr>
                <w:sz w:val="18"/>
                <w:szCs w:val="18"/>
              </w:rPr>
              <w:t>Identity + Compliance</w:t>
            </w:r>
          </w:p>
        </w:tc>
      </w:tr>
      <w:tr w:rsidR="002D25EA" w14:paraId="1B89CD7E" w14:textId="77777777" w:rsidTr="00D9409F">
        <w:tc>
          <w:tcPr>
            <w:tcW w:w="2900" w:type="dxa"/>
            <w:tcMar>
              <w:top w:w="70" w:type="dxa"/>
              <w:left w:w="100" w:type="dxa"/>
              <w:bottom w:w="70" w:type="dxa"/>
              <w:right w:w="100" w:type="dxa"/>
            </w:tcMar>
          </w:tcPr>
          <w:p w14:paraId="774AA366" w14:textId="77777777" w:rsidR="002D25EA" w:rsidRDefault="002D25EA" w:rsidP="00D9409F">
            <w:r>
              <w:rPr>
                <w:sz w:val="18"/>
                <w:szCs w:val="18"/>
              </w:rPr>
              <w:t>Encryption in transit (UK GDPR; Lloyd’s)</w:t>
            </w:r>
          </w:p>
        </w:tc>
        <w:tc>
          <w:tcPr>
            <w:tcW w:w="2400" w:type="dxa"/>
            <w:tcMar>
              <w:top w:w="70" w:type="dxa"/>
              <w:left w:w="100" w:type="dxa"/>
              <w:bottom w:w="70" w:type="dxa"/>
              <w:right w:w="100" w:type="dxa"/>
            </w:tcMar>
          </w:tcPr>
          <w:p w14:paraId="056B88A7" w14:textId="77777777" w:rsidR="002D25EA" w:rsidRDefault="002D25EA" w:rsidP="00D9409F">
            <w:r>
              <w:rPr>
                <w:sz w:val="18"/>
                <w:szCs w:val="18"/>
              </w:rPr>
              <w:t>TLS 1.2+, Front Door, Private Endpoints</w:t>
            </w:r>
          </w:p>
        </w:tc>
        <w:tc>
          <w:tcPr>
            <w:tcW w:w="2600" w:type="dxa"/>
            <w:tcMar>
              <w:top w:w="70" w:type="dxa"/>
              <w:left w:w="100" w:type="dxa"/>
              <w:bottom w:w="70" w:type="dxa"/>
              <w:right w:w="100" w:type="dxa"/>
            </w:tcMar>
          </w:tcPr>
          <w:p w14:paraId="0966273E" w14:textId="77777777" w:rsidR="002D25EA" w:rsidRDefault="002D25EA" w:rsidP="00D9409F">
            <w:r>
              <w:rPr>
                <w:sz w:val="18"/>
                <w:szCs w:val="18"/>
              </w:rPr>
              <w:t>TLS/WAF configuration export; Private Endpoint inventory</w:t>
            </w:r>
          </w:p>
        </w:tc>
        <w:tc>
          <w:tcPr>
            <w:tcW w:w="1400" w:type="dxa"/>
            <w:tcMar>
              <w:top w:w="70" w:type="dxa"/>
              <w:left w:w="100" w:type="dxa"/>
              <w:bottom w:w="70" w:type="dxa"/>
              <w:right w:w="100" w:type="dxa"/>
            </w:tcMar>
          </w:tcPr>
          <w:p w14:paraId="2EFC2E52" w14:textId="77777777" w:rsidR="002D25EA" w:rsidRDefault="002D25EA" w:rsidP="00D9409F">
            <w:r>
              <w:rPr>
                <w:sz w:val="18"/>
                <w:szCs w:val="18"/>
              </w:rPr>
              <w:t>Platform + Security</w:t>
            </w:r>
          </w:p>
        </w:tc>
      </w:tr>
      <w:tr w:rsidR="002D25EA" w14:paraId="138A13F5" w14:textId="77777777" w:rsidTr="00D9409F">
        <w:tc>
          <w:tcPr>
            <w:tcW w:w="2900" w:type="dxa"/>
            <w:tcMar>
              <w:top w:w="70" w:type="dxa"/>
              <w:left w:w="100" w:type="dxa"/>
              <w:bottom w:w="70" w:type="dxa"/>
              <w:right w:w="100" w:type="dxa"/>
            </w:tcMar>
          </w:tcPr>
          <w:p w14:paraId="109D1C1D" w14:textId="77777777" w:rsidR="002D25EA" w:rsidRDefault="002D25EA" w:rsidP="00D9409F">
            <w:r>
              <w:rPr>
                <w:sz w:val="18"/>
                <w:szCs w:val="18"/>
              </w:rPr>
              <w:t>Audit &amp; traceability (FCA; PRA operational resilience)</w:t>
            </w:r>
          </w:p>
        </w:tc>
        <w:tc>
          <w:tcPr>
            <w:tcW w:w="2400" w:type="dxa"/>
            <w:tcMar>
              <w:top w:w="70" w:type="dxa"/>
              <w:left w:w="100" w:type="dxa"/>
              <w:bottom w:w="70" w:type="dxa"/>
              <w:right w:w="100" w:type="dxa"/>
            </w:tcMar>
          </w:tcPr>
          <w:p w14:paraId="764C46FE" w14:textId="77777777" w:rsidR="002D25EA" w:rsidRDefault="002D25EA" w:rsidP="00D9409F">
            <w:r>
              <w:rPr>
                <w:sz w:val="18"/>
                <w:szCs w:val="18"/>
              </w:rPr>
              <w:t>Log Analytics, App Insights, correlation IDs</w:t>
            </w:r>
          </w:p>
        </w:tc>
        <w:tc>
          <w:tcPr>
            <w:tcW w:w="2600" w:type="dxa"/>
            <w:tcMar>
              <w:top w:w="70" w:type="dxa"/>
              <w:left w:w="100" w:type="dxa"/>
              <w:bottom w:w="70" w:type="dxa"/>
              <w:right w:w="100" w:type="dxa"/>
            </w:tcMar>
          </w:tcPr>
          <w:p w14:paraId="674C82E5" w14:textId="77777777" w:rsidR="002D25EA" w:rsidRDefault="002D25EA" w:rsidP="00D9409F">
            <w:r>
              <w:rPr>
                <w:sz w:val="18"/>
                <w:szCs w:val="18"/>
              </w:rPr>
              <w:t>Retained gateway logs; SIEM ingestion evidence; sample correlation-ID traces</w:t>
            </w:r>
          </w:p>
        </w:tc>
        <w:tc>
          <w:tcPr>
            <w:tcW w:w="1400" w:type="dxa"/>
            <w:tcMar>
              <w:top w:w="70" w:type="dxa"/>
              <w:left w:w="100" w:type="dxa"/>
              <w:bottom w:w="70" w:type="dxa"/>
              <w:right w:w="100" w:type="dxa"/>
            </w:tcMar>
          </w:tcPr>
          <w:p w14:paraId="7D467882" w14:textId="77777777" w:rsidR="002D25EA" w:rsidRDefault="002D25EA" w:rsidP="00D9409F">
            <w:r>
              <w:rPr>
                <w:sz w:val="18"/>
                <w:szCs w:val="18"/>
              </w:rPr>
              <w:t>Platform + Security</w:t>
            </w:r>
          </w:p>
        </w:tc>
      </w:tr>
      <w:tr w:rsidR="002D25EA" w14:paraId="05463CED" w14:textId="77777777" w:rsidTr="00D9409F">
        <w:tc>
          <w:tcPr>
            <w:tcW w:w="2900" w:type="dxa"/>
            <w:tcMar>
              <w:top w:w="70" w:type="dxa"/>
              <w:left w:w="100" w:type="dxa"/>
              <w:bottom w:w="70" w:type="dxa"/>
              <w:right w:w="100" w:type="dxa"/>
            </w:tcMar>
          </w:tcPr>
          <w:p w14:paraId="332C53E1" w14:textId="77777777" w:rsidR="002D25EA" w:rsidRDefault="002D25EA" w:rsidP="00D9409F">
            <w:r>
              <w:rPr>
                <w:sz w:val="18"/>
                <w:szCs w:val="18"/>
              </w:rPr>
              <w:t>Threat protection</w:t>
            </w:r>
          </w:p>
        </w:tc>
        <w:tc>
          <w:tcPr>
            <w:tcW w:w="2400" w:type="dxa"/>
            <w:tcMar>
              <w:top w:w="70" w:type="dxa"/>
              <w:left w:w="100" w:type="dxa"/>
              <w:bottom w:w="70" w:type="dxa"/>
              <w:right w:w="100" w:type="dxa"/>
            </w:tcMar>
          </w:tcPr>
          <w:p w14:paraId="469AA938" w14:textId="77777777" w:rsidR="002D25EA" w:rsidRDefault="002D25EA" w:rsidP="00D9409F">
            <w:r>
              <w:rPr>
                <w:sz w:val="18"/>
                <w:szCs w:val="18"/>
              </w:rPr>
              <w:t>Front Door WAF, Azure DDoS, Defender for APIs</w:t>
            </w:r>
          </w:p>
        </w:tc>
        <w:tc>
          <w:tcPr>
            <w:tcW w:w="2600" w:type="dxa"/>
            <w:tcMar>
              <w:top w:w="70" w:type="dxa"/>
              <w:left w:w="100" w:type="dxa"/>
              <w:bottom w:w="70" w:type="dxa"/>
              <w:right w:w="100" w:type="dxa"/>
            </w:tcMar>
          </w:tcPr>
          <w:p w14:paraId="365A91F3" w14:textId="77777777" w:rsidR="002D25EA" w:rsidRDefault="002D25EA" w:rsidP="00D9409F">
            <w:r>
              <w:rPr>
                <w:sz w:val="18"/>
                <w:szCs w:val="18"/>
              </w:rPr>
              <w:t>WAF rule set and logs; Defender for APIs findings report</w:t>
            </w:r>
          </w:p>
        </w:tc>
        <w:tc>
          <w:tcPr>
            <w:tcW w:w="1400" w:type="dxa"/>
            <w:tcMar>
              <w:top w:w="70" w:type="dxa"/>
              <w:left w:w="100" w:type="dxa"/>
              <w:bottom w:w="70" w:type="dxa"/>
              <w:right w:w="100" w:type="dxa"/>
            </w:tcMar>
          </w:tcPr>
          <w:p w14:paraId="4B9DF17E" w14:textId="77777777" w:rsidR="002D25EA" w:rsidRDefault="002D25EA" w:rsidP="00D9409F">
            <w:r>
              <w:rPr>
                <w:sz w:val="18"/>
                <w:szCs w:val="18"/>
              </w:rPr>
              <w:t>Security</w:t>
            </w:r>
          </w:p>
        </w:tc>
      </w:tr>
      <w:tr w:rsidR="002D25EA" w14:paraId="646C1ED6" w14:textId="77777777" w:rsidTr="00D9409F">
        <w:tc>
          <w:tcPr>
            <w:tcW w:w="2900" w:type="dxa"/>
            <w:tcMar>
              <w:top w:w="70" w:type="dxa"/>
              <w:left w:w="100" w:type="dxa"/>
              <w:bottom w:w="70" w:type="dxa"/>
              <w:right w:w="100" w:type="dxa"/>
            </w:tcMar>
          </w:tcPr>
          <w:p w14:paraId="729C14E1" w14:textId="77777777" w:rsidR="002D25EA" w:rsidRDefault="002D25EA" w:rsidP="00D9409F">
            <w:r>
              <w:rPr>
                <w:sz w:val="18"/>
                <w:szCs w:val="18"/>
              </w:rPr>
              <w:t>Availability &amp; operational resilience (PRA; Lloyd’s)</w:t>
            </w:r>
          </w:p>
        </w:tc>
        <w:tc>
          <w:tcPr>
            <w:tcW w:w="2400" w:type="dxa"/>
            <w:tcMar>
              <w:top w:w="70" w:type="dxa"/>
              <w:left w:w="100" w:type="dxa"/>
              <w:bottom w:w="70" w:type="dxa"/>
              <w:right w:w="100" w:type="dxa"/>
            </w:tcMar>
          </w:tcPr>
          <w:p w14:paraId="68D9F233" w14:textId="77777777" w:rsidR="002D25EA" w:rsidRDefault="002D25EA" w:rsidP="00D9409F">
            <w:r>
              <w:rPr>
                <w:sz w:val="18"/>
                <w:szCs w:val="18"/>
              </w:rPr>
              <w:t>Multi-region active-active, availability zones, Front Door failover</w:t>
            </w:r>
          </w:p>
        </w:tc>
        <w:tc>
          <w:tcPr>
            <w:tcW w:w="2600" w:type="dxa"/>
            <w:tcMar>
              <w:top w:w="70" w:type="dxa"/>
              <w:left w:w="100" w:type="dxa"/>
              <w:bottom w:w="70" w:type="dxa"/>
              <w:right w:w="100" w:type="dxa"/>
            </w:tcMar>
          </w:tcPr>
          <w:p w14:paraId="0C2D6F1D" w14:textId="77777777" w:rsidR="002D25EA" w:rsidRDefault="002D25EA" w:rsidP="00D9409F">
            <w:r>
              <w:rPr>
                <w:sz w:val="18"/>
                <w:szCs w:val="18"/>
              </w:rPr>
              <w:t>DR test reports; SLA evidence; TDA architecture sign-off</w:t>
            </w:r>
          </w:p>
        </w:tc>
        <w:tc>
          <w:tcPr>
            <w:tcW w:w="1400" w:type="dxa"/>
            <w:tcMar>
              <w:top w:w="70" w:type="dxa"/>
              <w:left w:w="100" w:type="dxa"/>
              <w:bottom w:w="70" w:type="dxa"/>
              <w:right w:w="100" w:type="dxa"/>
            </w:tcMar>
          </w:tcPr>
          <w:p w14:paraId="460C642E" w14:textId="77777777" w:rsidR="002D25EA" w:rsidRDefault="002D25EA" w:rsidP="00D9409F">
            <w:r>
              <w:rPr>
                <w:sz w:val="18"/>
                <w:szCs w:val="18"/>
              </w:rPr>
              <w:t>Platform</w:t>
            </w:r>
          </w:p>
        </w:tc>
      </w:tr>
      <w:tr w:rsidR="002D25EA" w14:paraId="7D618A31" w14:textId="77777777" w:rsidTr="00D9409F">
        <w:tc>
          <w:tcPr>
            <w:tcW w:w="2900" w:type="dxa"/>
            <w:tcMar>
              <w:top w:w="70" w:type="dxa"/>
              <w:left w:w="100" w:type="dxa"/>
              <w:bottom w:w="70" w:type="dxa"/>
              <w:right w:w="100" w:type="dxa"/>
            </w:tcMar>
          </w:tcPr>
          <w:p w14:paraId="22E7E7B0" w14:textId="77777777" w:rsidR="002D25EA" w:rsidRDefault="002D25EA" w:rsidP="00D9409F">
            <w:r>
              <w:rPr>
                <w:sz w:val="18"/>
                <w:szCs w:val="18"/>
              </w:rPr>
              <w:t>Secrets management</w:t>
            </w:r>
          </w:p>
        </w:tc>
        <w:tc>
          <w:tcPr>
            <w:tcW w:w="2400" w:type="dxa"/>
            <w:tcMar>
              <w:top w:w="70" w:type="dxa"/>
              <w:left w:w="100" w:type="dxa"/>
              <w:bottom w:w="70" w:type="dxa"/>
              <w:right w:w="100" w:type="dxa"/>
            </w:tcMar>
          </w:tcPr>
          <w:p w14:paraId="35B00CA7" w14:textId="77777777" w:rsidR="002D25EA" w:rsidRDefault="002D25EA" w:rsidP="00D9409F">
            <w:r>
              <w:rPr>
                <w:sz w:val="18"/>
                <w:szCs w:val="18"/>
              </w:rPr>
              <w:t>Key Vault-backed named values</w:t>
            </w:r>
          </w:p>
        </w:tc>
        <w:tc>
          <w:tcPr>
            <w:tcW w:w="2600" w:type="dxa"/>
            <w:tcMar>
              <w:top w:w="70" w:type="dxa"/>
              <w:left w:w="100" w:type="dxa"/>
              <w:bottom w:w="70" w:type="dxa"/>
              <w:right w:w="100" w:type="dxa"/>
            </w:tcMar>
          </w:tcPr>
          <w:p w14:paraId="3DE2219C" w14:textId="77777777" w:rsidR="002D25EA" w:rsidRDefault="002D25EA" w:rsidP="00D9409F">
            <w:r>
              <w:rPr>
                <w:sz w:val="18"/>
                <w:szCs w:val="18"/>
              </w:rPr>
              <w:t>Key Vault RBAC/access policy; secret-rotation records</w:t>
            </w:r>
          </w:p>
        </w:tc>
        <w:tc>
          <w:tcPr>
            <w:tcW w:w="1400" w:type="dxa"/>
            <w:tcMar>
              <w:top w:w="70" w:type="dxa"/>
              <w:left w:w="100" w:type="dxa"/>
              <w:bottom w:w="70" w:type="dxa"/>
              <w:right w:w="100" w:type="dxa"/>
            </w:tcMar>
          </w:tcPr>
          <w:p w14:paraId="27302754" w14:textId="77777777" w:rsidR="002D25EA" w:rsidRDefault="002D25EA" w:rsidP="00D9409F">
            <w:r>
              <w:rPr>
                <w:sz w:val="18"/>
                <w:szCs w:val="18"/>
              </w:rPr>
              <w:t>Platform + Security</w:t>
            </w:r>
          </w:p>
        </w:tc>
      </w:tr>
      <w:tr w:rsidR="002D25EA" w14:paraId="117C12E2" w14:textId="77777777" w:rsidTr="00D9409F">
        <w:tc>
          <w:tcPr>
            <w:tcW w:w="2900" w:type="dxa"/>
            <w:tcMar>
              <w:top w:w="70" w:type="dxa"/>
              <w:left w:w="100" w:type="dxa"/>
              <w:bottom w:w="70" w:type="dxa"/>
              <w:right w:w="100" w:type="dxa"/>
            </w:tcMar>
          </w:tcPr>
          <w:p w14:paraId="21FF8159" w14:textId="77777777" w:rsidR="002D25EA" w:rsidRDefault="002D25EA" w:rsidP="00D9409F">
            <w:r>
              <w:rPr>
                <w:sz w:val="18"/>
                <w:szCs w:val="18"/>
              </w:rPr>
              <w:t>Data residency (UK GDPR)</w:t>
            </w:r>
          </w:p>
        </w:tc>
        <w:tc>
          <w:tcPr>
            <w:tcW w:w="2400" w:type="dxa"/>
            <w:tcMar>
              <w:top w:w="70" w:type="dxa"/>
              <w:left w:w="100" w:type="dxa"/>
              <w:bottom w:w="70" w:type="dxa"/>
              <w:right w:w="100" w:type="dxa"/>
            </w:tcMar>
          </w:tcPr>
          <w:p w14:paraId="6211FD6F" w14:textId="77777777" w:rsidR="002D25EA" w:rsidRDefault="002D25EA" w:rsidP="00D9409F">
            <w:r>
              <w:rPr>
                <w:sz w:val="18"/>
                <w:szCs w:val="18"/>
              </w:rPr>
              <w:t>UK South / UK West only</w:t>
            </w:r>
          </w:p>
        </w:tc>
        <w:tc>
          <w:tcPr>
            <w:tcW w:w="2600" w:type="dxa"/>
            <w:tcMar>
              <w:top w:w="70" w:type="dxa"/>
              <w:left w:w="100" w:type="dxa"/>
              <w:bottom w:w="70" w:type="dxa"/>
              <w:right w:w="100" w:type="dxa"/>
            </w:tcMar>
          </w:tcPr>
          <w:p w14:paraId="67347DD0" w14:textId="77777777" w:rsidR="002D25EA" w:rsidRDefault="002D25EA" w:rsidP="00D9409F">
            <w:r>
              <w:rPr>
                <w:sz w:val="18"/>
                <w:szCs w:val="18"/>
              </w:rPr>
              <w:t>Region configuration; Azure Policy allowed-locations assignment</w:t>
            </w:r>
          </w:p>
        </w:tc>
        <w:tc>
          <w:tcPr>
            <w:tcW w:w="1400" w:type="dxa"/>
            <w:tcMar>
              <w:top w:w="70" w:type="dxa"/>
              <w:left w:w="100" w:type="dxa"/>
              <w:bottom w:w="70" w:type="dxa"/>
              <w:right w:w="100" w:type="dxa"/>
            </w:tcMar>
          </w:tcPr>
          <w:p w14:paraId="63CB8361" w14:textId="77777777" w:rsidR="002D25EA" w:rsidRDefault="002D25EA" w:rsidP="00D9409F">
            <w:r>
              <w:rPr>
                <w:sz w:val="18"/>
                <w:szCs w:val="18"/>
              </w:rPr>
              <w:t>Platform + Compliance</w:t>
            </w:r>
          </w:p>
        </w:tc>
      </w:tr>
      <w:tr w:rsidR="002D25EA" w14:paraId="4299AB8D" w14:textId="77777777" w:rsidTr="00D9409F">
        <w:tc>
          <w:tcPr>
            <w:tcW w:w="2900" w:type="dxa"/>
            <w:tcMar>
              <w:top w:w="70" w:type="dxa"/>
              <w:left w:w="100" w:type="dxa"/>
              <w:bottom w:w="70" w:type="dxa"/>
              <w:right w:w="100" w:type="dxa"/>
            </w:tcMar>
          </w:tcPr>
          <w:p w14:paraId="5FED1821" w14:textId="77777777" w:rsidR="002D25EA" w:rsidRDefault="002D25EA" w:rsidP="00D9409F">
            <w:r>
              <w:rPr>
                <w:sz w:val="18"/>
                <w:szCs w:val="18"/>
              </w:rPr>
              <w:t>Change control (FCA SYSC)</w:t>
            </w:r>
          </w:p>
        </w:tc>
        <w:tc>
          <w:tcPr>
            <w:tcW w:w="2400" w:type="dxa"/>
            <w:tcMar>
              <w:top w:w="70" w:type="dxa"/>
              <w:left w:w="100" w:type="dxa"/>
              <w:bottom w:w="70" w:type="dxa"/>
              <w:right w:w="100" w:type="dxa"/>
            </w:tcMar>
          </w:tcPr>
          <w:p w14:paraId="25C39463" w14:textId="77777777" w:rsidR="002D25EA" w:rsidRDefault="002D25EA" w:rsidP="00D9409F">
            <w:r>
              <w:rPr>
                <w:sz w:val="18"/>
                <w:szCs w:val="18"/>
              </w:rPr>
              <w:t>APIOps, pull-request review, approval gates</w:t>
            </w:r>
          </w:p>
        </w:tc>
        <w:tc>
          <w:tcPr>
            <w:tcW w:w="2600" w:type="dxa"/>
            <w:tcMar>
              <w:top w:w="70" w:type="dxa"/>
              <w:left w:w="100" w:type="dxa"/>
              <w:bottom w:w="70" w:type="dxa"/>
              <w:right w:w="100" w:type="dxa"/>
            </w:tcMar>
          </w:tcPr>
          <w:p w14:paraId="5B20711B" w14:textId="77777777" w:rsidR="002D25EA" w:rsidRDefault="002D25EA" w:rsidP="00D9409F">
            <w:r>
              <w:rPr>
                <w:sz w:val="18"/>
                <w:szCs w:val="18"/>
              </w:rPr>
              <w:t>PR history; pipeline approval records</w:t>
            </w:r>
          </w:p>
        </w:tc>
        <w:tc>
          <w:tcPr>
            <w:tcW w:w="1400" w:type="dxa"/>
            <w:tcMar>
              <w:top w:w="70" w:type="dxa"/>
              <w:left w:w="100" w:type="dxa"/>
              <w:bottom w:w="70" w:type="dxa"/>
              <w:right w:w="100" w:type="dxa"/>
            </w:tcMar>
          </w:tcPr>
          <w:p w14:paraId="069FFC2B" w14:textId="77777777" w:rsidR="002D25EA" w:rsidRDefault="002D25EA" w:rsidP="00D9409F">
            <w:r>
              <w:rPr>
                <w:sz w:val="18"/>
                <w:szCs w:val="18"/>
              </w:rPr>
              <w:t>Platform</w:t>
            </w:r>
          </w:p>
        </w:tc>
      </w:tr>
      <w:tr w:rsidR="002D25EA" w14:paraId="2E21EE13" w14:textId="77777777" w:rsidTr="00D9409F">
        <w:tc>
          <w:tcPr>
            <w:tcW w:w="2900" w:type="dxa"/>
            <w:tcMar>
              <w:top w:w="70" w:type="dxa"/>
              <w:left w:w="100" w:type="dxa"/>
              <w:bottom w:w="70" w:type="dxa"/>
              <w:right w:w="100" w:type="dxa"/>
            </w:tcMar>
          </w:tcPr>
          <w:p w14:paraId="1C572754" w14:textId="77777777" w:rsidR="002D25EA" w:rsidRDefault="002D25EA" w:rsidP="00D9409F">
            <w:r>
              <w:rPr>
                <w:sz w:val="18"/>
                <w:szCs w:val="18"/>
              </w:rPr>
              <w:t>Data minimisation &amp; PII (UK GDPR)</w:t>
            </w:r>
          </w:p>
        </w:tc>
        <w:tc>
          <w:tcPr>
            <w:tcW w:w="2400" w:type="dxa"/>
            <w:tcMar>
              <w:top w:w="70" w:type="dxa"/>
              <w:left w:w="100" w:type="dxa"/>
              <w:bottom w:w="70" w:type="dxa"/>
              <w:right w:w="100" w:type="dxa"/>
            </w:tcMar>
          </w:tcPr>
          <w:p w14:paraId="568C7298" w14:textId="77777777" w:rsidR="002D25EA" w:rsidRDefault="002D25EA" w:rsidP="00D9409F">
            <w:r>
              <w:rPr>
                <w:sz w:val="18"/>
                <w:szCs w:val="18"/>
              </w:rPr>
              <w:t>Payload logging off + redaction; data classification</w:t>
            </w:r>
          </w:p>
        </w:tc>
        <w:tc>
          <w:tcPr>
            <w:tcW w:w="2600" w:type="dxa"/>
            <w:tcMar>
              <w:top w:w="70" w:type="dxa"/>
              <w:left w:w="100" w:type="dxa"/>
              <w:bottom w:w="70" w:type="dxa"/>
              <w:right w:w="100" w:type="dxa"/>
            </w:tcMar>
          </w:tcPr>
          <w:p w14:paraId="65150A15" w14:textId="77777777" w:rsidR="002D25EA" w:rsidRDefault="002D25EA" w:rsidP="00D9409F">
            <w:r>
              <w:rPr>
                <w:sz w:val="18"/>
                <w:szCs w:val="18"/>
              </w:rPr>
              <w:t>Logging-policy configuration; DPIA reference</w:t>
            </w:r>
          </w:p>
        </w:tc>
        <w:tc>
          <w:tcPr>
            <w:tcW w:w="1400" w:type="dxa"/>
            <w:tcMar>
              <w:top w:w="70" w:type="dxa"/>
              <w:left w:w="100" w:type="dxa"/>
              <w:bottom w:w="70" w:type="dxa"/>
              <w:right w:w="100" w:type="dxa"/>
            </w:tcMar>
          </w:tcPr>
          <w:p w14:paraId="7330B1CD" w14:textId="77777777" w:rsidR="002D25EA" w:rsidRDefault="002D25EA" w:rsidP="00D9409F">
            <w:r>
              <w:rPr>
                <w:sz w:val="18"/>
                <w:szCs w:val="18"/>
              </w:rPr>
              <w:t>Compliance + Security</w:t>
            </w:r>
          </w:p>
        </w:tc>
      </w:tr>
    </w:tbl>
    <w:p w14:paraId="66B71841" w14:textId="77777777" w:rsidR="002D25EA" w:rsidRDefault="002D25EA" w:rsidP="002D25EA">
      <w:pPr>
        <w:spacing w:after="140"/>
      </w:pPr>
      <w:r>
        <w:t>This matrix is the artefact Compliance signs; the regulatory references are indicative and must be reconciled with the Organization’s obligations register before go-live.</w:t>
      </w:r>
    </w:p>
    <w:p w14:paraId="192A6F26" w14:textId="77777777" w:rsidR="002D25EA" w:rsidRDefault="002D25EA" w:rsidP="002D25EA">
      <w:pPr>
        <w:spacing w:after="140"/>
      </w:pPr>
      <w:r>
        <w:t>As a Lloyd's market insurer, the Organization operates under FCA and PRA regulation and, for market-facing integrations, Lloyd's own requirements, alongside UK GDPR for personal data. This design does not attempt to certify compliance, which is the Organization’s responsibility and a detailed-design activity, but it is built to support the controls those regimes expect. The table below maps each obligation to how the platform is positioned to meet it, and, honestly, to what still needs the Organization input. This is the area of the design most dependent on the Organization’s own standards, and it should be treated as a set of requirements to confirm rather than settled controls.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E1AB57D" w14:textId="77777777" w:rsidTr="00D9409F">
        <w:trPr>
          <w:tblHeader/>
        </w:trPr>
        <w:tc>
          <w:tcPr>
            <w:tcW w:w="3100" w:type="dxa"/>
            <w:shd w:val="clear" w:color="auto" w:fill="1E2761"/>
            <w:tcMar>
              <w:top w:w="70" w:type="dxa"/>
              <w:left w:w="100" w:type="dxa"/>
              <w:bottom w:w="70" w:type="dxa"/>
              <w:right w:w="100" w:type="dxa"/>
            </w:tcMar>
            <w:vAlign w:val="center"/>
          </w:tcPr>
          <w:p w14:paraId="0BF6D01C" w14:textId="77777777" w:rsidR="002D25EA" w:rsidRDefault="002D25EA" w:rsidP="00D9409F">
            <w:r>
              <w:rPr>
                <w:b/>
                <w:bCs/>
                <w:color w:val="FFFFFF"/>
                <w:sz w:val="18"/>
                <w:szCs w:val="18"/>
              </w:rPr>
              <w:t>Obligation</w:t>
            </w:r>
          </w:p>
        </w:tc>
        <w:tc>
          <w:tcPr>
            <w:tcW w:w="3100" w:type="dxa"/>
            <w:shd w:val="clear" w:color="auto" w:fill="1E2761"/>
            <w:tcMar>
              <w:top w:w="70" w:type="dxa"/>
              <w:left w:w="100" w:type="dxa"/>
              <w:bottom w:w="70" w:type="dxa"/>
              <w:right w:w="100" w:type="dxa"/>
            </w:tcMar>
            <w:vAlign w:val="center"/>
          </w:tcPr>
          <w:p w14:paraId="169A8AB5" w14:textId="77777777" w:rsidR="002D25EA" w:rsidRDefault="002D25EA" w:rsidP="00D9409F">
            <w:r>
              <w:rPr>
                <w:b/>
                <w:bCs/>
                <w:color w:val="FFFFFF"/>
                <w:sz w:val="18"/>
                <w:szCs w:val="18"/>
              </w:rPr>
              <w:t>How the design supports it</w:t>
            </w:r>
          </w:p>
        </w:tc>
        <w:tc>
          <w:tcPr>
            <w:tcW w:w="3100" w:type="dxa"/>
            <w:shd w:val="clear" w:color="auto" w:fill="1E2761"/>
            <w:tcMar>
              <w:top w:w="70" w:type="dxa"/>
              <w:left w:w="100" w:type="dxa"/>
              <w:bottom w:w="70" w:type="dxa"/>
              <w:right w:w="100" w:type="dxa"/>
            </w:tcMar>
            <w:vAlign w:val="center"/>
          </w:tcPr>
          <w:p w14:paraId="41C7EEA3" w14:textId="77777777" w:rsidR="002D25EA" w:rsidRDefault="002D25EA" w:rsidP="00D9409F">
            <w:r>
              <w:rPr>
                <w:b/>
                <w:bCs/>
                <w:color w:val="FFFFFF"/>
                <w:sz w:val="18"/>
                <w:szCs w:val="18"/>
              </w:rPr>
              <w:t>Still needed from the Organization</w:t>
            </w:r>
          </w:p>
        </w:tc>
      </w:tr>
      <w:tr w:rsidR="002D25EA" w14:paraId="618450DB" w14:textId="77777777" w:rsidTr="00D9409F">
        <w:tc>
          <w:tcPr>
            <w:tcW w:w="3100" w:type="dxa"/>
            <w:tcMar>
              <w:top w:w="70" w:type="dxa"/>
              <w:left w:w="100" w:type="dxa"/>
              <w:bottom w:w="70" w:type="dxa"/>
              <w:right w:w="100" w:type="dxa"/>
            </w:tcMar>
            <w:vAlign w:val="center"/>
          </w:tcPr>
          <w:p w14:paraId="51B140D2" w14:textId="77777777" w:rsidR="002D25EA" w:rsidRDefault="002D25EA" w:rsidP="00D9409F">
            <w:r>
              <w:rPr>
                <w:sz w:val="18"/>
                <w:szCs w:val="18"/>
              </w:rPr>
              <w:t>Data residency (FCA/PRA, UK data)</w:t>
            </w:r>
          </w:p>
        </w:tc>
        <w:tc>
          <w:tcPr>
            <w:tcW w:w="3100" w:type="dxa"/>
            <w:tcMar>
              <w:top w:w="70" w:type="dxa"/>
              <w:left w:w="100" w:type="dxa"/>
              <w:bottom w:w="70" w:type="dxa"/>
              <w:right w:w="100" w:type="dxa"/>
            </w:tcMar>
            <w:vAlign w:val="center"/>
          </w:tcPr>
          <w:p w14:paraId="18108BE9" w14:textId="77777777" w:rsidR="002D25EA" w:rsidRDefault="002D25EA" w:rsidP="00D9409F">
            <w:r>
              <w:rPr>
                <w:sz w:val="18"/>
                <w:szCs w:val="18"/>
              </w:rPr>
              <w:t>Primary and secondary regions both in the UK (UK South, UK West); no data leaves the UK by default</w:t>
            </w:r>
          </w:p>
        </w:tc>
        <w:tc>
          <w:tcPr>
            <w:tcW w:w="3100" w:type="dxa"/>
            <w:tcMar>
              <w:top w:w="70" w:type="dxa"/>
              <w:left w:w="100" w:type="dxa"/>
              <w:bottom w:w="70" w:type="dxa"/>
              <w:right w:w="100" w:type="dxa"/>
            </w:tcMar>
            <w:vAlign w:val="center"/>
          </w:tcPr>
          <w:p w14:paraId="4DD43865" w14:textId="77777777" w:rsidR="002D25EA" w:rsidRDefault="002D25EA" w:rsidP="00D9409F">
            <w:r>
              <w:rPr>
                <w:sz w:val="18"/>
                <w:szCs w:val="18"/>
              </w:rPr>
              <w:t>Confirm UK-only residency is sufficient and that no backend or SaaS dependency egresses data abroad</w:t>
            </w:r>
          </w:p>
        </w:tc>
      </w:tr>
      <w:tr w:rsidR="002D25EA" w14:paraId="4B96D0A6" w14:textId="77777777" w:rsidTr="00D9409F">
        <w:tc>
          <w:tcPr>
            <w:tcW w:w="3100" w:type="dxa"/>
            <w:tcMar>
              <w:top w:w="70" w:type="dxa"/>
              <w:left w:w="100" w:type="dxa"/>
              <w:bottom w:w="70" w:type="dxa"/>
              <w:right w:w="100" w:type="dxa"/>
            </w:tcMar>
            <w:vAlign w:val="center"/>
          </w:tcPr>
          <w:p w14:paraId="2C1EDD6B" w14:textId="77777777" w:rsidR="002D25EA" w:rsidRDefault="002D25EA" w:rsidP="00D9409F">
            <w:r>
              <w:rPr>
                <w:sz w:val="18"/>
                <w:szCs w:val="18"/>
              </w:rPr>
              <w:lastRenderedPageBreak/>
              <w:t>Personal data protection (UK GDPR)</w:t>
            </w:r>
          </w:p>
        </w:tc>
        <w:tc>
          <w:tcPr>
            <w:tcW w:w="3100" w:type="dxa"/>
            <w:tcMar>
              <w:top w:w="70" w:type="dxa"/>
              <w:left w:w="100" w:type="dxa"/>
              <w:bottom w:w="70" w:type="dxa"/>
              <w:right w:w="100" w:type="dxa"/>
            </w:tcMar>
            <w:vAlign w:val="center"/>
          </w:tcPr>
          <w:p w14:paraId="37210F03" w14:textId="77777777" w:rsidR="002D25EA" w:rsidRDefault="002D25EA" w:rsidP="00D9409F">
            <w:r>
              <w:rPr>
                <w:sz w:val="18"/>
                <w:szCs w:val="18"/>
              </w:rPr>
              <w:t>TLS 1.2 in transit; payload masking possible at the gateway; PII kept out of verbose logs (Dev-only tracing)</w:t>
            </w:r>
          </w:p>
        </w:tc>
        <w:tc>
          <w:tcPr>
            <w:tcW w:w="3100" w:type="dxa"/>
            <w:tcMar>
              <w:top w:w="70" w:type="dxa"/>
              <w:left w:w="100" w:type="dxa"/>
              <w:bottom w:w="70" w:type="dxa"/>
              <w:right w:w="100" w:type="dxa"/>
            </w:tcMar>
            <w:vAlign w:val="center"/>
          </w:tcPr>
          <w:p w14:paraId="0A49C853" w14:textId="77777777" w:rsidR="002D25EA" w:rsidRDefault="002D25EA" w:rsidP="00D9409F">
            <w:r>
              <w:rPr>
                <w:sz w:val="18"/>
                <w:szCs w:val="18"/>
              </w:rPr>
              <w:t>Data Protection Impact Assessment; confirm what PII flows through which APIs</w:t>
            </w:r>
          </w:p>
        </w:tc>
      </w:tr>
      <w:tr w:rsidR="002D25EA" w14:paraId="1B16B1F0" w14:textId="77777777" w:rsidTr="00D9409F">
        <w:tc>
          <w:tcPr>
            <w:tcW w:w="3100" w:type="dxa"/>
            <w:tcMar>
              <w:top w:w="70" w:type="dxa"/>
              <w:left w:w="100" w:type="dxa"/>
              <w:bottom w:w="70" w:type="dxa"/>
              <w:right w:w="100" w:type="dxa"/>
            </w:tcMar>
            <w:vAlign w:val="center"/>
          </w:tcPr>
          <w:p w14:paraId="73CF487E" w14:textId="77777777" w:rsidR="002D25EA" w:rsidRDefault="002D25EA" w:rsidP="00D9409F">
            <w:r>
              <w:rPr>
                <w:sz w:val="18"/>
                <w:szCs w:val="18"/>
              </w:rPr>
              <w:t>Audit trail and retention</w:t>
            </w:r>
          </w:p>
        </w:tc>
        <w:tc>
          <w:tcPr>
            <w:tcW w:w="3100" w:type="dxa"/>
            <w:tcMar>
              <w:top w:w="70" w:type="dxa"/>
              <w:left w:w="100" w:type="dxa"/>
              <w:bottom w:w="70" w:type="dxa"/>
              <w:right w:w="100" w:type="dxa"/>
            </w:tcMar>
            <w:vAlign w:val="center"/>
          </w:tcPr>
          <w:p w14:paraId="721D01F5" w14:textId="77777777" w:rsidR="002D25EA" w:rsidRDefault="002D25EA" w:rsidP="00D9409F">
            <w:r>
              <w:rPr>
                <w:sz w:val="18"/>
                <w:szCs w:val="18"/>
              </w:rPr>
              <w:t>Every request logged with a correlation ID; security events routed to the Organization’s SIEM</w:t>
            </w:r>
          </w:p>
        </w:tc>
        <w:tc>
          <w:tcPr>
            <w:tcW w:w="3100" w:type="dxa"/>
            <w:tcMar>
              <w:top w:w="70" w:type="dxa"/>
              <w:left w:w="100" w:type="dxa"/>
              <w:bottom w:w="70" w:type="dxa"/>
              <w:right w:w="100" w:type="dxa"/>
            </w:tcMar>
            <w:vAlign w:val="center"/>
          </w:tcPr>
          <w:p w14:paraId="5DE0FB54" w14:textId="77777777" w:rsidR="002D25EA" w:rsidRDefault="002D25EA" w:rsidP="00D9409F">
            <w:r>
              <w:rPr>
                <w:sz w:val="18"/>
                <w:szCs w:val="18"/>
              </w:rPr>
              <w:t>Confirm required retention periods against FCA/PRA record-keeping rules</w:t>
            </w:r>
          </w:p>
        </w:tc>
      </w:tr>
      <w:tr w:rsidR="002D25EA" w14:paraId="649AA880" w14:textId="77777777" w:rsidTr="00D9409F">
        <w:tc>
          <w:tcPr>
            <w:tcW w:w="3100" w:type="dxa"/>
            <w:tcMar>
              <w:top w:w="70" w:type="dxa"/>
              <w:left w:w="100" w:type="dxa"/>
              <w:bottom w:w="70" w:type="dxa"/>
              <w:right w:w="100" w:type="dxa"/>
            </w:tcMar>
            <w:vAlign w:val="center"/>
          </w:tcPr>
          <w:p w14:paraId="50B517A8" w14:textId="77777777" w:rsidR="002D25EA" w:rsidRDefault="002D25EA" w:rsidP="00D9409F">
            <w:r>
              <w:rPr>
                <w:sz w:val="18"/>
                <w:szCs w:val="18"/>
              </w:rPr>
              <w:t>Access control and segregation of duties</w:t>
            </w:r>
          </w:p>
        </w:tc>
        <w:tc>
          <w:tcPr>
            <w:tcW w:w="3100" w:type="dxa"/>
            <w:tcMar>
              <w:top w:w="70" w:type="dxa"/>
              <w:left w:w="100" w:type="dxa"/>
              <w:bottom w:w="70" w:type="dxa"/>
              <w:right w:w="100" w:type="dxa"/>
            </w:tcMar>
            <w:vAlign w:val="center"/>
          </w:tcPr>
          <w:p w14:paraId="4E596F35" w14:textId="77777777" w:rsidR="002D25EA" w:rsidRDefault="002D25EA" w:rsidP="00D9409F">
            <w:r>
              <w:rPr>
                <w:sz w:val="18"/>
                <w:szCs w:val="18"/>
              </w:rPr>
              <w:t>Entra ID identity for every consumer and admin; workspace-scoped RBAC; APIOps change approvals</w:t>
            </w:r>
          </w:p>
        </w:tc>
        <w:tc>
          <w:tcPr>
            <w:tcW w:w="3100" w:type="dxa"/>
            <w:tcMar>
              <w:top w:w="70" w:type="dxa"/>
              <w:left w:w="100" w:type="dxa"/>
              <w:bottom w:w="70" w:type="dxa"/>
              <w:right w:w="100" w:type="dxa"/>
            </w:tcMar>
            <w:vAlign w:val="center"/>
          </w:tcPr>
          <w:p w14:paraId="580C22AA" w14:textId="77777777" w:rsidR="002D25EA" w:rsidRDefault="002D25EA" w:rsidP="00D9409F">
            <w:r>
              <w:rPr>
                <w:sz w:val="18"/>
                <w:szCs w:val="18"/>
              </w:rPr>
              <w:t>Map to the Organization’s existing joiner-mover-leaver and SoD policies</w:t>
            </w:r>
          </w:p>
        </w:tc>
      </w:tr>
      <w:tr w:rsidR="002D25EA" w14:paraId="135B6285" w14:textId="77777777" w:rsidTr="00D9409F">
        <w:tc>
          <w:tcPr>
            <w:tcW w:w="3100" w:type="dxa"/>
            <w:tcMar>
              <w:top w:w="70" w:type="dxa"/>
              <w:left w:w="100" w:type="dxa"/>
              <w:bottom w:w="70" w:type="dxa"/>
              <w:right w:w="100" w:type="dxa"/>
            </w:tcMar>
            <w:vAlign w:val="center"/>
          </w:tcPr>
          <w:p w14:paraId="1C3F210D" w14:textId="77777777" w:rsidR="002D25EA" w:rsidRDefault="002D25EA" w:rsidP="00D9409F">
            <w:r>
              <w:rPr>
                <w:sz w:val="18"/>
                <w:szCs w:val="18"/>
              </w:rPr>
              <w:t>Lloyd's market trust</w:t>
            </w:r>
          </w:p>
        </w:tc>
        <w:tc>
          <w:tcPr>
            <w:tcW w:w="3100" w:type="dxa"/>
            <w:tcMar>
              <w:top w:w="70" w:type="dxa"/>
              <w:left w:w="100" w:type="dxa"/>
              <w:bottom w:w="70" w:type="dxa"/>
              <w:right w:w="100" w:type="dxa"/>
            </w:tcMar>
            <w:vAlign w:val="center"/>
          </w:tcPr>
          <w:p w14:paraId="3CE3AE70" w14:textId="77777777" w:rsidR="002D25EA" w:rsidRDefault="002D25EA" w:rsidP="00D9409F">
            <w:r>
              <w:rPr>
                <w:sz w:val="18"/>
                <w:szCs w:val="18"/>
              </w:rPr>
              <w:t>Mutual TLS available where the market requires certificate-based trust; per-partner subscriptions and revocation</w:t>
            </w:r>
          </w:p>
        </w:tc>
        <w:tc>
          <w:tcPr>
            <w:tcW w:w="3100" w:type="dxa"/>
            <w:tcMar>
              <w:top w:w="70" w:type="dxa"/>
              <w:left w:w="100" w:type="dxa"/>
              <w:bottom w:w="70" w:type="dxa"/>
              <w:right w:w="100" w:type="dxa"/>
            </w:tcMar>
            <w:vAlign w:val="center"/>
          </w:tcPr>
          <w:p w14:paraId="05A7D9CE" w14:textId="77777777" w:rsidR="002D25EA" w:rsidRDefault="002D25EA" w:rsidP="00D9409F">
            <w:r>
              <w:rPr>
                <w:sz w:val="18"/>
                <w:szCs w:val="18"/>
              </w:rPr>
              <w:t>Confirm specific Lloyd's connectivity and certificate requirements per counterparty</w:t>
            </w:r>
          </w:p>
        </w:tc>
      </w:tr>
      <w:tr w:rsidR="002D25EA" w14:paraId="1E4EFF66" w14:textId="77777777" w:rsidTr="00D9409F">
        <w:tc>
          <w:tcPr>
            <w:tcW w:w="3100" w:type="dxa"/>
            <w:tcMar>
              <w:top w:w="70" w:type="dxa"/>
              <w:left w:w="100" w:type="dxa"/>
              <w:bottom w:w="70" w:type="dxa"/>
              <w:right w:w="100" w:type="dxa"/>
            </w:tcMar>
            <w:vAlign w:val="center"/>
          </w:tcPr>
          <w:p w14:paraId="33DF4203" w14:textId="77777777" w:rsidR="002D25EA" w:rsidRDefault="002D25EA" w:rsidP="00D9409F">
            <w:r>
              <w:rPr>
                <w:sz w:val="18"/>
                <w:szCs w:val="18"/>
              </w:rPr>
              <w:t>Operational resilience (PRA/FCA)</w:t>
            </w:r>
          </w:p>
        </w:tc>
        <w:tc>
          <w:tcPr>
            <w:tcW w:w="3100" w:type="dxa"/>
            <w:tcMar>
              <w:top w:w="70" w:type="dxa"/>
              <w:left w:w="100" w:type="dxa"/>
              <w:bottom w:w="70" w:type="dxa"/>
              <w:right w:w="100" w:type="dxa"/>
            </w:tcMar>
            <w:vAlign w:val="center"/>
          </w:tcPr>
          <w:p w14:paraId="16F441B0" w14:textId="77777777" w:rsidR="002D25EA" w:rsidRDefault="002D25EA" w:rsidP="00D9409F">
            <w:r>
              <w:rPr>
                <w:sz w:val="18"/>
                <w:szCs w:val="18"/>
              </w:rPr>
              <w:t>Zone-redundant HA and multi-region DR with stated RTO/RPO targets</w:t>
            </w:r>
          </w:p>
        </w:tc>
        <w:tc>
          <w:tcPr>
            <w:tcW w:w="3100" w:type="dxa"/>
            <w:tcMar>
              <w:top w:w="70" w:type="dxa"/>
              <w:left w:w="100" w:type="dxa"/>
              <w:bottom w:w="70" w:type="dxa"/>
              <w:right w:w="100" w:type="dxa"/>
            </w:tcMar>
            <w:vAlign w:val="center"/>
          </w:tcPr>
          <w:p w14:paraId="3388B330" w14:textId="77777777" w:rsidR="002D25EA" w:rsidRDefault="002D25EA" w:rsidP="00D9409F">
            <w:r>
              <w:rPr>
                <w:sz w:val="18"/>
                <w:szCs w:val="18"/>
              </w:rPr>
              <w:t>Agree RTO/RPO against the Organization’s operational-resilience impact tolerances</w:t>
            </w:r>
          </w:p>
        </w:tc>
      </w:tr>
    </w:tbl>
    <w:p w14:paraId="57A8A00E" w14:textId="77777777" w:rsidR="002D25EA" w:rsidRDefault="002D25EA" w:rsidP="002D25EA">
      <w:pPr>
        <w:spacing w:after="140"/>
      </w:pPr>
    </w:p>
    <w:p w14:paraId="7B11152B" w14:textId="77777777" w:rsidR="002D25EA" w:rsidRDefault="002D25EA" w:rsidP="002D25EA">
      <w:pPr>
        <w:spacing w:after="140"/>
      </w:pPr>
      <w:r>
        <w:t>The honest position is that compliance is the least the Organization-verified part of this HLD: the platform is designed to make these controls achievable, but none can be signed off without the Organization’s compliance and data-protection teams confirming the specifics. This is called out again in the assumptions register (section 17.7).</w:t>
      </w:r>
    </w:p>
    <w:p w14:paraId="59661BE3" w14:textId="77777777" w:rsidR="002D25EA" w:rsidRDefault="002D25EA" w:rsidP="002D25EA">
      <w:pPr>
        <w:spacing w:after="140"/>
      </w:pPr>
      <w:r>
        <w:t>For detailed design, the control set maps to Azure capabilities and the evidence each would produce, so that compliance can be demonstrated rather than asserted: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14:paraId="2D6DF606" w14:textId="77777777" w:rsidTr="00D9409F">
        <w:trPr>
          <w:tblHeader/>
        </w:trPr>
        <w:tc>
          <w:tcPr>
            <w:tcW w:w="2325" w:type="dxa"/>
            <w:shd w:val="clear" w:color="auto" w:fill="1E2761"/>
            <w:tcMar>
              <w:top w:w="70" w:type="dxa"/>
              <w:left w:w="100" w:type="dxa"/>
              <w:bottom w:w="70" w:type="dxa"/>
              <w:right w:w="100" w:type="dxa"/>
            </w:tcMar>
            <w:vAlign w:val="center"/>
          </w:tcPr>
          <w:p w14:paraId="3D48CAAD" w14:textId="77777777" w:rsidR="002D25EA" w:rsidRDefault="002D25EA" w:rsidP="00D9409F">
            <w:r>
              <w:rPr>
                <w:b/>
                <w:bCs/>
                <w:color w:val="FFFFFF"/>
                <w:sz w:val="18"/>
                <w:szCs w:val="18"/>
              </w:rPr>
              <w:t>Requirement</w:t>
            </w:r>
          </w:p>
        </w:tc>
        <w:tc>
          <w:tcPr>
            <w:tcW w:w="2325" w:type="dxa"/>
            <w:shd w:val="clear" w:color="auto" w:fill="1E2761"/>
            <w:tcMar>
              <w:top w:w="70" w:type="dxa"/>
              <w:left w:w="100" w:type="dxa"/>
              <w:bottom w:w="70" w:type="dxa"/>
              <w:right w:w="100" w:type="dxa"/>
            </w:tcMar>
            <w:vAlign w:val="center"/>
          </w:tcPr>
          <w:p w14:paraId="2C942850" w14:textId="77777777" w:rsidR="002D25EA" w:rsidRDefault="002D25EA" w:rsidP="00D9409F">
            <w:r>
              <w:rPr>
                <w:b/>
                <w:bCs/>
                <w:color w:val="FFFFFF"/>
                <w:sz w:val="18"/>
                <w:szCs w:val="18"/>
              </w:rPr>
              <w:t>Control</w:t>
            </w:r>
          </w:p>
        </w:tc>
        <w:tc>
          <w:tcPr>
            <w:tcW w:w="2325" w:type="dxa"/>
            <w:shd w:val="clear" w:color="auto" w:fill="1E2761"/>
            <w:tcMar>
              <w:top w:w="70" w:type="dxa"/>
              <w:left w:w="100" w:type="dxa"/>
              <w:bottom w:w="70" w:type="dxa"/>
              <w:right w:w="100" w:type="dxa"/>
            </w:tcMar>
            <w:vAlign w:val="center"/>
          </w:tcPr>
          <w:p w14:paraId="4ADB5A41" w14:textId="77777777" w:rsidR="002D25EA" w:rsidRDefault="002D25EA" w:rsidP="00D9409F">
            <w:r>
              <w:rPr>
                <w:b/>
                <w:bCs/>
                <w:color w:val="FFFFFF"/>
                <w:sz w:val="18"/>
                <w:szCs w:val="18"/>
              </w:rPr>
              <w:t>Azure capability</w:t>
            </w:r>
          </w:p>
        </w:tc>
        <w:tc>
          <w:tcPr>
            <w:tcW w:w="2325" w:type="dxa"/>
            <w:shd w:val="clear" w:color="auto" w:fill="1E2761"/>
            <w:tcMar>
              <w:top w:w="70" w:type="dxa"/>
              <w:left w:w="100" w:type="dxa"/>
              <w:bottom w:w="70" w:type="dxa"/>
              <w:right w:w="100" w:type="dxa"/>
            </w:tcMar>
            <w:vAlign w:val="center"/>
          </w:tcPr>
          <w:p w14:paraId="5C225D9B" w14:textId="77777777" w:rsidR="002D25EA" w:rsidRDefault="002D25EA" w:rsidP="00D9409F">
            <w:r>
              <w:rPr>
                <w:b/>
                <w:bCs/>
                <w:color w:val="FFFFFF"/>
                <w:sz w:val="18"/>
                <w:szCs w:val="18"/>
              </w:rPr>
              <w:t>Evidence</w:t>
            </w:r>
          </w:p>
        </w:tc>
      </w:tr>
      <w:tr w:rsidR="002D25EA" w14:paraId="6332C803" w14:textId="77777777" w:rsidTr="00D9409F">
        <w:tc>
          <w:tcPr>
            <w:tcW w:w="2325" w:type="dxa"/>
            <w:tcMar>
              <w:top w:w="70" w:type="dxa"/>
              <w:left w:w="100" w:type="dxa"/>
              <w:bottom w:w="70" w:type="dxa"/>
              <w:right w:w="100" w:type="dxa"/>
            </w:tcMar>
            <w:vAlign w:val="center"/>
          </w:tcPr>
          <w:p w14:paraId="6E84218A" w14:textId="77777777" w:rsidR="002D25EA" w:rsidRDefault="002D25EA" w:rsidP="00D9409F">
            <w:r>
              <w:rPr>
                <w:sz w:val="18"/>
                <w:szCs w:val="18"/>
              </w:rPr>
              <w:t>Data residency</w:t>
            </w:r>
          </w:p>
        </w:tc>
        <w:tc>
          <w:tcPr>
            <w:tcW w:w="2325" w:type="dxa"/>
            <w:tcMar>
              <w:top w:w="70" w:type="dxa"/>
              <w:left w:w="100" w:type="dxa"/>
              <w:bottom w:w="70" w:type="dxa"/>
              <w:right w:w="100" w:type="dxa"/>
            </w:tcMar>
            <w:vAlign w:val="center"/>
          </w:tcPr>
          <w:p w14:paraId="5E079169" w14:textId="77777777" w:rsidR="002D25EA" w:rsidRDefault="002D25EA" w:rsidP="00D9409F">
            <w:r>
              <w:rPr>
                <w:sz w:val="18"/>
                <w:szCs w:val="18"/>
              </w:rPr>
              <w:t>Approved-region policy</w:t>
            </w:r>
          </w:p>
        </w:tc>
        <w:tc>
          <w:tcPr>
            <w:tcW w:w="2325" w:type="dxa"/>
            <w:tcMar>
              <w:top w:w="70" w:type="dxa"/>
              <w:left w:w="100" w:type="dxa"/>
              <w:bottom w:w="70" w:type="dxa"/>
              <w:right w:w="100" w:type="dxa"/>
            </w:tcMar>
            <w:vAlign w:val="center"/>
          </w:tcPr>
          <w:p w14:paraId="636240BC" w14:textId="77777777" w:rsidR="002D25EA" w:rsidRDefault="002D25EA" w:rsidP="00D9409F">
            <w:r>
              <w:rPr>
                <w:sz w:val="18"/>
                <w:szCs w:val="18"/>
              </w:rPr>
              <w:t>Azure Policy, UK regions</w:t>
            </w:r>
          </w:p>
        </w:tc>
        <w:tc>
          <w:tcPr>
            <w:tcW w:w="2325" w:type="dxa"/>
            <w:tcMar>
              <w:top w:w="70" w:type="dxa"/>
              <w:left w:w="100" w:type="dxa"/>
              <w:bottom w:w="70" w:type="dxa"/>
              <w:right w:w="100" w:type="dxa"/>
            </w:tcMar>
            <w:vAlign w:val="center"/>
          </w:tcPr>
          <w:p w14:paraId="4B5A5319" w14:textId="77777777" w:rsidR="002D25EA" w:rsidRDefault="002D25EA" w:rsidP="00D9409F">
            <w:r>
              <w:rPr>
                <w:sz w:val="18"/>
                <w:szCs w:val="18"/>
              </w:rPr>
              <w:t>Policy compliance report</w:t>
            </w:r>
          </w:p>
        </w:tc>
      </w:tr>
      <w:tr w:rsidR="002D25EA" w14:paraId="61D54363" w14:textId="77777777" w:rsidTr="00D9409F">
        <w:tc>
          <w:tcPr>
            <w:tcW w:w="2325" w:type="dxa"/>
            <w:tcMar>
              <w:top w:w="70" w:type="dxa"/>
              <w:left w:w="100" w:type="dxa"/>
              <w:bottom w:w="70" w:type="dxa"/>
              <w:right w:w="100" w:type="dxa"/>
            </w:tcMar>
            <w:vAlign w:val="center"/>
          </w:tcPr>
          <w:p w14:paraId="2E300471" w14:textId="77777777" w:rsidR="002D25EA" w:rsidRDefault="002D25EA" w:rsidP="00D9409F">
            <w:r>
              <w:rPr>
                <w:sz w:val="18"/>
                <w:szCs w:val="18"/>
              </w:rPr>
              <w:t>API authentication</w:t>
            </w:r>
          </w:p>
        </w:tc>
        <w:tc>
          <w:tcPr>
            <w:tcW w:w="2325" w:type="dxa"/>
            <w:tcMar>
              <w:top w:w="70" w:type="dxa"/>
              <w:left w:w="100" w:type="dxa"/>
              <w:bottom w:w="70" w:type="dxa"/>
              <w:right w:w="100" w:type="dxa"/>
            </w:tcMar>
            <w:vAlign w:val="center"/>
          </w:tcPr>
          <w:p w14:paraId="0327255E" w14:textId="77777777" w:rsidR="002D25EA" w:rsidRDefault="002D25EA" w:rsidP="00D9409F">
            <w:r>
              <w:rPr>
                <w:sz w:val="18"/>
                <w:szCs w:val="18"/>
              </w:rPr>
              <w:t>Strong authentication</w:t>
            </w:r>
          </w:p>
        </w:tc>
        <w:tc>
          <w:tcPr>
            <w:tcW w:w="2325" w:type="dxa"/>
            <w:tcMar>
              <w:top w:w="70" w:type="dxa"/>
              <w:left w:w="100" w:type="dxa"/>
              <w:bottom w:w="70" w:type="dxa"/>
              <w:right w:w="100" w:type="dxa"/>
            </w:tcMar>
            <w:vAlign w:val="center"/>
          </w:tcPr>
          <w:p w14:paraId="0FD1311D" w14:textId="77777777" w:rsidR="002D25EA" w:rsidRDefault="002D25EA" w:rsidP="00D9409F">
            <w:r>
              <w:rPr>
                <w:sz w:val="18"/>
                <w:szCs w:val="18"/>
              </w:rPr>
              <w:t>Entra ID, OAuth 2.0</w:t>
            </w:r>
          </w:p>
        </w:tc>
        <w:tc>
          <w:tcPr>
            <w:tcW w:w="2325" w:type="dxa"/>
            <w:tcMar>
              <w:top w:w="70" w:type="dxa"/>
              <w:left w:w="100" w:type="dxa"/>
              <w:bottom w:w="70" w:type="dxa"/>
              <w:right w:w="100" w:type="dxa"/>
            </w:tcMar>
            <w:vAlign w:val="center"/>
          </w:tcPr>
          <w:p w14:paraId="6755CE39" w14:textId="77777777" w:rsidR="002D25EA" w:rsidRDefault="002D25EA" w:rsidP="00D9409F">
            <w:r>
              <w:rPr>
                <w:sz w:val="18"/>
                <w:szCs w:val="18"/>
              </w:rPr>
              <w:t>App registration and token config</w:t>
            </w:r>
          </w:p>
        </w:tc>
      </w:tr>
      <w:tr w:rsidR="002D25EA" w14:paraId="3D0CCF93" w14:textId="77777777" w:rsidTr="00D9409F">
        <w:tc>
          <w:tcPr>
            <w:tcW w:w="2325" w:type="dxa"/>
            <w:tcMar>
              <w:top w:w="70" w:type="dxa"/>
              <w:left w:w="100" w:type="dxa"/>
              <w:bottom w:w="70" w:type="dxa"/>
              <w:right w:w="100" w:type="dxa"/>
            </w:tcMar>
            <w:vAlign w:val="center"/>
          </w:tcPr>
          <w:p w14:paraId="4D870F45" w14:textId="77777777" w:rsidR="002D25EA" w:rsidRDefault="002D25EA" w:rsidP="00D9409F">
            <w:r>
              <w:rPr>
                <w:sz w:val="18"/>
                <w:szCs w:val="18"/>
              </w:rPr>
              <w:t>Audit trail</w:t>
            </w:r>
          </w:p>
        </w:tc>
        <w:tc>
          <w:tcPr>
            <w:tcW w:w="2325" w:type="dxa"/>
            <w:tcMar>
              <w:top w:w="70" w:type="dxa"/>
              <w:left w:w="100" w:type="dxa"/>
              <w:bottom w:w="70" w:type="dxa"/>
              <w:right w:w="100" w:type="dxa"/>
            </w:tcMar>
            <w:vAlign w:val="center"/>
          </w:tcPr>
          <w:p w14:paraId="5161AFE5" w14:textId="77777777" w:rsidR="002D25EA" w:rsidRDefault="002D25EA" w:rsidP="00D9409F">
            <w:r>
              <w:rPr>
                <w:sz w:val="18"/>
                <w:szCs w:val="18"/>
              </w:rPr>
              <w:t>Full request logging</w:t>
            </w:r>
          </w:p>
        </w:tc>
        <w:tc>
          <w:tcPr>
            <w:tcW w:w="2325" w:type="dxa"/>
            <w:tcMar>
              <w:top w:w="70" w:type="dxa"/>
              <w:left w:w="100" w:type="dxa"/>
              <w:bottom w:w="70" w:type="dxa"/>
              <w:right w:w="100" w:type="dxa"/>
            </w:tcMar>
            <w:vAlign w:val="center"/>
          </w:tcPr>
          <w:p w14:paraId="2BA5B843" w14:textId="77777777" w:rsidR="002D25EA" w:rsidRDefault="002D25EA" w:rsidP="00D9409F">
            <w:r>
              <w:rPr>
                <w:sz w:val="18"/>
                <w:szCs w:val="18"/>
              </w:rPr>
              <w:t>APIM diagnostics, Log Analytics</w:t>
            </w:r>
          </w:p>
        </w:tc>
        <w:tc>
          <w:tcPr>
            <w:tcW w:w="2325" w:type="dxa"/>
            <w:tcMar>
              <w:top w:w="70" w:type="dxa"/>
              <w:left w:w="100" w:type="dxa"/>
              <w:bottom w:w="70" w:type="dxa"/>
              <w:right w:w="100" w:type="dxa"/>
            </w:tcMar>
            <w:vAlign w:val="center"/>
          </w:tcPr>
          <w:p w14:paraId="0F9AB48A" w14:textId="77777777" w:rsidR="002D25EA" w:rsidRDefault="002D25EA" w:rsidP="00D9409F">
            <w:r>
              <w:rPr>
                <w:sz w:val="18"/>
                <w:szCs w:val="18"/>
              </w:rPr>
              <w:t>Log query evidence</w:t>
            </w:r>
          </w:p>
        </w:tc>
      </w:tr>
      <w:tr w:rsidR="002D25EA" w14:paraId="4C7918DA" w14:textId="77777777" w:rsidTr="00D9409F">
        <w:tc>
          <w:tcPr>
            <w:tcW w:w="2325" w:type="dxa"/>
            <w:tcMar>
              <w:top w:w="70" w:type="dxa"/>
              <w:left w:w="100" w:type="dxa"/>
              <w:bottom w:w="70" w:type="dxa"/>
              <w:right w:w="100" w:type="dxa"/>
            </w:tcMar>
            <w:vAlign w:val="center"/>
          </w:tcPr>
          <w:p w14:paraId="2F841225" w14:textId="77777777" w:rsidR="002D25EA" w:rsidRDefault="002D25EA" w:rsidP="00D9409F">
            <w:r>
              <w:rPr>
                <w:sz w:val="18"/>
                <w:szCs w:val="18"/>
              </w:rPr>
              <w:t>Security monitoring</w:t>
            </w:r>
          </w:p>
        </w:tc>
        <w:tc>
          <w:tcPr>
            <w:tcW w:w="2325" w:type="dxa"/>
            <w:tcMar>
              <w:top w:w="70" w:type="dxa"/>
              <w:left w:w="100" w:type="dxa"/>
              <w:bottom w:w="70" w:type="dxa"/>
              <w:right w:w="100" w:type="dxa"/>
            </w:tcMar>
            <w:vAlign w:val="center"/>
          </w:tcPr>
          <w:p w14:paraId="78B8E3D0" w14:textId="77777777" w:rsidR="002D25EA" w:rsidRDefault="002D25EA" w:rsidP="00D9409F">
            <w:r>
              <w:rPr>
                <w:sz w:val="18"/>
                <w:szCs w:val="18"/>
              </w:rPr>
              <w:t>Detection and alerting</w:t>
            </w:r>
          </w:p>
        </w:tc>
        <w:tc>
          <w:tcPr>
            <w:tcW w:w="2325" w:type="dxa"/>
            <w:tcMar>
              <w:top w:w="70" w:type="dxa"/>
              <w:left w:w="100" w:type="dxa"/>
              <w:bottom w:w="70" w:type="dxa"/>
              <w:right w:w="100" w:type="dxa"/>
            </w:tcMar>
            <w:vAlign w:val="center"/>
          </w:tcPr>
          <w:p w14:paraId="6808A29D" w14:textId="77777777" w:rsidR="002D25EA" w:rsidRDefault="002D25EA" w:rsidP="00D9409F">
            <w:r>
              <w:rPr>
                <w:sz w:val="18"/>
                <w:szCs w:val="18"/>
              </w:rPr>
              <w:t>the Organization’s SIEM</w:t>
            </w:r>
          </w:p>
        </w:tc>
        <w:tc>
          <w:tcPr>
            <w:tcW w:w="2325" w:type="dxa"/>
            <w:tcMar>
              <w:top w:w="70" w:type="dxa"/>
              <w:left w:w="100" w:type="dxa"/>
              <w:bottom w:w="70" w:type="dxa"/>
              <w:right w:w="100" w:type="dxa"/>
            </w:tcMar>
            <w:vAlign w:val="center"/>
          </w:tcPr>
          <w:p w14:paraId="2E534B36" w14:textId="77777777" w:rsidR="002D25EA" w:rsidRDefault="002D25EA" w:rsidP="00D9409F">
            <w:r>
              <w:rPr>
                <w:sz w:val="18"/>
                <w:szCs w:val="18"/>
              </w:rPr>
              <w:t>Alert and incident records</w:t>
            </w:r>
          </w:p>
        </w:tc>
      </w:tr>
      <w:tr w:rsidR="002D25EA" w14:paraId="37D569CB" w14:textId="77777777" w:rsidTr="00D9409F">
        <w:tc>
          <w:tcPr>
            <w:tcW w:w="2325" w:type="dxa"/>
            <w:tcMar>
              <w:top w:w="70" w:type="dxa"/>
              <w:left w:w="100" w:type="dxa"/>
              <w:bottom w:w="70" w:type="dxa"/>
              <w:right w:w="100" w:type="dxa"/>
            </w:tcMar>
            <w:vAlign w:val="center"/>
          </w:tcPr>
          <w:p w14:paraId="5CBB52E9" w14:textId="77777777" w:rsidR="002D25EA" w:rsidRDefault="002D25EA" w:rsidP="00D9409F">
            <w:r>
              <w:rPr>
                <w:sz w:val="18"/>
                <w:szCs w:val="18"/>
              </w:rPr>
              <w:t>Access control</w:t>
            </w:r>
          </w:p>
        </w:tc>
        <w:tc>
          <w:tcPr>
            <w:tcW w:w="2325" w:type="dxa"/>
            <w:tcMar>
              <w:top w:w="70" w:type="dxa"/>
              <w:left w:w="100" w:type="dxa"/>
              <w:bottom w:w="70" w:type="dxa"/>
              <w:right w:w="100" w:type="dxa"/>
            </w:tcMar>
            <w:vAlign w:val="center"/>
          </w:tcPr>
          <w:p w14:paraId="1968AE2E" w14:textId="77777777" w:rsidR="002D25EA" w:rsidRDefault="002D25EA" w:rsidP="00D9409F">
            <w:r>
              <w:rPr>
                <w:sz w:val="18"/>
                <w:szCs w:val="18"/>
              </w:rPr>
              <w:t>Least privilege</w:t>
            </w:r>
          </w:p>
        </w:tc>
        <w:tc>
          <w:tcPr>
            <w:tcW w:w="2325" w:type="dxa"/>
            <w:tcMar>
              <w:top w:w="70" w:type="dxa"/>
              <w:left w:w="100" w:type="dxa"/>
              <w:bottom w:w="70" w:type="dxa"/>
              <w:right w:w="100" w:type="dxa"/>
            </w:tcMar>
            <w:vAlign w:val="center"/>
          </w:tcPr>
          <w:p w14:paraId="5FEEE603" w14:textId="77777777" w:rsidR="002D25EA" w:rsidRDefault="002D25EA" w:rsidP="00D9409F">
            <w:r>
              <w:rPr>
                <w:sz w:val="18"/>
                <w:szCs w:val="18"/>
              </w:rPr>
              <w:t>RBAC, Managed Identity</w:t>
            </w:r>
          </w:p>
        </w:tc>
        <w:tc>
          <w:tcPr>
            <w:tcW w:w="2325" w:type="dxa"/>
            <w:tcMar>
              <w:top w:w="70" w:type="dxa"/>
              <w:left w:w="100" w:type="dxa"/>
              <w:bottom w:w="70" w:type="dxa"/>
              <w:right w:w="100" w:type="dxa"/>
            </w:tcMar>
            <w:vAlign w:val="center"/>
          </w:tcPr>
          <w:p w14:paraId="6AFAEFFB" w14:textId="77777777" w:rsidR="002D25EA" w:rsidRDefault="002D25EA" w:rsidP="00D9409F">
            <w:r>
              <w:rPr>
                <w:sz w:val="18"/>
                <w:szCs w:val="18"/>
              </w:rPr>
              <w:t>RBAC assignment export</w:t>
            </w:r>
          </w:p>
        </w:tc>
      </w:tr>
      <w:tr w:rsidR="002D25EA" w14:paraId="76418C42" w14:textId="77777777" w:rsidTr="00D9409F">
        <w:tc>
          <w:tcPr>
            <w:tcW w:w="2325" w:type="dxa"/>
            <w:tcMar>
              <w:top w:w="70" w:type="dxa"/>
              <w:left w:w="100" w:type="dxa"/>
              <w:bottom w:w="70" w:type="dxa"/>
              <w:right w:w="100" w:type="dxa"/>
            </w:tcMar>
            <w:vAlign w:val="center"/>
          </w:tcPr>
          <w:p w14:paraId="11486318" w14:textId="77777777" w:rsidR="002D25EA" w:rsidRDefault="002D25EA" w:rsidP="00D9409F">
            <w:r>
              <w:rPr>
                <w:sz w:val="18"/>
                <w:szCs w:val="18"/>
              </w:rPr>
              <w:t>Network isolation</w:t>
            </w:r>
          </w:p>
        </w:tc>
        <w:tc>
          <w:tcPr>
            <w:tcW w:w="2325" w:type="dxa"/>
            <w:tcMar>
              <w:top w:w="70" w:type="dxa"/>
              <w:left w:w="100" w:type="dxa"/>
              <w:bottom w:w="70" w:type="dxa"/>
              <w:right w:w="100" w:type="dxa"/>
            </w:tcMar>
            <w:vAlign w:val="center"/>
          </w:tcPr>
          <w:p w14:paraId="210E5B19" w14:textId="77777777" w:rsidR="002D25EA" w:rsidRDefault="002D25EA" w:rsidP="00D9409F">
            <w:r>
              <w:rPr>
                <w:sz w:val="18"/>
                <w:szCs w:val="18"/>
              </w:rPr>
              <w:t>Private access only</w:t>
            </w:r>
          </w:p>
        </w:tc>
        <w:tc>
          <w:tcPr>
            <w:tcW w:w="2325" w:type="dxa"/>
            <w:tcMar>
              <w:top w:w="70" w:type="dxa"/>
              <w:left w:w="100" w:type="dxa"/>
              <w:bottom w:w="70" w:type="dxa"/>
              <w:right w:w="100" w:type="dxa"/>
            </w:tcMar>
            <w:vAlign w:val="center"/>
          </w:tcPr>
          <w:p w14:paraId="3EC99D95" w14:textId="77777777" w:rsidR="002D25EA" w:rsidRDefault="002D25EA" w:rsidP="00D9409F">
            <w:r>
              <w:rPr>
                <w:sz w:val="18"/>
                <w:szCs w:val="18"/>
              </w:rPr>
              <w:t>Private Endpoint, NSG, Firewall</w:t>
            </w:r>
          </w:p>
        </w:tc>
        <w:tc>
          <w:tcPr>
            <w:tcW w:w="2325" w:type="dxa"/>
            <w:tcMar>
              <w:top w:w="70" w:type="dxa"/>
              <w:left w:w="100" w:type="dxa"/>
              <w:bottom w:w="70" w:type="dxa"/>
              <w:right w:w="100" w:type="dxa"/>
            </w:tcMar>
            <w:vAlign w:val="center"/>
          </w:tcPr>
          <w:p w14:paraId="57AF2C41" w14:textId="77777777" w:rsidR="002D25EA" w:rsidRDefault="002D25EA" w:rsidP="00D9409F">
            <w:r>
              <w:rPr>
                <w:sz w:val="18"/>
                <w:szCs w:val="18"/>
              </w:rPr>
              <w:t>Network config evidence</w:t>
            </w:r>
          </w:p>
        </w:tc>
      </w:tr>
      <w:tr w:rsidR="002D25EA" w14:paraId="0D7230C9" w14:textId="77777777" w:rsidTr="00D9409F">
        <w:tc>
          <w:tcPr>
            <w:tcW w:w="2325" w:type="dxa"/>
            <w:tcMar>
              <w:top w:w="70" w:type="dxa"/>
              <w:left w:w="100" w:type="dxa"/>
              <w:bottom w:w="70" w:type="dxa"/>
              <w:right w:w="100" w:type="dxa"/>
            </w:tcMar>
            <w:vAlign w:val="center"/>
          </w:tcPr>
          <w:p w14:paraId="4BAEA73A" w14:textId="77777777" w:rsidR="002D25EA" w:rsidRDefault="002D25EA" w:rsidP="00D9409F">
            <w:r>
              <w:rPr>
                <w:sz w:val="18"/>
                <w:szCs w:val="18"/>
              </w:rPr>
              <w:t>Availability</w:t>
            </w:r>
          </w:p>
        </w:tc>
        <w:tc>
          <w:tcPr>
            <w:tcW w:w="2325" w:type="dxa"/>
            <w:tcMar>
              <w:top w:w="70" w:type="dxa"/>
              <w:left w:w="100" w:type="dxa"/>
              <w:bottom w:w="70" w:type="dxa"/>
              <w:right w:w="100" w:type="dxa"/>
            </w:tcMar>
            <w:vAlign w:val="center"/>
          </w:tcPr>
          <w:p w14:paraId="0652419A" w14:textId="77777777" w:rsidR="002D25EA" w:rsidRDefault="002D25EA" w:rsidP="00D9409F">
            <w:r>
              <w:rPr>
                <w:sz w:val="18"/>
                <w:szCs w:val="18"/>
              </w:rPr>
              <w:t>Resilience</w:t>
            </w:r>
          </w:p>
        </w:tc>
        <w:tc>
          <w:tcPr>
            <w:tcW w:w="2325" w:type="dxa"/>
            <w:tcMar>
              <w:top w:w="70" w:type="dxa"/>
              <w:left w:w="100" w:type="dxa"/>
              <w:bottom w:w="70" w:type="dxa"/>
              <w:right w:w="100" w:type="dxa"/>
            </w:tcMar>
            <w:vAlign w:val="center"/>
          </w:tcPr>
          <w:p w14:paraId="1CAB6925" w14:textId="77777777" w:rsidR="002D25EA" w:rsidRDefault="002D25EA" w:rsidP="00D9409F">
            <w:r>
              <w:rPr>
                <w:sz w:val="18"/>
                <w:szCs w:val="18"/>
              </w:rPr>
              <w:t>Availability Zones, multi-region</w:t>
            </w:r>
          </w:p>
        </w:tc>
        <w:tc>
          <w:tcPr>
            <w:tcW w:w="2325" w:type="dxa"/>
            <w:tcMar>
              <w:top w:w="70" w:type="dxa"/>
              <w:left w:w="100" w:type="dxa"/>
              <w:bottom w:w="70" w:type="dxa"/>
              <w:right w:w="100" w:type="dxa"/>
            </w:tcMar>
            <w:vAlign w:val="center"/>
          </w:tcPr>
          <w:p w14:paraId="76ED6CC1" w14:textId="77777777" w:rsidR="002D25EA" w:rsidRDefault="002D25EA" w:rsidP="00D9409F">
            <w:r>
              <w:rPr>
                <w:sz w:val="18"/>
                <w:szCs w:val="18"/>
              </w:rPr>
              <w:t>DR test results</w:t>
            </w:r>
          </w:p>
        </w:tc>
      </w:tr>
    </w:tbl>
    <w:p w14:paraId="70C64E7B" w14:textId="77777777" w:rsidR="002D25EA" w:rsidRDefault="002D25EA" w:rsidP="002D25EA">
      <w:pPr>
        <w:spacing w:after="140"/>
      </w:pPr>
    </w:p>
    <w:p w14:paraId="02BDBF1F"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4" w:name="_Toc240539748"/>
      <w:r>
        <w:rPr>
          <w:rFonts w:asciiTheme="minorHAnsi" w:eastAsia="Times New Roman" w:hAnsiTheme="minorHAnsi" w:cs="Times New Roman"/>
          <w:b w:val="0"/>
          <w:color w:val="132040" w:themeColor="accent1" w:themeShade="BF"/>
          <w:sz w:val="24"/>
          <w:szCs w:val="26"/>
          <w:lang w:eastAsia="en-US"/>
        </w:rPr>
        <w:t>API Product, Consumer and Developer Portal Model</w:t>
      </w:r>
      <w:bookmarkEnd w:id="24"/>
    </w:p>
    <w:p w14:paraId="4459B43F" w14:textId="77777777" w:rsidR="002D25EA" w:rsidRDefault="002D25EA" w:rsidP="002D25EA">
      <w:pPr>
        <w:spacing w:after="140"/>
      </w:pPr>
      <w:r>
        <w:t>Once APIM is live, the Organization needs a way for different teams to manage their own APIs without stepping on each other, while the platform team keeps one place to see and control everything. Workspaces, products, subscriptions, and groups fit together like a filing cabinet: workspaces are the drawers, products are the folders, subscriptions are the individual keys handed out, and Entra ID groups decide who can open which drawer.</w:t>
      </w:r>
    </w:p>
    <w:p w14:paraId="4064A044" w14:textId="77777777" w:rsidR="002D25EA" w:rsidRPr="00614651" w:rsidRDefault="002D25EA" w:rsidP="00614651">
      <w:pPr>
        <w:rPr>
          <w:b/>
          <w:bCs/>
        </w:rPr>
      </w:pPr>
      <w:r>
        <w:rPr>
          <w:b/>
          <w:bCs/>
        </w:rPr>
        <w:t>Choosing each layer: a clear strategy for Products, Consumers and the Portal</w:t>
      </w:r>
    </w:p>
    <w:p>
      <w:pPr>
        <w:spacing w:after="120" w:before="120"/>
        <w:jc w:val="center"/>
      </w:pPr>
      <w:r>
        <w:drawing>
          <wp:inline distT="0" distB="0" distL="0" distR="0">
            <wp:extent cx="5486400" cy="3414080"/>
            <wp:effectExtent l="0" t="0" r="0" b="0"/>
            <wp:docPr id="9403" name="Enhanced ac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2"/>
                    <a:srcRect/>
                    <a:stretch>
                      <a:fillRect/>
                    </a:stretch>
                  </pic:blipFill>
                  <pic:spPr bwMode="auto">
                    <a:xfrm>
                      <a:off x="0" y="0"/>
                      <a:ext cx="5486400" cy="3414080"/>
                    </a:xfrm>
                    <a:prstGeom prst="rect">
                      <a:avLst/>
                    </a:prstGeom>
                  </pic:spPr>
                </pic:pic>
              </a:graphicData>
            </a:graphic>
          </wp:inline>
        </w:drawing>
      </w:r>
    </w:p>
    <w:p>
      <w:pPr>
        <w:spacing w:after="180"/>
        <w:jc w:val="center"/>
      </w:pPr>
      <w:r>
        <w:rPr>
          <w:i/>
          <w:iCs/>
          <w:color w:val="666666"/>
          <w:sz w:val="18"/>
          <w:szCs w:val="18"/>
        </w:rPr>
        <w:t>Figure 18b: The access model, the core chain plus what each construct controls, including Groups and Tags</w:t>
      </w:r>
    </w:p>
    <w:p w14:paraId="335E8E6E" w14:textId="77777777" w:rsidR="002D25EA" w:rsidRDefault="002D25EA" w:rsidP="002D25EA">
      <w:pPr>
        <w:spacing w:after="140"/>
      </w:pPr>
      <w:r>
        <w:t>In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2D25EA" w14:paraId="084B41D5" w14:textId="77777777" w:rsidTr="00D9409F">
        <w:trPr>
          <w:tblHeader/>
        </w:trPr>
        <w:tc>
          <w:tcPr>
            <w:tcW w:w="2000" w:type="dxa"/>
            <w:shd w:val="clear" w:color="auto" w:fill="1E2761"/>
            <w:tcMar>
              <w:top w:w="70" w:type="dxa"/>
              <w:left w:w="100" w:type="dxa"/>
              <w:bottom w:w="70" w:type="dxa"/>
              <w:right w:w="100" w:type="dxa"/>
            </w:tcMar>
          </w:tcPr>
          <w:p w14:paraId="4D8AE714" w14:textId="77777777" w:rsidR="002D25EA" w:rsidRDefault="002D25EA" w:rsidP="00D9409F">
            <w:r>
              <w:rPr>
                <w:b/>
                <w:bCs/>
                <w:color w:val="FFFFFF"/>
                <w:sz w:val="18"/>
                <w:szCs w:val="18"/>
              </w:rPr>
              <w:t>Layer</w:t>
            </w:r>
          </w:p>
        </w:tc>
        <w:tc>
          <w:tcPr>
            <w:tcW w:w="3400" w:type="dxa"/>
            <w:shd w:val="clear" w:color="auto" w:fill="1E2761"/>
            <w:tcMar>
              <w:top w:w="70" w:type="dxa"/>
              <w:left w:w="100" w:type="dxa"/>
              <w:bottom w:w="70" w:type="dxa"/>
              <w:right w:w="100" w:type="dxa"/>
            </w:tcMar>
          </w:tcPr>
          <w:p w14:paraId="64CFD14A" w14:textId="77777777" w:rsidR="002D25EA" w:rsidRDefault="002D25EA" w:rsidP="00D9409F">
            <w:r>
              <w:rPr>
                <w:b/>
                <w:bCs/>
                <w:color w:val="FFFFFF"/>
                <w:sz w:val="18"/>
                <w:szCs w:val="18"/>
              </w:rPr>
              <w:t>The question it answers</w:t>
            </w:r>
          </w:p>
        </w:tc>
        <w:tc>
          <w:tcPr>
            <w:tcW w:w="3900" w:type="dxa"/>
            <w:shd w:val="clear" w:color="auto" w:fill="1E2761"/>
            <w:tcMar>
              <w:top w:w="70" w:type="dxa"/>
              <w:left w:w="100" w:type="dxa"/>
              <w:bottom w:w="70" w:type="dxa"/>
              <w:right w:w="100" w:type="dxa"/>
            </w:tcMar>
          </w:tcPr>
          <w:p w14:paraId="139CFAB9" w14:textId="77777777" w:rsidR="002D25EA" w:rsidRDefault="002D25EA" w:rsidP="00D9409F">
            <w:r>
              <w:rPr>
                <w:b/>
                <w:bCs/>
                <w:color w:val="FFFFFF"/>
                <w:sz w:val="18"/>
                <w:szCs w:val="18"/>
              </w:rPr>
              <w:t>The strategy</w:t>
            </w:r>
          </w:p>
        </w:tc>
      </w:tr>
      <w:tr w:rsidR="002D25EA" w14:paraId="57BE3A11" w14:textId="77777777" w:rsidTr="00D9409F">
        <w:tc>
          <w:tcPr>
            <w:tcW w:w="2000" w:type="dxa"/>
            <w:tcMar>
              <w:top w:w="70" w:type="dxa"/>
              <w:left w:w="100" w:type="dxa"/>
              <w:bottom w:w="70" w:type="dxa"/>
              <w:right w:w="100" w:type="dxa"/>
            </w:tcMar>
          </w:tcPr>
          <w:p w14:paraId="4A294BD0" w14:textId="77777777" w:rsidR="002D25EA" w:rsidRDefault="002D25EA" w:rsidP="00D9409F">
            <w:r>
              <w:rPr>
                <w:sz w:val="18"/>
                <w:szCs w:val="18"/>
              </w:rPr>
              <w:t>Product</w:t>
            </w:r>
          </w:p>
        </w:tc>
        <w:tc>
          <w:tcPr>
            <w:tcW w:w="3400" w:type="dxa"/>
            <w:tcMar>
              <w:top w:w="70" w:type="dxa"/>
              <w:left w:w="100" w:type="dxa"/>
              <w:bottom w:w="70" w:type="dxa"/>
              <w:right w:w="100" w:type="dxa"/>
            </w:tcMar>
          </w:tcPr>
          <w:p w14:paraId="2D4E56AF" w14:textId="77777777" w:rsidR="002D25EA" w:rsidRDefault="002D25EA" w:rsidP="00D9409F">
            <w:r>
              <w:rPr>
                <w:sz w:val="18"/>
                <w:szCs w:val="18"/>
              </w:rPr>
              <w:t>“Which APIs does this consumer class get, and under what rules?”</w:t>
            </w:r>
          </w:p>
        </w:tc>
        <w:tc>
          <w:tcPr>
            <w:tcW w:w="3900" w:type="dxa"/>
            <w:tcMar>
              <w:top w:w="70" w:type="dxa"/>
              <w:left w:w="100" w:type="dxa"/>
              <w:bottom w:w="70" w:type="dxa"/>
              <w:right w:w="100" w:type="dxa"/>
            </w:tcMar>
          </w:tcPr>
          <w:p w14:paraId="31605589" w14:textId="77777777" w:rsidR="002D25EA" w:rsidRDefault="002D25EA" w:rsidP="00D9409F">
            <w:r>
              <w:rPr>
                <w:sz w:val="18"/>
                <w:szCs w:val="18"/>
              </w:rPr>
              <w:t>One product per consumer class; APIs bundled into it; policy, quota and approval set at product scope</w:t>
            </w:r>
          </w:p>
        </w:tc>
      </w:tr>
      <w:tr w:rsidR="002D25EA" w14:paraId="1D558BFE" w14:textId="77777777" w:rsidTr="00D9409F">
        <w:tc>
          <w:tcPr>
            <w:tcW w:w="2000" w:type="dxa"/>
            <w:tcMar>
              <w:top w:w="70" w:type="dxa"/>
              <w:left w:w="100" w:type="dxa"/>
              <w:bottom w:w="70" w:type="dxa"/>
              <w:right w:w="100" w:type="dxa"/>
            </w:tcMar>
          </w:tcPr>
          <w:p w14:paraId="37C67B16" w14:textId="77777777" w:rsidR="002D25EA" w:rsidRDefault="002D25EA" w:rsidP="00D9409F">
            <w:r>
              <w:rPr>
                <w:sz w:val="18"/>
                <w:szCs w:val="18"/>
              </w:rPr>
              <w:t>Consumer / subscription</w:t>
            </w:r>
          </w:p>
        </w:tc>
        <w:tc>
          <w:tcPr>
            <w:tcW w:w="3400" w:type="dxa"/>
            <w:tcMar>
              <w:top w:w="70" w:type="dxa"/>
              <w:left w:w="100" w:type="dxa"/>
              <w:bottom w:w="70" w:type="dxa"/>
              <w:right w:w="100" w:type="dxa"/>
            </w:tcMar>
          </w:tcPr>
          <w:p w14:paraId="546CDDD2" w14:textId="77777777" w:rsidR="002D25EA" w:rsidRDefault="002D25EA" w:rsidP="00D9409F">
            <w:r>
              <w:rPr>
                <w:sz w:val="18"/>
                <w:szCs w:val="18"/>
              </w:rPr>
              <w:t>“Who is calling, and how is access granted and revoked?”</w:t>
            </w:r>
          </w:p>
        </w:tc>
        <w:tc>
          <w:tcPr>
            <w:tcW w:w="3900" w:type="dxa"/>
            <w:tcMar>
              <w:top w:w="70" w:type="dxa"/>
              <w:left w:w="100" w:type="dxa"/>
              <w:bottom w:w="70" w:type="dxa"/>
              <w:right w:w="100" w:type="dxa"/>
            </w:tcMar>
          </w:tcPr>
          <w:p w14:paraId="6F86B187" w14:textId="77777777" w:rsidR="002D25EA" w:rsidRDefault="002D25EA" w:rsidP="00D9409F">
            <w:r>
              <w:rPr>
                <w:sz w:val="18"/>
                <w:szCs w:val="18"/>
              </w:rPr>
              <w:t>Entra ID group per organisation/team; one subscription per application; no local APIM users</w:t>
            </w:r>
          </w:p>
        </w:tc>
      </w:tr>
      <w:tr w:rsidR="002D25EA" w14:paraId="5B1043DC" w14:textId="77777777" w:rsidTr="00D9409F">
        <w:tc>
          <w:tcPr>
            <w:tcW w:w="2000" w:type="dxa"/>
            <w:tcMar>
              <w:top w:w="70" w:type="dxa"/>
              <w:left w:w="100" w:type="dxa"/>
              <w:bottom w:w="70" w:type="dxa"/>
              <w:right w:w="100" w:type="dxa"/>
            </w:tcMar>
          </w:tcPr>
          <w:p w14:paraId="75E8642A" w14:textId="77777777" w:rsidR="002D25EA" w:rsidRDefault="002D25EA" w:rsidP="00D9409F">
            <w:r>
              <w:rPr>
                <w:sz w:val="18"/>
                <w:szCs w:val="18"/>
              </w:rPr>
              <w:t>Developer portal</w:t>
            </w:r>
          </w:p>
        </w:tc>
        <w:tc>
          <w:tcPr>
            <w:tcW w:w="3400" w:type="dxa"/>
            <w:tcMar>
              <w:top w:w="70" w:type="dxa"/>
              <w:left w:w="100" w:type="dxa"/>
              <w:bottom w:w="70" w:type="dxa"/>
              <w:right w:w="100" w:type="dxa"/>
            </w:tcMar>
          </w:tcPr>
          <w:p w14:paraId="6F5797BD" w14:textId="77777777" w:rsidR="002D25EA" w:rsidRDefault="002D25EA" w:rsidP="00D9409F">
            <w:r>
              <w:rPr>
                <w:sz w:val="18"/>
                <w:szCs w:val="18"/>
              </w:rPr>
              <w:t>“How does a consumer discover, subscribe and test without a ticket?”</w:t>
            </w:r>
          </w:p>
        </w:tc>
        <w:tc>
          <w:tcPr>
            <w:tcW w:w="3900" w:type="dxa"/>
            <w:tcMar>
              <w:top w:w="70" w:type="dxa"/>
              <w:left w:w="100" w:type="dxa"/>
              <w:bottom w:w="70" w:type="dxa"/>
              <w:right w:w="100" w:type="dxa"/>
            </w:tcMar>
          </w:tcPr>
          <w:p w14:paraId="0E6530DD" w14:textId="77777777" w:rsidR="002D25EA" w:rsidRDefault="002D25EA" w:rsidP="00D9409F">
            <w:r>
              <w:rPr>
                <w:sz w:val="18"/>
                <w:szCs w:val="18"/>
              </w:rPr>
              <w:t>SSO on, self-registration off, group-filtered catalogue; portal is the only self-service surface</w:t>
            </w:r>
          </w:p>
        </w:tc>
      </w:tr>
    </w:tbl>
    <w:p w14:paraId="1A0823E5" w14:textId="77777777" w:rsidR="002D25EA" w:rsidRDefault="002D25EA" w:rsidP="002D25EA">
      <w:pPr>
        <w:spacing w:after="60"/>
      </w:pPr>
    </w:p>
    <w:p w14:paraId="4555BAEB" w14:textId="77777777" w:rsidR="002D25EA" w:rsidRDefault="002D25EA" w:rsidP="002D25EA">
      <w:pPr>
        <w:spacing w:before="80" w:after="120"/>
        <w:jc w:val="center"/>
      </w:pPr>
      <w:r>
        <w:rPr>
          <w:noProof/>
        </w:rPr>
        <w:drawing>
          <wp:inline distT="0" distB="0" distL="0" distR="0" wp14:anchorId="1069C530" wp14:editId="44BE795C">
            <wp:extent cx="5486400" cy="3448050"/>
            <wp:effectExtent l="0" t="0" r="0" b="0"/>
            <wp:docPr id="1217212005" name="Picture 121721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3448050"/>
                    </a:xfrm>
                    <a:prstGeom prst="rect">
                      <a:avLst/>
                    </a:prstGeom>
                  </pic:spPr>
                </pic:pic>
              </a:graphicData>
            </a:graphic>
          </wp:inline>
        </w:drawing>
      </w:r>
    </w:p>
    <w:p w14:paraId="04F0A217" w14:textId="77777777" w:rsidR="002D25EA" w:rsidRDefault="002D25EA" w:rsidP="002D25EA">
      <w:pPr>
        <w:spacing w:after="180"/>
        <w:jc w:val="center"/>
      </w:pPr>
      <w:r>
        <w:rPr>
          <w:i/>
          <w:iCs/>
          <w:color w:val="666666"/>
          <w:sz w:val="18"/>
          <w:szCs w:val="18"/>
        </w:rPr>
        <w:t>Figure 18: Recommended workspace, product, subscription, and group structure</w:t>
      </w:r>
    </w:p>
    <w:p w14:paraId="4B1CFF76" w14:textId="77777777" w:rsidR="00DF73B7" w:rsidRDefault="00DF73B7" w:rsidP="002D25EA">
      <w:pPr>
        <w:spacing w:after="140"/>
        <w:rPr>
          <w:b/>
          <w:bCs/>
        </w:rPr>
      </w:pPr>
    </w:p>
    <w:p w14:paraId="21FA9EF8" w14:textId="77777777" w:rsidR="00DF73B7" w:rsidRDefault="00DF73B7" w:rsidP="002D25EA">
      <w:pPr>
        <w:spacing w:after="140"/>
        <w:rPr>
          <w:b/>
          <w:bCs/>
        </w:rPr>
      </w:pPr>
    </w:p>
    <w:p w14:paraId="4A6BE89D" w14:textId="77777777" w:rsidR="002D25EA" w:rsidRDefault="002D25EA" w:rsidP="002D25EA">
      <w:pPr>
        <w:spacing w:after="140"/>
      </w:pPr>
      <w:r>
        <w:rPr>
          <w:b/>
          <w:bCs/>
        </w:rPr>
        <w:t>Products, subscriptions, groups and users</w:t>
      </w:r>
    </w:p>
    <w:p w14:paraId="28C7A940" w14:textId="77777777" w:rsidR="002D25EA" w:rsidRDefault="002D25EA" w:rsidP="002D25EA">
      <w:pPr>
        <w:pStyle w:val="ListParagraph"/>
        <w:numPr>
          <w:ilvl w:val="0"/>
          <w:numId w:val="2"/>
        </w:numPr>
        <w:spacing w:after="70"/>
      </w:pPr>
      <w:r>
        <w:t>Products group related APIs and carry the access rule for that group, for example an External Broker product bundling every API a broker may call.</w:t>
      </w:r>
    </w:p>
    <w:p w14:paraId="0EB4CA67" w14:textId="77777777" w:rsidR="002D25EA" w:rsidRDefault="002D25EA" w:rsidP="002D25EA">
      <w:pPr>
        <w:pStyle w:val="ListParagraph"/>
        <w:numPr>
          <w:ilvl w:val="0"/>
          <w:numId w:val="2"/>
        </w:numPr>
        <w:spacing w:after="70"/>
      </w:pPr>
      <w:r>
        <w:t>Subscriptions are individual keys issued per consuming application or partner, so one consumer's access can be revoked without affecting anyone else.</w:t>
      </w:r>
    </w:p>
    <w:p w14:paraId="48C59634" w14:textId="77777777" w:rsidR="002D25EA" w:rsidRDefault="002D25EA" w:rsidP="002D25EA">
      <w:pPr>
        <w:pStyle w:val="ListParagraph"/>
        <w:numPr>
          <w:ilvl w:val="0"/>
          <w:numId w:val="2"/>
        </w:numPr>
        <w:spacing w:after="70"/>
      </w:pPr>
      <w:r>
        <w:t>Groups map to Entra ID, never to local APIM accounts, so a broker's technical team or the platform administrators are each represented by one Entra ID group.</w:t>
      </w:r>
    </w:p>
    <w:p w14:paraId="5F2018FD" w14:textId="77777777" w:rsidR="002D25EA" w:rsidRDefault="002D25EA" w:rsidP="002D25EA">
      <w:pPr>
        <w:pStyle w:val="ListParagraph"/>
        <w:numPr>
          <w:ilvl w:val="0"/>
          <w:numId w:val="2"/>
        </w:numPr>
        <w:spacing w:after="70"/>
      </w:pPr>
      <w:r>
        <w:t>Users are never created directly inside APIM; access always flows from an Entra ID identity through a group, so the Organization’s existing joiner-mover-leaver process keeps APIM access correct automatically.</w:t>
      </w:r>
    </w:p>
    <w:p w14:paraId="6D6B826A" w14:textId="77777777" w:rsidR="002D25EA" w:rsidRPr="00614651" w:rsidRDefault="002D25EA" w:rsidP="00614651">
      <w:pPr>
        <w:rPr>
          <w:b/>
          <w:bCs/>
        </w:rPr>
      </w:pPr>
      <w:r>
        <w:rPr>
          <w:b/>
          <w:bCs/>
        </w:rPr>
        <w:t>Backend governance constructs</w:t>
      </w:r>
    </w:p>
    <w:p w14:paraId="50771AE9" w14:textId="77777777" w:rsidR="002D25EA" w:rsidRDefault="002D25EA" w:rsidP="002D25EA">
      <w:pPr>
        <w:spacing w:after="140"/>
      </w:pPr>
      <w:r>
        <w:t>Beyond the runtime architecture, APIM provides a set of backend constructs that decide how APIs are organised, secured, discovered, and extended over time. Used well, they let the Organization add and evolve API capability without the platform becoming a tangle. Used poorly, they become the tangle. This section explains each construct and how the Organization should use it. The constructs build on one another: named values feed policies, products group APIs and attach policies, groups decide who sees a product, tags make everything discoverable, and workspaces let teams own their slice of all of the above.</w:t>
      </w:r>
    </w:p>
    <w:p w14:paraId="045046F9" w14:textId="77777777" w:rsidR="002D25EA" w:rsidRPr="00614651" w:rsidRDefault="002D25EA" w:rsidP="00614651">
      <w:pPr>
        <w:rPr>
          <w:b/>
          <w:bCs/>
        </w:rPr>
      </w:pPr>
      <w:r>
        <w:rPr>
          <w:b/>
          <w:bCs/>
        </w:rPr>
        <w:t>Named values</w:t>
      </w:r>
    </w:p>
    <w:p w14:paraId="16BF6845" w14:textId="77777777" w:rsidR="002D25EA" w:rsidRDefault="002D25EA" w:rsidP="002D25EA">
      <w:pPr>
        <w:spacing w:after="140"/>
      </w:pPr>
      <w:r>
        <w:t>Named values are APIM's key-value store for configuration and secrets that policies reference by name rather than hard-coding. A named value can hold a plain setting (a backend URL, a rate-limit ceiling, a feature flag) or a secret, and a secret named value can be backed directly by Azure Key Vault so the actual secret never lives in APIM at all and rotates automatically when it changes in the vault.</w:t>
      </w:r>
    </w:p>
    <w:p w14:paraId="480FE02E" w14:textId="77777777" w:rsidR="002D25EA" w:rsidRDefault="002D25EA" w:rsidP="002D25EA">
      <w:pPr>
        <w:spacing w:after="140"/>
      </w:pPr>
      <w:r>
        <w:t>The purpose is twofold: keep sensitive material out of policy XML, and keep environment-specific configuration in one place so the same policy works unchanged across Dev, UAT and Production. Typical uses at the Organization:</w:t>
      </w:r>
    </w:p>
    <w:p w14:paraId="241818A2" w14:textId="77777777" w:rsidR="002D25EA" w:rsidRDefault="002D25EA" w:rsidP="002D25EA">
      <w:pPr>
        <w:pStyle w:val="ListParagraph"/>
        <w:numPr>
          <w:ilvl w:val="0"/>
          <w:numId w:val="2"/>
        </w:numPr>
        <w:spacing w:after="70"/>
      </w:pPr>
      <w:r>
        <w:t>Key Vault-backed secrets: the webhook shared secret, partner client secrets, and signing keys referenced by policies but stored and rotated in Key Vault.</w:t>
      </w:r>
    </w:p>
    <w:p w14:paraId="4B75C31C" w14:textId="77777777" w:rsidR="002D25EA" w:rsidRDefault="002D25EA" w:rsidP="002D25EA">
      <w:pPr>
        <w:pStyle w:val="ListParagraph"/>
        <w:numPr>
          <w:ilvl w:val="0"/>
          <w:numId w:val="2"/>
        </w:numPr>
        <w:spacing w:after="70"/>
      </w:pPr>
      <w:r>
        <w:t>Environment configuration: backend base URLs and timeouts that differ per environment, so promotion through APIOps changes the named value, not the policy.</w:t>
      </w:r>
    </w:p>
    <w:p w14:paraId="7FCAF537" w14:textId="77777777" w:rsidR="002D25EA" w:rsidRDefault="002D25EA" w:rsidP="002D25EA">
      <w:pPr>
        <w:pStyle w:val="ListParagraph"/>
        <w:numPr>
          <w:ilvl w:val="0"/>
          <w:numId w:val="2"/>
        </w:numPr>
        <w:spacing w:after="70"/>
      </w:pPr>
      <w:r>
        <w:t>Reused constants: a standard rate-limit ceiling or a tenant ID referenced by many policies, changed once in one place.</w:t>
      </w:r>
    </w:p>
    <w:p w14:paraId="282E3C56" w14:textId="77777777" w:rsidR="002D25EA" w:rsidRDefault="002D25EA" w:rsidP="002D25EA">
      <w:pPr>
        <w:spacing w:after="140"/>
      </w:pPr>
      <w:r>
        <w:t>Governance rule: no secret is ever typed into a policy; it is always a Key Vault-backed named value. Named values are themselves environment-scoped and version-controlled through APIOps, so a reviewer can see what changed.</w:t>
      </w:r>
    </w:p>
    <w:p w14:paraId="10CD84BD" w14:textId="77777777" w:rsidR="002D25EA" w:rsidRPr="00614651" w:rsidRDefault="002D25EA" w:rsidP="00614651">
      <w:pPr>
        <w:rPr>
          <w:b/>
          <w:bCs/>
        </w:rPr>
      </w:pPr>
      <w:r>
        <w:rPr>
          <w:b/>
          <w:bCs/>
        </w:rPr>
        <w:t>Products</w:t>
      </w:r>
    </w:p>
    <w:p w14:paraId="376A03CD" w14:textId="77777777" w:rsidR="002D25EA" w:rsidRDefault="002D25EA" w:rsidP="002D25EA">
      <w:pPr>
        <w:spacing w:after="140"/>
      </w:pPr>
      <w:r>
        <w:t>A product is a bundle of one or more APIs published together under a single set of access rules. It is the unit consumers actually subscribe to: a developer does not subscribe to an API directly, they subscribe to a product that contains it. A product carries its own policies (rate limits, quotas, and any product-specific behaviour), its own visibility (which groups can see it), and its own subscription approval model (automatic or requiring sign-off).</w:t>
      </w:r>
    </w:p>
    <w:p w14:paraId="7920B1B3" w14:textId="77777777" w:rsidR="002D25EA" w:rsidRDefault="002D25EA" w:rsidP="002D25EA">
      <w:pPr>
        <w:spacing w:after="140"/>
      </w:pPr>
      <w:r>
        <w:lastRenderedPageBreak/>
        <w:t>This is how the Organization separates consumer classes cleanly. The natural product set mirrors the consumer model already in the design:</w:t>
      </w:r>
    </w:p>
    <w:p w14:paraId="764E253F" w14:textId="77777777" w:rsidR="002D25EA" w:rsidRDefault="002D25EA" w:rsidP="002D25EA">
      <w:pPr>
        <w:pStyle w:val="ListParagraph"/>
        <w:numPr>
          <w:ilvl w:val="0"/>
          <w:numId w:val="2"/>
        </w:numPr>
        <w:spacing w:after="70"/>
      </w:pPr>
      <w:r>
        <w:t>External-facing products, for example External Broker, External Market and External Partner, each bundling only the APIs that class of partner may call, with stricter rate limits and manual subscription approval.</w:t>
      </w:r>
    </w:p>
    <w:p w14:paraId="2EF7E098" w14:textId="77777777" w:rsidR="002D25EA" w:rsidRDefault="002D25EA" w:rsidP="002D25EA">
      <w:pPr>
        <w:pStyle w:val="ListParagraph"/>
        <w:numPr>
          <w:ilvl w:val="0"/>
          <w:numId w:val="2"/>
        </w:numPr>
        <w:spacing w:after="70"/>
      </w:pPr>
      <w:r>
        <w:t>Internal products, for example Internal Core Systems and Internal Data Platform, with higher limits and automatic approval for trusted internal consumers.</w:t>
      </w:r>
    </w:p>
    <w:p w14:paraId="766FE0B0" w14:textId="77777777" w:rsidR="002D25EA" w:rsidRDefault="002D25EA" w:rsidP="002D25EA">
      <w:pPr>
        <w:spacing w:after="140"/>
      </w:pPr>
      <w:r>
        <w:t>Because product policy sits above API policy in the scope order, a product is where the Organization enforces the rules that should apply to every API a given consumer class touches, without repeating them per API.</w:t>
      </w:r>
    </w:p>
    <w:p w14:paraId="3D0BA5FE" w14:textId="77777777" w:rsidR="002D25EA" w:rsidRPr="00614651" w:rsidRDefault="002D25EA" w:rsidP="00614651">
      <w:pPr>
        <w:rPr>
          <w:b/>
          <w:bCs/>
        </w:rPr>
      </w:pPr>
      <w:r>
        <w:rPr>
          <w:b/>
          <w:bCs/>
        </w:rPr>
        <w:t>Groups</w:t>
      </w:r>
    </w:p>
    <w:p w14:paraId="02EBC40A" w14:textId="77777777" w:rsidR="002D25EA" w:rsidRDefault="002D25EA" w:rsidP="002D25EA">
      <w:pPr>
        <w:spacing w:after="140"/>
      </w:pPr>
      <w:r>
        <w:t>Groups control who can see and subscribe to which products. A product's visibility is set by group membership, so a broker's group sees the broker products and nothing else, while an internal developer group sees the internal products. APIM has built-in groups (Administrators, Developers, Guests), but the important point for the Organization is that custom groups map to Microsoft Entra ID, not to local APIM accounts.</w:t>
      </w:r>
    </w:p>
    <w:p w14:paraId="29CC610B" w14:textId="77777777" w:rsidR="002D25EA" w:rsidRDefault="002D25EA" w:rsidP="002D25EA">
      <w:pPr>
        <w:spacing w:after="140"/>
      </w:pPr>
      <w:r>
        <w:t>This is what keeps access governance in one place. A partner's technical team, an internal domain team, or the platform administrators are each represented by an Entra ID group; adding or removing a person happens in Entra ID through the Organization’s existing joiner-mover-leaver process, and their APIM visibility follows automatically. No access is granted by creating a user inside APIM.</w:t>
      </w:r>
    </w:p>
    <w:p w14:paraId="20B39953" w14:textId="77777777" w:rsidR="002D25EA" w:rsidRPr="00614651" w:rsidRDefault="002D25EA" w:rsidP="00614651">
      <w:pPr>
        <w:rPr>
          <w:b/>
          <w:bCs/>
        </w:rPr>
      </w:pPr>
      <w:r>
        <w:rPr>
          <w:b/>
          <w:bCs/>
        </w:rPr>
        <w:t>Tags</w:t>
      </w:r>
    </w:p>
    <w:p w14:paraId="250DC3B8" w14:textId="77777777" w:rsidR="002D25EA" w:rsidRDefault="002D25EA" w:rsidP="002D25EA">
      <w:pPr>
        <w:spacing w:after="140"/>
      </w:pPr>
      <w:r>
        <w:t>Tags are free-form labels attached to APIs (and products) purely for categorisation and discoverability. They do not enforce anything; their job is to make a growing catalogue navigable. In the developer portal, consumers can filter and search by tag, and internally the platform team can report on the estate by tag.</w:t>
      </w:r>
    </w:p>
    <w:p w14:paraId="1C1A3706" w14:textId="77777777" w:rsidR="002D25EA" w:rsidRDefault="002D25EA" w:rsidP="002D25EA">
      <w:pPr>
        <w:spacing w:after="140"/>
      </w:pPr>
      <w:r>
        <w:t>The Organization should agree a small, consistent tag taxonomy up front, because tags are only useful if applied the same way by everyone. Sensible dimensions include business domain (claims, policy, finance), consumer audience (internal, partner, public), lifecycle status (preview, active, deprecated), and data sensitivity (contains-PII). A tag is discoverability, not a control: sensitivity tagging flags an API for review, it does not secure it.</w:t>
      </w:r>
    </w:p>
    <w:p w14:paraId="34BD981A" w14:textId="77777777" w:rsidR="002D25EA" w:rsidRPr="00614651" w:rsidRDefault="002D25EA" w:rsidP="00614651">
      <w:pPr>
        <w:rPr>
          <w:b/>
          <w:bCs/>
        </w:rPr>
      </w:pPr>
      <w:r>
        <w:rPr>
          <w:b/>
          <w:bCs/>
        </w:rPr>
        <w:t>Workspaces</w:t>
      </w:r>
    </w:p>
    <w:p w14:paraId="6880FCC0" w14:textId="77777777" w:rsidR="002D25EA" w:rsidRDefault="002D25EA" w:rsidP="002D25EA">
      <w:pPr>
        <w:spacing w:after="140"/>
      </w:pPr>
      <w:r>
        <w:t>Workspaces are how the Organization decentralises day-to-day API management without losing central control. A workspace is a self-contained slice of the APIM instance, its own APIs, products, subscriptions, named values, tags and policies, that a specific team manages through Azure RBAC scoped to that workspace, while the platform team keeps ownership of the shared infrastructure, networking, monitoring and global policy. It is the federated model: central governance, delegated development.</w:t>
      </w:r>
    </w:p>
    <w:p>
      <w:pPr>
        <w:spacing w:after="140"/>
      </w:pPr>
      <w:r>
        <w:rPr>
          <w:rFonts w:ascii="Noe Text" w:cs="Noe Text" w:eastAsia="Noe Text" w:hAnsi="Noe Text"/>
          <w:color w:val="333333"/>
          <w:sz w:val="21"/>
          <w:szCs w:val="21"/>
        </w:rPr>
        <w:t xml:space="preserve">the Organization’s split is one workspace per business domain that owns integrations. The matrix below defines each planned workspace, who owns it, what it does, and the governance boundaries that apply. Workspaces are a Premium-tier capability, which aligns with the tier recommendation in section 16.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00"/>
        <w:gridCol w:w="2900"/>
      </w:tblGrid>
      <w:tr>
        <w:trPr>
          <w:tblHeader/>
        </w:trPr>
        <w:tc>
          <w:tcPr>
            <w:tcW w:type="dxa" w:w="15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Workspace</w:t>
            </w:r>
          </w:p>
        </w:tc>
        <w:tc>
          <w:tcPr>
            <w:tcW w:type="dxa" w:w="20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Owner / audience</w:t>
            </w:r>
          </w:p>
        </w:tc>
        <w:tc>
          <w:tcPr>
            <w:tcW w:type="dxa" w:w="29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Primary function</w:t>
            </w:r>
          </w:p>
        </w:tc>
        <w:tc>
          <w:tcPr>
            <w:tcW w:type="dxa" w:w="29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Governance boundary</w:t>
            </w:r>
          </w:p>
        </w:tc>
      </w:tr>
      <w:tr>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Claims</w:t>
            </w:r>
          </w:p>
        </w:tc>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Claims domain team</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Publish and manage claims-related APIs, products and subscriptions</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Team owns everything inside via workspace-scoped RBAC; platform team owns shared infrastructure, networking and global policy</w:t>
            </w:r>
          </w:p>
        </w:tc>
      </w:tr>
      <w:tr>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Policy Admin</w:t>
            </w:r>
          </w:p>
        </w:tc>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Policy administration team</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Publish and manage policy-administration APIs</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Same federated boundary; names unique across the whole service, so domain-prefix API/product/tag names</w:t>
            </w:r>
          </w:p>
        </w:tc>
      </w:tr>
      <w:tr>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Finance</w:t>
            </w:r>
          </w:p>
        </w:tc>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Finance domain team</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Publish and manage finance and billing APIs</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Workspace policy cannot reach service-level named values or backends; shared config promoted in via APIOps</w:t>
            </w:r>
          </w:p>
        </w:tc>
      </w:tr>
      <w:tr>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Partner and Broker</w:t>
            </w:r>
          </w:p>
        </w:tc>
        <w:tc>
          <w:tcPr>
            <w:tcW w:type="dxa" w:w="20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Partner integration team</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Publish and manage partner- and broker-facing APIs</w:t>
            </w:r>
          </w:p>
        </w:tc>
        <w:tc>
          <w:tcPr>
            <w:tcW w:type="dxa" w:w="2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No service-level managed identity inside the workspace; use a user-assigned identity or handle backend auth at service level</w:t>
            </w:r>
          </w:p>
        </w:tc>
      </w:tr>
    </w:tbl>
    <w:p>
      <w:pPr>
        <w:spacing w:after="140"/>
      </w:pPr>
      <w:r>
        <w:rPr>
          <w:rFonts w:ascii="Noe Text" w:cs="Noe Text" w:eastAsia="Noe Text" w:hAnsi="Noe Text"/>
          <w:i/>
          <w:iCs/>
          <w:color w:val="333333"/>
          <w:sz w:val="21"/>
          <w:szCs w:val="21"/>
        </w:rPr>
        <w:t xml:space="preserve">All four run on the built-in gateway (not dedicated workspace gateways), because the design depends on multi-region, Private Link and custom hostnames, which dedicated gateways do not currently support. The gateway, sizing and constraint decisions are set out just below.</w:t>
      </w:r>
    </w:p>
    <w:p w14:paraId="5574B38A" w14:textId="77777777" w:rsidR="002D25EA" w:rsidRPr="00614651" w:rsidRDefault="002D25EA" w:rsidP="00614651">
      <w:pPr>
        <w:rPr>
          <w:b/>
          <w:bCs/>
        </w:rPr>
      </w:pPr>
      <w:r>
        <w:rPr>
          <w:b/>
          <w:bCs/>
        </w:rPr>
        <w:lastRenderedPageBreak/>
        <w:t>Refining the workspace strategy: gateway model, sizing and constraints</w:t>
      </w:r>
    </w:p>
    <w:p w14:paraId="79189CFB" w14:textId="77777777" w:rsidR="002D25EA" w:rsidRDefault="002D25EA" w:rsidP="002D25EA">
      <w:pPr>
        <w:spacing w:after="140"/>
      </w:pPr>
      <w:r>
        <w:t>The one-workspace-per-domain split above is the right shape, but three decisions turn it from a sketch into something buildable: which gateway a workspace runs on, how many workspaces to create, and which platform constraints to design around.</w:t>
      </w:r>
    </w:p>
    <w:p w14:paraId="404B3FF2" w14:textId="77777777" w:rsidR="002D25EA" w:rsidRDefault="002D25EA" w:rsidP="002D25EA">
      <w:pPr>
        <w:spacing w:after="140"/>
      </w:pPr>
      <w:r>
        <w:t>Gateway model: use the built-in gateway, not dedicated workspace gateways. A workspace’s runtime can run on either the instance’s built-in (default managed) gateway or a separate, dedicated workspace-gateway resource. Dedicated gateways give stronger runtime isolation between domains, but they do not currently support multi-region deployment, Private Link, or custom hostnames, and they add cost, a separate scale surface, and a provisioning step that can take several hours. Because the Organization’s design depends on exactly those three capabilities: multi-region (15), Private Link origin from Front Door (7), and custom hostnames: workspaces should be associated with the built-in gateway, which now supports workspaces and inherits all of those features. Dedicated workspace gateways are held in reserve for a future domain that needs hard runtime isolation and can accept the multi-region/Private Link trade-off.</w:t>
      </w:r>
    </w:p>
    <w:p w14:paraId="21E0FD02" w14:textId="77777777" w:rsidR="002D25EA" w:rsidRDefault="002D25EA" w:rsidP="002D25EA">
      <w:pPr>
        <w:spacing w:after="140"/>
      </w:pPr>
      <w:r>
        <w:t>Sizing: one workspace per domain that owns integrations, not per team or per API. The starting set stays Claims, Policy Admin, Finance, and Partner and Broker. The guardrail is ownership: create a workspace only where a distinct team will own the APIs, products and subscriptions inside it through their whole lifecycle. Splitting more finely than ownership creates administrative overhead without governance benefit; a workspace gateway can carry many workspaces (up to 30 as a shared gateway) so there is headroom, but the number should track real team boundaries, not be maximised.</w:t>
      </w:r>
    </w:p>
    <w:p w14:paraId="4F570440" w14:textId="77777777" w:rsidR="002D25EA" w:rsidRDefault="002D25EA" w:rsidP="002D25EA">
      <w:pPr>
        <w:spacing w:after="140"/>
      </w:pPr>
      <w:r>
        <w:t>Constraints to design around. Three platform boundaries shape the model and should be reflected in build standards: names are unique across the whole service, so two workspaces cannot share an API, product or tag name even though they are otherwise isolated; workspace policies cannot reach service-level named values or backends by name, so anything shared must be provided within the workspace or promoted into it through APIOps; and service-level managed identities are not available inside workspaces, which affects the “call the backend using Managed Identity” pattern: workspace-scoped APIs must use a user-assigned identity made available to the workspace, or have that backend authentication handled at service level. Each of these is a build-time rule, not a blocker.</w:t>
      </w:r>
    </w:p>
    <w:p w14:paraId="584AF2E0" w14:textId="77777777" w:rsidR="002D25EA" w:rsidRDefault="002D25EA" w:rsidP="002D25EA">
      <w:pPr>
        <w:spacing w:after="140"/>
      </w:pPr>
      <w:r>
        <w:t>The workspace decisions in one place: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200"/>
      </w:tblGrid>
      <w:tr w:rsidR="002D25EA" w14:paraId="71A0635E" w14:textId="77777777" w:rsidTr="00D9409F">
        <w:trPr>
          <w:tblHeader/>
        </w:trPr>
        <w:tc>
          <w:tcPr>
            <w:tcW w:w="1700" w:type="dxa"/>
            <w:shd w:val="clear" w:color="auto" w:fill="1E2761"/>
            <w:tcMar>
              <w:top w:w="70" w:type="dxa"/>
              <w:left w:w="100" w:type="dxa"/>
              <w:bottom w:w="70" w:type="dxa"/>
              <w:right w:w="100" w:type="dxa"/>
            </w:tcMar>
          </w:tcPr>
          <w:p w14:paraId="4E545D3B" w14:textId="77777777" w:rsidR="002D25EA" w:rsidRDefault="002D25EA" w:rsidP="00D9409F">
            <w:r>
              <w:rPr>
                <w:b/>
                <w:bCs/>
                <w:color w:val="FFFFFF"/>
                <w:sz w:val="18"/>
                <w:szCs w:val="18"/>
              </w:rPr>
              <w:t>Decision</w:t>
            </w:r>
          </w:p>
        </w:tc>
        <w:tc>
          <w:tcPr>
            <w:tcW w:w="3400" w:type="dxa"/>
            <w:shd w:val="clear" w:color="auto" w:fill="1E2761"/>
            <w:tcMar>
              <w:top w:w="70" w:type="dxa"/>
              <w:left w:w="100" w:type="dxa"/>
              <w:bottom w:w="70" w:type="dxa"/>
              <w:right w:w="100" w:type="dxa"/>
            </w:tcMar>
          </w:tcPr>
          <w:p w14:paraId="158982D1" w14:textId="77777777" w:rsidR="002D25EA" w:rsidRDefault="002D25EA" w:rsidP="00D9409F">
            <w:r>
              <w:rPr>
                <w:b/>
                <w:bCs/>
                <w:color w:val="FFFFFF"/>
                <w:sz w:val="18"/>
                <w:szCs w:val="18"/>
              </w:rPr>
              <w:t>The constraint</w:t>
            </w:r>
          </w:p>
        </w:tc>
        <w:tc>
          <w:tcPr>
            <w:tcW w:w="4200" w:type="dxa"/>
            <w:shd w:val="clear" w:color="auto" w:fill="1E2761"/>
            <w:tcMar>
              <w:top w:w="70" w:type="dxa"/>
              <w:left w:w="100" w:type="dxa"/>
              <w:bottom w:w="70" w:type="dxa"/>
              <w:right w:w="100" w:type="dxa"/>
            </w:tcMar>
          </w:tcPr>
          <w:p w14:paraId="576C525B" w14:textId="77777777" w:rsidR="002D25EA" w:rsidRDefault="002D25EA" w:rsidP="00D9409F">
            <w:r>
              <w:rPr>
                <w:b/>
                <w:bCs/>
                <w:color w:val="FFFFFF"/>
                <w:sz w:val="18"/>
                <w:szCs w:val="18"/>
              </w:rPr>
              <w:t>The Organization position</w:t>
            </w:r>
          </w:p>
        </w:tc>
      </w:tr>
      <w:tr w:rsidR="002D25EA" w14:paraId="73C13E9E" w14:textId="77777777" w:rsidTr="00D9409F">
        <w:tc>
          <w:tcPr>
            <w:tcW w:w="1700" w:type="dxa"/>
            <w:tcMar>
              <w:top w:w="70" w:type="dxa"/>
              <w:left w:w="100" w:type="dxa"/>
              <w:bottom w:w="70" w:type="dxa"/>
              <w:right w:w="100" w:type="dxa"/>
            </w:tcMar>
          </w:tcPr>
          <w:p w14:paraId="31110615" w14:textId="77777777" w:rsidR="002D25EA" w:rsidRDefault="002D25EA" w:rsidP="00D9409F">
            <w:r>
              <w:rPr>
                <w:sz w:val="18"/>
                <w:szCs w:val="18"/>
              </w:rPr>
              <w:t>Gateway</w:t>
            </w:r>
          </w:p>
        </w:tc>
        <w:tc>
          <w:tcPr>
            <w:tcW w:w="3400" w:type="dxa"/>
            <w:tcMar>
              <w:top w:w="70" w:type="dxa"/>
              <w:left w:w="100" w:type="dxa"/>
              <w:bottom w:w="70" w:type="dxa"/>
              <w:right w:w="100" w:type="dxa"/>
            </w:tcMar>
          </w:tcPr>
          <w:p w14:paraId="7523340F" w14:textId="77777777" w:rsidR="002D25EA" w:rsidRDefault="002D25EA" w:rsidP="00D9409F">
            <w:r>
              <w:rPr>
                <w:sz w:val="18"/>
                <w:szCs w:val="18"/>
              </w:rPr>
              <w:t>Dedicated workspace gateway vs built-in gateway</w:t>
            </w:r>
          </w:p>
        </w:tc>
        <w:tc>
          <w:tcPr>
            <w:tcW w:w="4200" w:type="dxa"/>
            <w:tcMar>
              <w:top w:w="70" w:type="dxa"/>
              <w:left w:w="100" w:type="dxa"/>
              <w:bottom w:w="70" w:type="dxa"/>
              <w:right w:w="100" w:type="dxa"/>
            </w:tcMar>
          </w:tcPr>
          <w:p w14:paraId="62911AE2" w14:textId="77777777" w:rsidR="002D25EA" w:rsidRDefault="002D25EA" w:rsidP="00D9409F">
            <w:r>
              <w:rPr>
                <w:sz w:val="18"/>
                <w:szCs w:val="18"/>
              </w:rPr>
              <w:t>Built-in gateway: it is the only option that keeps multi-region, Private Link and custom hostnames</w:t>
            </w:r>
          </w:p>
        </w:tc>
      </w:tr>
      <w:tr w:rsidR="002D25EA" w14:paraId="297C8914" w14:textId="77777777" w:rsidTr="00D9409F">
        <w:tc>
          <w:tcPr>
            <w:tcW w:w="1700" w:type="dxa"/>
            <w:tcMar>
              <w:top w:w="70" w:type="dxa"/>
              <w:left w:w="100" w:type="dxa"/>
              <w:bottom w:w="70" w:type="dxa"/>
              <w:right w:w="100" w:type="dxa"/>
            </w:tcMar>
          </w:tcPr>
          <w:p w14:paraId="578C3087" w14:textId="77777777" w:rsidR="002D25EA" w:rsidRDefault="002D25EA" w:rsidP="00D9409F">
            <w:r>
              <w:rPr>
                <w:sz w:val="18"/>
                <w:szCs w:val="18"/>
              </w:rPr>
              <w:t>Number</w:t>
            </w:r>
          </w:p>
        </w:tc>
        <w:tc>
          <w:tcPr>
            <w:tcW w:w="3400" w:type="dxa"/>
            <w:tcMar>
              <w:top w:w="70" w:type="dxa"/>
              <w:left w:w="100" w:type="dxa"/>
              <w:bottom w:w="70" w:type="dxa"/>
              <w:right w:w="100" w:type="dxa"/>
            </w:tcMar>
          </w:tcPr>
          <w:p w14:paraId="382E9212" w14:textId="77777777" w:rsidR="002D25EA" w:rsidRDefault="002D25EA" w:rsidP="00D9409F">
            <w:r>
              <w:rPr>
                <w:sz w:val="18"/>
                <w:szCs w:val="18"/>
              </w:rPr>
              <w:t>One per team-owned domain</w:t>
            </w:r>
          </w:p>
        </w:tc>
        <w:tc>
          <w:tcPr>
            <w:tcW w:w="4200" w:type="dxa"/>
            <w:tcMar>
              <w:top w:w="70" w:type="dxa"/>
              <w:left w:w="100" w:type="dxa"/>
              <w:bottom w:w="70" w:type="dxa"/>
              <w:right w:w="100" w:type="dxa"/>
            </w:tcMar>
          </w:tcPr>
          <w:p w14:paraId="6DA68D02" w14:textId="77777777" w:rsidR="002D25EA" w:rsidRDefault="002D25EA" w:rsidP="00D9409F">
            <w:r>
              <w:rPr>
                <w:sz w:val="18"/>
                <w:szCs w:val="18"/>
              </w:rPr>
              <w:t>4 to start (Claims, Policy Admin, Finance, Partner &amp; Broker); add only when a new owning team appears</w:t>
            </w:r>
          </w:p>
        </w:tc>
      </w:tr>
      <w:tr w:rsidR="002D25EA" w14:paraId="37500DB5" w14:textId="77777777" w:rsidTr="00D9409F">
        <w:tc>
          <w:tcPr>
            <w:tcW w:w="1700" w:type="dxa"/>
            <w:tcMar>
              <w:top w:w="70" w:type="dxa"/>
              <w:left w:w="100" w:type="dxa"/>
              <w:bottom w:w="70" w:type="dxa"/>
              <w:right w:w="100" w:type="dxa"/>
            </w:tcMar>
          </w:tcPr>
          <w:p w14:paraId="29A387C7" w14:textId="77777777" w:rsidR="002D25EA" w:rsidRDefault="002D25EA" w:rsidP="00D9409F">
            <w:r>
              <w:rPr>
                <w:sz w:val="18"/>
                <w:szCs w:val="18"/>
              </w:rPr>
              <w:t>Naming</w:t>
            </w:r>
          </w:p>
        </w:tc>
        <w:tc>
          <w:tcPr>
            <w:tcW w:w="3400" w:type="dxa"/>
            <w:tcMar>
              <w:top w:w="70" w:type="dxa"/>
              <w:left w:w="100" w:type="dxa"/>
              <w:bottom w:w="70" w:type="dxa"/>
              <w:right w:w="100" w:type="dxa"/>
            </w:tcMar>
          </w:tcPr>
          <w:p w14:paraId="019CAA06" w14:textId="77777777" w:rsidR="002D25EA" w:rsidRDefault="002D25EA" w:rsidP="00D9409F">
            <w:r>
              <w:rPr>
                <w:sz w:val="18"/>
                <w:szCs w:val="18"/>
              </w:rPr>
              <w:t>Names unique across the whole service</w:t>
            </w:r>
          </w:p>
        </w:tc>
        <w:tc>
          <w:tcPr>
            <w:tcW w:w="4200" w:type="dxa"/>
            <w:tcMar>
              <w:top w:w="70" w:type="dxa"/>
              <w:left w:w="100" w:type="dxa"/>
              <w:bottom w:w="70" w:type="dxa"/>
              <w:right w:w="100" w:type="dxa"/>
            </w:tcMar>
          </w:tcPr>
          <w:p w14:paraId="72335BA7" w14:textId="77777777" w:rsidR="002D25EA" w:rsidRDefault="002D25EA" w:rsidP="00D9409F">
            <w:r>
              <w:rPr>
                <w:sz w:val="18"/>
                <w:szCs w:val="18"/>
              </w:rPr>
              <w:t>Prefix API/product/tag names by domain to avoid collisions between workspaces</w:t>
            </w:r>
          </w:p>
        </w:tc>
      </w:tr>
      <w:tr w:rsidR="002D25EA" w14:paraId="3E4F6EC3" w14:textId="77777777" w:rsidTr="00D9409F">
        <w:tc>
          <w:tcPr>
            <w:tcW w:w="1700" w:type="dxa"/>
            <w:tcMar>
              <w:top w:w="70" w:type="dxa"/>
              <w:left w:w="100" w:type="dxa"/>
              <w:bottom w:w="70" w:type="dxa"/>
              <w:right w:w="100" w:type="dxa"/>
            </w:tcMar>
          </w:tcPr>
          <w:p w14:paraId="152A9752" w14:textId="77777777" w:rsidR="002D25EA" w:rsidRDefault="002D25EA" w:rsidP="00D9409F">
            <w:r>
              <w:rPr>
                <w:sz w:val="18"/>
                <w:szCs w:val="18"/>
              </w:rPr>
              <w:t>Shared config</w:t>
            </w:r>
          </w:p>
        </w:tc>
        <w:tc>
          <w:tcPr>
            <w:tcW w:w="3400" w:type="dxa"/>
            <w:tcMar>
              <w:top w:w="70" w:type="dxa"/>
              <w:left w:w="100" w:type="dxa"/>
              <w:bottom w:w="70" w:type="dxa"/>
              <w:right w:w="100" w:type="dxa"/>
            </w:tcMar>
          </w:tcPr>
          <w:p w14:paraId="1DFBF1F8" w14:textId="77777777" w:rsidR="002D25EA" w:rsidRDefault="002D25EA" w:rsidP="00D9409F">
            <w:r>
              <w:rPr>
                <w:sz w:val="18"/>
                <w:szCs w:val="18"/>
              </w:rPr>
              <w:t>Workspace policy cannot see service-level named values/backends</w:t>
            </w:r>
          </w:p>
        </w:tc>
        <w:tc>
          <w:tcPr>
            <w:tcW w:w="4200" w:type="dxa"/>
            <w:tcMar>
              <w:top w:w="70" w:type="dxa"/>
              <w:left w:w="100" w:type="dxa"/>
              <w:bottom w:w="70" w:type="dxa"/>
              <w:right w:w="100" w:type="dxa"/>
            </w:tcMar>
          </w:tcPr>
          <w:p w14:paraId="657E6E04" w14:textId="77777777" w:rsidR="002D25EA" w:rsidRDefault="002D25EA" w:rsidP="00D9409F">
            <w:r>
              <w:rPr>
                <w:sz w:val="18"/>
                <w:szCs w:val="18"/>
              </w:rPr>
              <w:t>Provide shared named values within each workspace via APIOps promotion</w:t>
            </w:r>
          </w:p>
        </w:tc>
      </w:tr>
      <w:tr w:rsidR="002D25EA" w14:paraId="2D43DBDE" w14:textId="77777777" w:rsidTr="00D9409F">
        <w:tc>
          <w:tcPr>
            <w:tcW w:w="1700" w:type="dxa"/>
            <w:tcMar>
              <w:top w:w="70" w:type="dxa"/>
              <w:left w:w="100" w:type="dxa"/>
              <w:bottom w:w="70" w:type="dxa"/>
              <w:right w:w="100" w:type="dxa"/>
            </w:tcMar>
          </w:tcPr>
          <w:p w14:paraId="08590A7B" w14:textId="77777777" w:rsidR="002D25EA" w:rsidRDefault="002D25EA" w:rsidP="00D9409F">
            <w:r>
              <w:rPr>
                <w:sz w:val="18"/>
                <w:szCs w:val="18"/>
              </w:rPr>
              <w:t>Identity</w:t>
            </w:r>
          </w:p>
        </w:tc>
        <w:tc>
          <w:tcPr>
            <w:tcW w:w="3400" w:type="dxa"/>
            <w:tcMar>
              <w:top w:w="70" w:type="dxa"/>
              <w:left w:w="100" w:type="dxa"/>
              <w:bottom w:w="70" w:type="dxa"/>
              <w:right w:w="100" w:type="dxa"/>
            </w:tcMar>
          </w:tcPr>
          <w:p w14:paraId="5AF3C9C7" w14:textId="77777777" w:rsidR="002D25EA" w:rsidRDefault="002D25EA" w:rsidP="00D9409F">
            <w:r>
              <w:rPr>
                <w:sz w:val="18"/>
                <w:szCs w:val="18"/>
              </w:rPr>
              <w:t>No service-level managed identity inside workspaces</w:t>
            </w:r>
          </w:p>
        </w:tc>
        <w:tc>
          <w:tcPr>
            <w:tcW w:w="4200" w:type="dxa"/>
            <w:tcMar>
              <w:top w:w="70" w:type="dxa"/>
              <w:left w:w="100" w:type="dxa"/>
              <w:bottom w:w="70" w:type="dxa"/>
              <w:right w:w="100" w:type="dxa"/>
            </w:tcMar>
          </w:tcPr>
          <w:p w14:paraId="5590C0DE" w14:textId="77777777" w:rsidR="002D25EA" w:rsidRDefault="002D25EA" w:rsidP="00D9409F">
            <w:r>
              <w:rPr>
                <w:sz w:val="18"/>
                <w:szCs w:val="18"/>
              </w:rPr>
              <w:t>Use a user-assigned identity for workspace backend auth, or handle at service level</w:t>
            </w:r>
          </w:p>
        </w:tc>
      </w:tr>
    </w:tbl>
    <w:p w14:paraId="1F56979C" w14:textId="77777777" w:rsidR="002D25EA" w:rsidRDefault="002D25EA" w:rsidP="002D25EA">
      <w:pPr>
        <w:spacing w:after="60"/>
      </w:pPr>
    </w:p>
    <w:p w14:paraId="58030BD8" w14:textId="77777777" w:rsidR="002D25EA" w:rsidRPr="00614651" w:rsidRDefault="002D25EA" w:rsidP="00614651">
      <w:pPr>
        <w:rPr>
          <w:b/>
          <w:bCs/>
        </w:rPr>
      </w:pPr>
      <w:r>
        <w:rPr>
          <w:b/>
          <w:bCs/>
        </w:rPr>
        <w:t>How the constructs fit together</w:t>
      </w:r>
    </w:p>
    <w:p>
      <w:pPr>
        <w:spacing w:after="120" w:before="80"/>
        <w:jc w:val="center"/>
      </w:pPr>
      <w:r>
        <w:drawing>
          <wp:inline distT="0" distB="0" distL="0" distR="0">
            <wp:extent cx="5486400" cy="2350779"/>
            <wp:effectExtent l="0" t="0" r="0" b="0"/>
            <wp:docPr id="9001" name="Governance construc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5486400" cy="2350779"/>
                    </a:xfrm>
                    <a:prstGeom prst="rect">
                      <a:avLst/>
                    </a:prstGeom>
                  </pic:spPr>
                </pic:pic>
              </a:graphicData>
            </a:graphic>
          </wp:inline>
        </w:drawing>
      </w:r>
    </w:p>
    <w:p>
      <w:pPr>
        <w:spacing w:after="180"/>
        <w:jc w:val="center"/>
      </w:pPr>
      <w:r>
        <w:rPr>
          <w:i/>
          <w:iCs/>
          <w:color w:val="666666"/>
          <w:sz w:val="18"/>
          <w:szCs w:val="18"/>
        </w:rPr>
        <w:t>Figure 18a: How the governance constructs relate to each other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1B540D0D" w14:textId="77777777" w:rsidTr="00D9409F">
        <w:trPr>
          <w:tblHeader/>
        </w:trPr>
        <w:tc>
          <w:tcPr>
            <w:tcW w:w="3100" w:type="dxa"/>
            <w:shd w:val="clear" w:color="auto" w:fill="1E2761"/>
            <w:tcMar>
              <w:top w:w="70" w:type="dxa"/>
              <w:left w:w="100" w:type="dxa"/>
              <w:bottom w:w="70" w:type="dxa"/>
              <w:right w:w="100" w:type="dxa"/>
            </w:tcMar>
            <w:vAlign w:val="center"/>
          </w:tcPr>
          <w:p w14:paraId="07EA44F3" w14:textId="77777777" w:rsidR="002D25EA" w:rsidRDefault="002D25EA" w:rsidP="00D9409F">
            <w:r>
              <w:rPr>
                <w:b/>
                <w:bCs/>
                <w:color w:val="FFFFFF"/>
                <w:sz w:val="18"/>
                <w:szCs w:val="18"/>
              </w:rPr>
              <w:t>Construct</w:t>
            </w:r>
          </w:p>
        </w:tc>
        <w:tc>
          <w:tcPr>
            <w:tcW w:w="3100" w:type="dxa"/>
            <w:shd w:val="clear" w:color="auto" w:fill="1E2761"/>
            <w:tcMar>
              <w:top w:w="70" w:type="dxa"/>
              <w:left w:w="100" w:type="dxa"/>
              <w:bottom w:w="70" w:type="dxa"/>
              <w:right w:w="100" w:type="dxa"/>
            </w:tcMar>
            <w:vAlign w:val="center"/>
          </w:tcPr>
          <w:p w14:paraId="4163CBD6" w14:textId="77777777" w:rsidR="002D25EA" w:rsidRDefault="002D25EA" w:rsidP="00D9409F">
            <w:r>
              <w:rPr>
                <w:b/>
                <w:bCs/>
                <w:color w:val="FFFFFF"/>
                <w:sz w:val="18"/>
                <w:szCs w:val="18"/>
              </w:rPr>
              <w:t>Governs</w:t>
            </w:r>
          </w:p>
        </w:tc>
        <w:tc>
          <w:tcPr>
            <w:tcW w:w="3100" w:type="dxa"/>
            <w:shd w:val="clear" w:color="auto" w:fill="1E2761"/>
            <w:tcMar>
              <w:top w:w="70" w:type="dxa"/>
              <w:left w:w="100" w:type="dxa"/>
              <w:bottom w:w="70" w:type="dxa"/>
              <w:right w:w="100" w:type="dxa"/>
            </w:tcMar>
            <w:vAlign w:val="center"/>
          </w:tcPr>
          <w:p w14:paraId="2C8F9501" w14:textId="77777777" w:rsidR="002D25EA" w:rsidRDefault="002D25EA" w:rsidP="00D9409F">
            <w:r>
              <w:rPr>
                <w:b/>
                <w:bCs/>
                <w:color w:val="FFFFFF"/>
                <w:sz w:val="18"/>
                <w:szCs w:val="18"/>
              </w:rPr>
              <w:t>Enforces or informs</w:t>
            </w:r>
          </w:p>
        </w:tc>
      </w:tr>
      <w:tr w:rsidR="002D25EA" w14:paraId="72DD1EE4" w14:textId="77777777" w:rsidTr="00D9409F">
        <w:tc>
          <w:tcPr>
            <w:tcW w:w="3100" w:type="dxa"/>
            <w:tcMar>
              <w:top w:w="70" w:type="dxa"/>
              <w:left w:w="100" w:type="dxa"/>
              <w:bottom w:w="70" w:type="dxa"/>
              <w:right w:w="100" w:type="dxa"/>
            </w:tcMar>
            <w:vAlign w:val="center"/>
          </w:tcPr>
          <w:p w14:paraId="02855C5B" w14:textId="77777777" w:rsidR="002D25EA" w:rsidRDefault="002D25EA" w:rsidP="00D9409F">
            <w:r>
              <w:rPr>
                <w:sz w:val="18"/>
                <w:szCs w:val="18"/>
              </w:rPr>
              <w:t>Named values</w:t>
            </w:r>
          </w:p>
        </w:tc>
        <w:tc>
          <w:tcPr>
            <w:tcW w:w="3100" w:type="dxa"/>
            <w:tcMar>
              <w:top w:w="70" w:type="dxa"/>
              <w:left w:w="100" w:type="dxa"/>
              <w:bottom w:w="70" w:type="dxa"/>
              <w:right w:w="100" w:type="dxa"/>
            </w:tcMar>
            <w:vAlign w:val="center"/>
          </w:tcPr>
          <w:p w14:paraId="5134BE1D" w14:textId="77777777" w:rsidR="002D25EA" w:rsidRDefault="002D25EA" w:rsidP="00D9409F">
            <w:r>
              <w:rPr>
                <w:sz w:val="18"/>
                <w:szCs w:val="18"/>
              </w:rPr>
              <w:t>Configuration and secrets used by policies</w:t>
            </w:r>
          </w:p>
        </w:tc>
        <w:tc>
          <w:tcPr>
            <w:tcW w:w="3100" w:type="dxa"/>
            <w:tcMar>
              <w:top w:w="70" w:type="dxa"/>
              <w:left w:w="100" w:type="dxa"/>
              <w:bottom w:w="70" w:type="dxa"/>
              <w:right w:w="100" w:type="dxa"/>
            </w:tcMar>
            <w:vAlign w:val="center"/>
          </w:tcPr>
          <w:p w14:paraId="6F6E3B12" w14:textId="77777777" w:rsidR="002D25EA" w:rsidRDefault="002D25EA" w:rsidP="00D9409F">
            <w:r>
              <w:rPr>
                <w:sz w:val="18"/>
                <w:szCs w:val="18"/>
              </w:rPr>
              <w:t>Enforces (Key Vault-backed, environment-scoped)</w:t>
            </w:r>
          </w:p>
        </w:tc>
      </w:tr>
      <w:tr w:rsidR="002D25EA" w14:paraId="3BE30EE3" w14:textId="77777777" w:rsidTr="00D9409F">
        <w:tc>
          <w:tcPr>
            <w:tcW w:w="3100" w:type="dxa"/>
            <w:tcMar>
              <w:top w:w="70" w:type="dxa"/>
              <w:left w:w="100" w:type="dxa"/>
              <w:bottom w:w="70" w:type="dxa"/>
              <w:right w:w="100" w:type="dxa"/>
            </w:tcMar>
            <w:vAlign w:val="center"/>
          </w:tcPr>
          <w:p w14:paraId="27F70CB0" w14:textId="77777777" w:rsidR="002D25EA" w:rsidRDefault="002D25EA" w:rsidP="00D9409F">
            <w:r>
              <w:rPr>
                <w:sz w:val="18"/>
                <w:szCs w:val="18"/>
              </w:rPr>
              <w:t>Products</w:t>
            </w:r>
          </w:p>
        </w:tc>
        <w:tc>
          <w:tcPr>
            <w:tcW w:w="3100" w:type="dxa"/>
            <w:tcMar>
              <w:top w:w="70" w:type="dxa"/>
              <w:left w:w="100" w:type="dxa"/>
              <w:bottom w:w="70" w:type="dxa"/>
              <w:right w:w="100" w:type="dxa"/>
            </w:tcMar>
            <w:vAlign w:val="center"/>
          </w:tcPr>
          <w:p w14:paraId="4BAE7927" w14:textId="77777777" w:rsidR="002D25EA" w:rsidRDefault="002D25EA" w:rsidP="00D9409F">
            <w:r>
              <w:rPr>
                <w:sz w:val="18"/>
                <w:szCs w:val="18"/>
              </w:rPr>
              <w:t>Which APIs are bundled and their access rules</w:t>
            </w:r>
          </w:p>
        </w:tc>
        <w:tc>
          <w:tcPr>
            <w:tcW w:w="3100" w:type="dxa"/>
            <w:tcMar>
              <w:top w:w="70" w:type="dxa"/>
              <w:left w:w="100" w:type="dxa"/>
              <w:bottom w:w="70" w:type="dxa"/>
              <w:right w:w="100" w:type="dxa"/>
            </w:tcMar>
            <w:vAlign w:val="center"/>
          </w:tcPr>
          <w:p w14:paraId="7F6AB65D" w14:textId="77777777" w:rsidR="002D25EA" w:rsidRDefault="002D25EA" w:rsidP="00D9409F">
            <w:r>
              <w:rPr>
                <w:sz w:val="18"/>
                <w:szCs w:val="18"/>
              </w:rPr>
              <w:t>Enforces (policy, quota, approval)</w:t>
            </w:r>
          </w:p>
        </w:tc>
      </w:tr>
      <w:tr w:rsidR="002D25EA" w14:paraId="2849EDE2" w14:textId="77777777" w:rsidTr="00D9409F">
        <w:tc>
          <w:tcPr>
            <w:tcW w:w="3100" w:type="dxa"/>
            <w:tcMar>
              <w:top w:w="70" w:type="dxa"/>
              <w:left w:w="100" w:type="dxa"/>
              <w:bottom w:w="70" w:type="dxa"/>
              <w:right w:w="100" w:type="dxa"/>
            </w:tcMar>
            <w:vAlign w:val="center"/>
          </w:tcPr>
          <w:p w14:paraId="10BEF31C" w14:textId="77777777" w:rsidR="002D25EA" w:rsidRDefault="002D25EA" w:rsidP="00D9409F">
            <w:r>
              <w:rPr>
                <w:sz w:val="18"/>
                <w:szCs w:val="18"/>
              </w:rPr>
              <w:lastRenderedPageBreak/>
              <w:t>Groups</w:t>
            </w:r>
          </w:p>
        </w:tc>
        <w:tc>
          <w:tcPr>
            <w:tcW w:w="3100" w:type="dxa"/>
            <w:tcMar>
              <w:top w:w="70" w:type="dxa"/>
              <w:left w:w="100" w:type="dxa"/>
              <w:bottom w:w="70" w:type="dxa"/>
              <w:right w:w="100" w:type="dxa"/>
            </w:tcMar>
            <w:vAlign w:val="center"/>
          </w:tcPr>
          <w:p w14:paraId="08812815" w14:textId="77777777" w:rsidR="002D25EA" w:rsidRDefault="002D25EA" w:rsidP="00D9409F">
            <w:r>
              <w:rPr>
                <w:sz w:val="18"/>
                <w:szCs w:val="18"/>
              </w:rPr>
              <w:t>Who can see and subscribe to a product</w:t>
            </w:r>
          </w:p>
        </w:tc>
        <w:tc>
          <w:tcPr>
            <w:tcW w:w="3100" w:type="dxa"/>
            <w:tcMar>
              <w:top w:w="70" w:type="dxa"/>
              <w:left w:w="100" w:type="dxa"/>
              <w:bottom w:w="70" w:type="dxa"/>
              <w:right w:w="100" w:type="dxa"/>
            </w:tcMar>
            <w:vAlign w:val="center"/>
          </w:tcPr>
          <w:p w14:paraId="5DEB55DD" w14:textId="77777777" w:rsidR="002D25EA" w:rsidRDefault="002D25EA" w:rsidP="00D9409F">
            <w:r>
              <w:rPr>
                <w:sz w:val="18"/>
                <w:szCs w:val="18"/>
              </w:rPr>
              <w:t>Enforces (via Entra ID membership)</w:t>
            </w:r>
          </w:p>
        </w:tc>
      </w:tr>
      <w:tr w:rsidR="002D25EA" w14:paraId="1B037B1D" w14:textId="77777777" w:rsidTr="00D9409F">
        <w:tc>
          <w:tcPr>
            <w:tcW w:w="3100" w:type="dxa"/>
            <w:tcMar>
              <w:top w:w="70" w:type="dxa"/>
              <w:left w:w="100" w:type="dxa"/>
              <w:bottom w:w="70" w:type="dxa"/>
              <w:right w:w="100" w:type="dxa"/>
            </w:tcMar>
            <w:vAlign w:val="center"/>
          </w:tcPr>
          <w:p w14:paraId="3737AE79" w14:textId="77777777" w:rsidR="002D25EA" w:rsidRDefault="002D25EA" w:rsidP="00D9409F">
            <w:r>
              <w:rPr>
                <w:sz w:val="18"/>
                <w:szCs w:val="18"/>
              </w:rPr>
              <w:t>Tags</w:t>
            </w:r>
          </w:p>
        </w:tc>
        <w:tc>
          <w:tcPr>
            <w:tcW w:w="3100" w:type="dxa"/>
            <w:tcMar>
              <w:top w:w="70" w:type="dxa"/>
              <w:left w:w="100" w:type="dxa"/>
              <w:bottom w:w="70" w:type="dxa"/>
              <w:right w:w="100" w:type="dxa"/>
            </w:tcMar>
            <w:vAlign w:val="center"/>
          </w:tcPr>
          <w:p w14:paraId="6E2D3AB6" w14:textId="77777777" w:rsidR="002D25EA" w:rsidRDefault="002D25EA" w:rsidP="00D9409F">
            <w:r>
              <w:rPr>
                <w:sz w:val="18"/>
                <w:szCs w:val="18"/>
              </w:rPr>
              <w:t>Categorisation and search</w:t>
            </w:r>
          </w:p>
        </w:tc>
        <w:tc>
          <w:tcPr>
            <w:tcW w:w="3100" w:type="dxa"/>
            <w:tcMar>
              <w:top w:w="70" w:type="dxa"/>
              <w:left w:w="100" w:type="dxa"/>
              <w:bottom w:w="70" w:type="dxa"/>
              <w:right w:w="100" w:type="dxa"/>
            </w:tcMar>
            <w:vAlign w:val="center"/>
          </w:tcPr>
          <w:p w14:paraId="58324164" w14:textId="77777777" w:rsidR="002D25EA" w:rsidRDefault="002D25EA" w:rsidP="00D9409F">
            <w:r>
              <w:rPr>
                <w:sz w:val="18"/>
                <w:szCs w:val="18"/>
              </w:rPr>
              <w:t>Informs (discoverability only)</w:t>
            </w:r>
          </w:p>
        </w:tc>
      </w:tr>
      <w:tr w:rsidR="002D25EA" w14:paraId="52F7AEC9" w14:textId="77777777" w:rsidTr="00D9409F">
        <w:tc>
          <w:tcPr>
            <w:tcW w:w="3100" w:type="dxa"/>
            <w:tcMar>
              <w:top w:w="70" w:type="dxa"/>
              <w:left w:w="100" w:type="dxa"/>
              <w:bottom w:w="70" w:type="dxa"/>
              <w:right w:w="100" w:type="dxa"/>
            </w:tcMar>
            <w:vAlign w:val="center"/>
          </w:tcPr>
          <w:p w14:paraId="6F96BC95" w14:textId="77777777" w:rsidR="002D25EA" w:rsidRDefault="002D25EA" w:rsidP="00D9409F">
            <w:r>
              <w:rPr>
                <w:sz w:val="18"/>
                <w:szCs w:val="18"/>
              </w:rPr>
              <w:t>Workspaces</w:t>
            </w:r>
          </w:p>
        </w:tc>
        <w:tc>
          <w:tcPr>
            <w:tcW w:w="3100" w:type="dxa"/>
            <w:tcMar>
              <w:top w:w="70" w:type="dxa"/>
              <w:left w:w="100" w:type="dxa"/>
              <w:bottom w:w="70" w:type="dxa"/>
              <w:right w:w="100" w:type="dxa"/>
            </w:tcMar>
            <w:vAlign w:val="center"/>
          </w:tcPr>
          <w:p w14:paraId="04CD910D" w14:textId="77777777" w:rsidR="002D25EA" w:rsidRDefault="002D25EA" w:rsidP="00D9409F">
            <w:r>
              <w:rPr>
                <w:sz w:val="18"/>
                <w:szCs w:val="18"/>
              </w:rPr>
              <w:t>Which team owns which APIs</w:t>
            </w:r>
          </w:p>
        </w:tc>
        <w:tc>
          <w:tcPr>
            <w:tcW w:w="3100" w:type="dxa"/>
            <w:tcMar>
              <w:top w:w="70" w:type="dxa"/>
              <w:left w:w="100" w:type="dxa"/>
              <w:bottom w:w="70" w:type="dxa"/>
              <w:right w:w="100" w:type="dxa"/>
            </w:tcMar>
            <w:vAlign w:val="center"/>
          </w:tcPr>
          <w:p w14:paraId="5D424902" w14:textId="77777777" w:rsidR="002D25EA" w:rsidRDefault="002D25EA" w:rsidP="00D9409F">
            <w:r>
              <w:rPr>
                <w:sz w:val="18"/>
                <w:szCs w:val="18"/>
              </w:rPr>
              <w:t>Enforces (RBAC-scoped isolation)</w:t>
            </w:r>
          </w:p>
        </w:tc>
      </w:tr>
    </w:tbl>
    <w:p w14:paraId="02F945CA" w14:textId="77777777" w:rsidR="002D25EA" w:rsidRDefault="002D25EA" w:rsidP="002D25EA">
      <w:pPr>
        <w:spacing w:after="140"/>
      </w:pPr>
    </w:p>
    <w:p>
      <w:pPr>
        <w:spacing w:after="140" w:before="120"/>
        <w:rPr>
          <w:b/>
          <w:bCs/>
        </w:rPr>
      </w:pPr>
      <w:r>
        <w:rPr>
          <w:b/>
          <w:bCs/>
        </w:rPr>
        <w:t xml:space="preserve">Developer portal</w:t>
      </w:r>
    </w:p>
    <w:p>
      <w:pPr>
        <w:spacing w:after="140" w:before="120"/>
        <w:rPr>
          <w:b/>
          <w:bCs/>
        </w:rPr>
      </w:pPr>
      <w:r>
        <w:rPr>
          <w:b/>
          <w:bCs/>
        </w:rPr>
        <w:t xml:space="preserve">Purpose</w:t>
      </w:r>
    </w:p>
    <w:p>
      <w:pPr>
        <w:spacing w:after="140"/>
      </w:pPr>
      <w:r>
        <w:rPr>
          <w:rFonts w:ascii="Noe Text" w:cs="Noe Text" w:eastAsia="Noe Text" w:hAnsi="Noe Text"/>
          <w:color w:val="333333"/>
          <w:sz w:val="21"/>
          <w:szCs w:val="21"/>
        </w:rPr>
        <w:t xml:space="preserve">The developer portal is APIM’s self-service front door for the people who consume APIs, an automatically generated, customisable website that publishes the API catalogue, its documentation, and the means to subscribe and test. Its purpose is to let a developer discover and adopt a the Organization API without a ticket or a conversation. APIM has two audiences: the platform and domain teams work in the management plane (portal, CLI, APIOps) to define APIs, products and policies; the consuming developers, internal or partner, live in the developer portal. Nothing a consumer needs to self-serve should live anywhere else.</w:t>
      </w:r>
    </w:p>
    <w:p>
      <w:pPr>
        <w:spacing w:after="140" w:before="120"/>
        <w:rPr>
          <w:b/>
          <w:bCs/>
        </w:rPr>
      </w:pPr>
      <w:r>
        <w:rPr>
          <w:b/>
          <w:bCs/>
        </w:rPr>
        <w:t xml:space="preserve">API discovery strategy</w:t>
      </w:r>
    </w:p>
    <w:p>
      <w:pPr>
        <w:spacing w:after="140"/>
      </w:pPr>
      <w:r>
        <w:rPr>
          <w:rFonts w:ascii="Noe Text" w:cs="Noe Text" w:eastAsia="Noe Text" w:hAnsi="Noe Text"/>
          <w:color w:val="333333"/>
          <w:sz w:val="21"/>
          <w:szCs w:val="21"/>
        </w:rPr>
        <w:t xml:space="preserve">Discovery is deliberately curated, not a raw API list. Three rules shape what a developer finds:</w:t>
      </w:r>
    </w:p>
    <w:p>
      <w:pPr>
        <w:pStyle w:val="ListParagraph"/>
        <w:numPr>
          <w:ilvl w:val="0"/>
          <w:numId w:val="2"/>
        </w:numPr>
        <w:spacing w:after="70"/>
      </w:pPr>
      <w:r>
        <w:rPr>
          <w:rFonts w:ascii="Noe Text" w:cs="Noe Text" w:eastAsia="Noe Text" w:hAnsi="Noe Text"/>
          <w:color w:val="333333"/>
          <w:sz w:val="21"/>
          <w:szCs w:val="21"/>
        </w:rPr>
        <w:t xml:space="preserve">Visibility follows identity: the portal shows only the products a signed-in developer’s Entra ID group permits, so a broker sees broker products and never an internal-only API.</w:t>
      </w:r>
    </w:p>
    <w:p>
      <w:pPr>
        <w:pStyle w:val="ListParagraph"/>
        <w:numPr>
          <w:ilvl w:val="0"/>
          <w:numId w:val="2"/>
        </w:numPr>
        <w:spacing w:after="70"/>
      </w:pPr>
      <w:r>
        <w:rPr>
          <w:rFonts w:ascii="Noe Text" w:cs="Noe Text" w:eastAsia="Noe Text" w:hAnsi="Noe Text"/>
          <w:color w:val="333333"/>
          <w:sz w:val="21"/>
          <w:szCs w:val="21"/>
        </w:rPr>
        <w:t xml:space="preserve">Grouping is by product, not raw API: a developer opens a product tile (for example External Broker), sees the APIs it bundles, and subscribes to the product as a unit; the subscription then works across every API in it.</w:t>
      </w:r>
    </w:p>
    <w:p>
      <w:pPr>
        <w:pStyle w:val="ListParagraph"/>
        <w:numPr>
          <w:ilvl w:val="0"/>
          <w:numId w:val="2"/>
        </w:numPr>
        <w:spacing w:after="70"/>
      </w:pPr>
      <w:r>
        <w:rPr>
          <w:rFonts w:ascii="Noe Text" w:cs="Noe Text" w:eastAsia="Noe Text" w:hAnsi="Noe Text"/>
          <w:color w:val="333333"/>
          <w:sz w:val="21"/>
          <w:szCs w:val="21"/>
        </w:rPr>
        <w:t xml:space="preserve">Tags are the search axis: consistent tags (section 10) let developers filter and search a growing catalogue, and each API page carries its operations, request and response schemas, and an interactive console for trying a call.</w:t>
      </w:r>
    </w:p>
    <w:p>
      <w:pPr>
        <w:spacing w:after="140" w:before="120"/>
        <w:rPr>
          <w:b/>
          <w:bCs/>
        </w:rPr>
      </w:pPr>
      <w:r>
        <w:rPr>
          <w:b/>
          <w:bCs/>
        </w:rPr>
        <w:t xml:space="preserve">User onboarding flow</w:t>
      </w:r>
    </w:p>
    <w:p>
      <w:pPr>
        <w:spacing w:after="140"/>
      </w:pPr>
      <w:r>
        <w:rPr>
          <w:rFonts w:ascii="Noe Text" w:cs="Noe Text" w:eastAsia="Noe Text" w:hAnsi="Noe Text"/>
          <w:color w:val="333333"/>
          <w:sz w:val="21"/>
          <w:szCs w:val="21"/>
        </w:rPr>
        <w:t xml:space="preserve">The end-to-end path for bringing a new broker, partner or internal team onto the platform through the portal:</w:t>
      </w:r>
    </w:p>
    <w:p>
      <w:pPr>
        <w:pStyle w:val="ListParagraph"/>
        <w:numPr>
          <w:ilvl w:val="0"/>
          <w:numId w:val="2"/>
        </w:numPr>
        <w:spacing w:after="70"/>
      </w:pPr>
      <w:r>
        <w:rPr>
          <w:rFonts w:ascii="Noe Text" w:cs="Noe Text" w:eastAsia="Noe Text" w:hAnsi="Noe Text"/>
          <w:color w:val="333333"/>
          <w:sz w:val="21"/>
          <w:szCs w:val="21"/>
        </w:rPr>
        <w:t xml:space="preserve">Access: the consumer is added to the appropriate Entra ID group; sign-in is through single sign-on, and self-registration is disabled, so access is always deliberate.</w:t>
      </w:r>
    </w:p>
    <w:p>
      <w:pPr>
        <w:pStyle w:val="ListParagraph"/>
        <w:numPr>
          <w:ilvl w:val="0"/>
          <w:numId w:val="2"/>
        </w:numPr>
        <w:spacing w:after="70"/>
      </w:pPr>
      <w:r>
        <w:rPr>
          <w:rFonts w:ascii="Noe Text" w:cs="Noe Text" w:eastAsia="Noe Text" w:hAnsi="Noe Text"/>
          <w:color w:val="333333"/>
          <w:sz w:val="21"/>
          <w:szCs w:val="21"/>
        </w:rPr>
        <w:t xml:space="preserve">Discover: signed in, they see only the products their group permits, and browse the APIs and documentation within them.</w:t>
      </w:r>
    </w:p>
    <w:p>
      <w:pPr>
        <w:pStyle w:val="ListParagraph"/>
        <w:numPr>
          <w:ilvl w:val="0"/>
          <w:numId w:val="2"/>
        </w:numPr>
        <w:spacing w:after="70"/>
      </w:pPr>
      <w:r>
        <w:rPr>
          <w:rFonts w:ascii="Noe Text" w:cs="Noe Text" w:eastAsia="Noe Text" w:hAnsi="Noe Text"/>
          <w:color w:val="333333"/>
          <w:sz w:val="21"/>
          <w:szCs w:val="21"/>
        </w:rPr>
        <w:t xml:space="preserve">Subscribe: they request a subscription to the product they need, automatic for trusted internal products, gated by approval for external ones.</w:t>
      </w:r>
    </w:p>
    <w:p>
      <w:pPr>
        <w:pStyle w:val="ListParagraph"/>
        <w:numPr>
          <w:ilvl w:val="0"/>
          <w:numId w:val="2"/>
        </w:numPr>
        <w:spacing w:after="70"/>
      </w:pPr>
      <w:r>
        <w:rPr>
          <w:rFonts w:ascii="Noe Text" w:cs="Noe Text" w:eastAsia="Noe Text" w:hAnsi="Noe Text"/>
          <w:color w:val="333333"/>
          <w:sz w:val="21"/>
          <w:szCs w:val="21"/>
        </w:rPr>
        <w:t xml:space="preserve">Credentials: on approval a subscription key is issued, and for OAuth-protected APIs their application obtains a token from Entra ID; the backend never sees a raw credential.</w:t>
      </w:r>
    </w:p>
    <w:p>
      <w:pPr>
        <w:pStyle w:val="ListParagraph"/>
        <w:numPr>
          <w:ilvl w:val="0"/>
          <w:numId w:val="2"/>
        </w:numPr>
        <w:spacing w:after="70"/>
      </w:pPr>
      <w:r>
        <w:rPr>
          <w:rFonts w:ascii="Noe Text" w:cs="Noe Text" w:eastAsia="Noe Text" w:hAnsi="Noe Text"/>
          <w:color w:val="333333"/>
          <w:sz w:val="21"/>
          <w:szCs w:val="21"/>
        </w:rPr>
        <w:t xml:space="preserve">Test and integrate: using the interactive console and published schemas, they validate their calls, then integrate against the stable published contract rather than a specific backend.</w:t>
      </w:r>
    </w:p>
    <w:p>
      <w:pPr>
        <w:spacing w:after="140"/>
      </w:pPr>
      <w:r>
        <w:rPr>
          <w:rFonts w:ascii="Noe Text" w:cs="Noe Text" w:eastAsia="Noe Text" w:hAnsi="Noe Text"/>
          <w:color w:val="333333"/>
          <w:sz w:val="21"/>
          <w:szCs w:val="21"/>
        </w:rPr>
        <w:t xml:space="preserve">In steady-state production the same consumer calls the API through APIM, where JWT validation and per-subscription rate limits and quotas are enforced on every call, and manages their own subscriptions and key rotation from the portal profile area without a the Organization ticket. The full journey, from access granted to steady-state use, is shown below.</w:t>
      </w:r>
    </w:p>
    <w:p>
      <w:pPr>
        <w:spacing w:after="120" w:before="120"/>
        <w:jc w:val="center"/>
      </w:pPr>
      <w:r>
        <w:drawing>
          <wp:inline distT="0" distB="0" distL="0" distR="0">
            <wp:extent cx="5943600" cy="1171070"/>
            <wp:effectExtent l="0" t="0" r="0" b="0"/>
            <wp:docPr id="9501" name="Consum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1171070"/>
                    </a:xfrm>
                    <a:prstGeom prst="rect">
                      <a:avLst/>
                    </a:prstGeom>
                  </pic:spPr>
                </pic:pic>
              </a:graphicData>
            </a:graphic>
          </wp:inline>
        </w:drawing>
      </w:r>
    </w:p>
    <w:p>
      <w:pPr>
        <w:spacing w:after="180"/>
        <w:jc w:val="center"/>
      </w:pPr>
      <w:r>
        <w:rPr>
          <w:i/>
          <w:iCs/>
          <w:color w:val="666666"/>
          <w:sz w:val="18"/>
          <w:szCs w:val="18"/>
        </w:rPr>
        <w:t>Figure 19: The API consumer journey, ten steps from access granted to steady-state use, support and versioning</w:t>
      </w:r>
    </w:p>
    <w:p>
      <w:pPr>
        <w:spacing w:after="140"/>
      </w:pPr>
      <w:r>
        <w:rPr>
          <w:rFonts w:ascii="Noe Text" w:cs="Noe Text" w:eastAsia="Noe Text" w:hAnsi="Noe Text"/>
          <w:i/>
          <w:iCs/>
          <w:color w:val="333333"/>
          <w:sz w:val="21"/>
          <w:szCs w:val="21"/>
        </w:rPr>
        <w:t xml:space="preserve">Two responsibilities sit with the Organization to make this journey real, and are recorded as operational tasks in the assumptions register: a named owner for approving external subscription requests within an agreed SLA, and a defined support and escalation path (who a partner contacts when a call fails, and how correlation IDs are used to resolve it).</w:t>
      </w:r>
    </w:p>
    <w:p w14:paraId="72E94ECB" w14:textId="77777777" w:rsidR="002D25EA" w:rsidRPr="002D25EA" w:rsidRDefault="002D25EA" w:rsidP="002D25EA">
      <w:pPr>
        <w:pStyle w:val="Heading1"/>
        <w:pageBreakBefore/>
        <w:spacing w:after="0"/>
        <w:ind w:left="426" w:hanging="432"/>
        <w:rPr>
          <w:rFonts w:asciiTheme="minorHAnsi" w:eastAsiaTheme="minorHAnsi" w:hAnsiTheme="minorHAnsi" w:cstheme="minorBidi"/>
          <w:b w:val="0"/>
          <w:bCs w:val="0"/>
          <w:color w:val="000000" w:themeColor="text1" w:themeShade="80"/>
          <w:sz w:val="24"/>
          <w:szCs w:val="20"/>
          <w:lang w:eastAsia="en-US"/>
        </w:rPr>
      </w:pPr>
      <w:bookmarkStart w:id="25" w:name="_Toc240539749"/>
      <w:r>
        <w:rPr>
          <w:rFonts w:asciiTheme="minorHAnsi" w:eastAsiaTheme="minorHAnsi" w:hAnsiTheme="minorHAnsi" w:cstheme="minorBidi"/>
          <w:b w:val="0"/>
          <w:bCs w:val="0"/>
          <w:color w:val="000000" w:themeColor="text1" w:themeShade="80"/>
          <w:sz w:val="24"/>
          <w:szCs w:val="20"/>
          <w:lang w:eastAsia="en-US"/>
        </w:rPr>
        <w:lastRenderedPageBreak/>
        <w:t>API Design, Policies and Governance</w:t>
      </w:r>
      <w:bookmarkEnd w:id="25"/>
    </w:p>
    <w:p w14:paraId="61ACC97C"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6" w:name="_Toc240539750"/>
      <w:r>
        <w:rPr>
          <w:rFonts w:asciiTheme="minorHAnsi" w:eastAsia="Times New Roman" w:hAnsiTheme="minorHAnsi" w:cs="Times New Roman"/>
          <w:b w:val="0"/>
          <w:color w:val="132040" w:themeColor="accent1" w:themeShade="BF"/>
          <w:sz w:val="24"/>
          <w:szCs w:val="26"/>
          <w:lang w:eastAsia="en-US"/>
        </w:rPr>
        <w:t>Engineering and Naming Standards</w:t>
      </w:r>
      <w:bookmarkEnd w:id="26"/>
    </w:p>
    <w:p w14:paraId="3CBA8C50" w14:textId="77777777" w:rsidR="002D25EA" w:rsidRDefault="002D25EA" w:rsidP="002D25EA">
      <w:pPr>
        <w:spacing w:after="140"/>
      </w:pPr>
      <w:r>
        <w:t>These engineering standards are not invented for this platform; they follow the Organization’s existing Engineering Standard and Cloud Adoption Framework conventions, and are restated here only where they bear on the APIM design. Where this document and the corporate standard differ, the corporate standard prevails and this design should be reconciled to it. [Placeholder: link to the Organization’s Engineering Standard / CAF naming standard: to be inserted by the Organization before issue.]</w:t>
      </w:r>
    </w:p>
    <w:p w14:paraId="5BA5B2FA" w14:textId="77777777" w:rsidR="002D25EA" w:rsidRDefault="002D25EA" w:rsidP="002D25EA">
      <w:pPr>
        <w:spacing w:after="140"/>
      </w:pPr>
      <w:r>
        <w:t>APIs follow the design and naming standards below; these are the engineering standards the platform enforces.</w:t>
      </w:r>
    </w:p>
    <w:p w14:paraId="7ECFF975" w14:textId="77777777" w:rsidR="002D25EA" w:rsidRDefault="002D25EA" w:rsidP="002D25EA">
      <w:pPr>
        <w:spacing w:after="140"/>
      </w:pPr>
      <w:r>
        <w:t>Every API follows the same conventions, so teams and consumers do not have to relearn a new shape for every integration.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3362"/>
        <w:gridCol w:w="3025"/>
      </w:tblGrid>
      <w:tr w:rsidR="002D25EA" w14:paraId="4A194F8C" w14:textId="77777777" w:rsidTr="00284C6E">
        <w:trPr>
          <w:tblHeader/>
        </w:trPr>
        <w:tc>
          <w:tcPr>
            <w:tcW w:w="3100" w:type="dxa"/>
            <w:shd w:val="clear" w:color="auto" w:fill="C1CDEC" w:themeFill="accent1" w:themeFillTint="33"/>
            <w:tcMar>
              <w:top w:w="70" w:type="dxa"/>
              <w:left w:w="100" w:type="dxa"/>
              <w:bottom w:w="70" w:type="dxa"/>
              <w:right w:w="100" w:type="dxa"/>
            </w:tcMar>
            <w:vAlign w:val="center"/>
          </w:tcPr>
          <w:p w14:paraId="0BA1F924" w14:textId="77777777" w:rsidR="002D25EA" w:rsidRPr="00284C6E" w:rsidRDefault="002D25EA" w:rsidP="00D9409F">
            <w:pPr>
              <w:rPr>
                <w:sz w:val="20"/>
                <w:szCs w:val="20"/>
              </w:rPr>
            </w:pPr>
            <w:r>
              <w:rPr>
                <w:b/>
                <w:bCs/>
                <w:color w:val="FFFFFF"/>
                <w:sz w:val="20"/>
                <w:szCs w:val="20"/>
              </w:rPr>
              <w:t>Aspect</w:t>
            </w:r>
          </w:p>
        </w:tc>
        <w:tc>
          <w:tcPr>
            <w:tcW w:w="3100" w:type="dxa"/>
            <w:shd w:val="clear" w:color="auto" w:fill="C1CDEC" w:themeFill="accent1" w:themeFillTint="33"/>
            <w:tcMar>
              <w:top w:w="70" w:type="dxa"/>
              <w:left w:w="100" w:type="dxa"/>
              <w:bottom w:w="70" w:type="dxa"/>
              <w:right w:w="100" w:type="dxa"/>
            </w:tcMar>
            <w:vAlign w:val="center"/>
          </w:tcPr>
          <w:p w14:paraId="5FDF8276" w14:textId="77777777" w:rsidR="002D25EA" w:rsidRPr="00284C6E" w:rsidRDefault="002D25EA" w:rsidP="00D9409F">
            <w:pPr>
              <w:rPr>
                <w:sz w:val="20"/>
                <w:szCs w:val="20"/>
              </w:rPr>
            </w:pPr>
            <w:r>
              <w:rPr>
                <w:b/>
                <w:bCs/>
                <w:color w:val="FFFFFF"/>
                <w:sz w:val="20"/>
                <w:szCs w:val="20"/>
              </w:rPr>
              <w:t>Standard</w:t>
            </w:r>
          </w:p>
        </w:tc>
        <w:tc>
          <w:tcPr>
            <w:tcW w:w="3100" w:type="dxa"/>
            <w:shd w:val="clear" w:color="auto" w:fill="C1CDEC" w:themeFill="accent1" w:themeFillTint="33"/>
            <w:tcMar>
              <w:top w:w="70" w:type="dxa"/>
              <w:left w:w="100" w:type="dxa"/>
              <w:bottom w:w="70" w:type="dxa"/>
              <w:right w:w="100" w:type="dxa"/>
            </w:tcMar>
            <w:vAlign w:val="center"/>
          </w:tcPr>
          <w:p w14:paraId="1C9CE567" w14:textId="77777777" w:rsidR="002D25EA" w:rsidRPr="00284C6E" w:rsidRDefault="002D25EA" w:rsidP="00D9409F">
            <w:pPr>
              <w:rPr>
                <w:sz w:val="20"/>
                <w:szCs w:val="20"/>
              </w:rPr>
            </w:pPr>
            <w:r>
              <w:rPr>
                <w:b/>
                <w:bCs/>
                <w:color w:val="FFFFFF"/>
                <w:sz w:val="20"/>
                <w:szCs w:val="20"/>
              </w:rPr>
              <w:t>Example</w:t>
            </w:r>
          </w:p>
        </w:tc>
      </w:tr>
      <w:tr w:rsidR="002D25EA" w14:paraId="36722441" w14:textId="77777777" w:rsidTr="00D9409F">
        <w:tc>
          <w:tcPr>
            <w:tcW w:w="3100" w:type="dxa"/>
            <w:tcMar>
              <w:top w:w="70" w:type="dxa"/>
              <w:left w:w="100" w:type="dxa"/>
              <w:bottom w:w="70" w:type="dxa"/>
              <w:right w:w="100" w:type="dxa"/>
            </w:tcMar>
            <w:vAlign w:val="center"/>
          </w:tcPr>
          <w:p w14:paraId="480D915D" w14:textId="77777777" w:rsidR="002D25EA" w:rsidRPr="00284C6E" w:rsidRDefault="002D25EA" w:rsidP="00D9409F">
            <w:pPr>
              <w:rPr>
                <w:sz w:val="20"/>
                <w:szCs w:val="20"/>
              </w:rPr>
            </w:pPr>
            <w:r>
              <w:rPr>
                <w:sz w:val="20"/>
                <w:szCs w:val="20"/>
              </w:rPr>
              <w:t>Base path</w:t>
            </w:r>
          </w:p>
        </w:tc>
        <w:tc>
          <w:tcPr>
            <w:tcW w:w="3100" w:type="dxa"/>
            <w:tcMar>
              <w:top w:w="70" w:type="dxa"/>
              <w:left w:w="100" w:type="dxa"/>
              <w:bottom w:w="70" w:type="dxa"/>
              <w:right w:w="100" w:type="dxa"/>
            </w:tcMar>
            <w:vAlign w:val="center"/>
          </w:tcPr>
          <w:p w14:paraId="4B8E7F04" w14:textId="77777777" w:rsidR="002D25EA" w:rsidRPr="00284C6E" w:rsidRDefault="002D25EA" w:rsidP="00D9409F">
            <w:pPr>
              <w:rPr>
                <w:sz w:val="20"/>
                <w:szCs w:val="20"/>
              </w:rPr>
            </w:pPr>
            <w:r>
              <w:rPr>
                <w:sz w:val="20"/>
                <w:szCs w:val="20"/>
              </w:rPr>
              <w:t>/api/{domain}/{version}/{resource}</w:t>
            </w:r>
          </w:p>
        </w:tc>
        <w:tc>
          <w:tcPr>
            <w:tcW w:w="3100" w:type="dxa"/>
            <w:tcMar>
              <w:top w:w="70" w:type="dxa"/>
              <w:left w:w="100" w:type="dxa"/>
              <w:bottom w:w="70" w:type="dxa"/>
              <w:right w:w="100" w:type="dxa"/>
            </w:tcMar>
            <w:vAlign w:val="center"/>
          </w:tcPr>
          <w:p w14:paraId="34AB9B50" w14:textId="77777777" w:rsidR="002D25EA" w:rsidRPr="00284C6E" w:rsidRDefault="002D25EA" w:rsidP="00D9409F">
            <w:pPr>
              <w:rPr>
                <w:sz w:val="20"/>
                <w:szCs w:val="20"/>
              </w:rPr>
            </w:pPr>
            <w:r>
              <w:rPr>
                <w:sz w:val="20"/>
                <w:szCs w:val="20"/>
              </w:rPr>
              <w:t>/api/claims/v1/claims</w:t>
            </w:r>
          </w:p>
        </w:tc>
      </w:tr>
      <w:tr w:rsidR="002D25EA" w14:paraId="4752AF2B" w14:textId="77777777" w:rsidTr="00D9409F">
        <w:tc>
          <w:tcPr>
            <w:tcW w:w="3100" w:type="dxa"/>
            <w:tcMar>
              <w:top w:w="70" w:type="dxa"/>
              <w:left w:w="100" w:type="dxa"/>
              <w:bottom w:w="70" w:type="dxa"/>
              <w:right w:w="100" w:type="dxa"/>
            </w:tcMar>
            <w:vAlign w:val="center"/>
          </w:tcPr>
          <w:p w14:paraId="53E5A36F" w14:textId="77777777" w:rsidR="002D25EA" w:rsidRPr="00284C6E" w:rsidRDefault="002D25EA" w:rsidP="00D9409F">
            <w:pPr>
              <w:rPr>
                <w:sz w:val="20"/>
                <w:szCs w:val="20"/>
              </w:rPr>
            </w:pPr>
            <w:r>
              <w:rPr>
                <w:sz w:val="20"/>
                <w:szCs w:val="20"/>
              </w:rPr>
              <w:t>Resource naming</w:t>
            </w:r>
          </w:p>
        </w:tc>
        <w:tc>
          <w:tcPr>
            <w:tcW w:w="3100" w:type="dxa"/>
            <w:tcMar>
              <w:top w:w="70" w:type="dxa"/>
              <w:left w:w="100" w:type="dxa"/>
              <w:bottom w:w="70" w:type="dxa"/>
              <w:right w:w="100" w:type="dxa"/>
            </w:tcMar>
            <w:vAlign w:val="center"/>
          </w:tcPr>
          <w:p w14:paraId="2BBBC0A7" w14:textId="77777777" w:rsidR="002D25EA" w:rsidRPr="00284C6E" w:rsidRDefault="002D25EA" w:rsidP="00D9409F">
            <w:pPr>
              <w:rPr>
                <w:sz w:val="20"/>
                <w:szCs w:val="20"/>
              </w:rPr>
            </w:pPr>
            <w:r>
              <w:rPr>
                <w:sz w:val="20"/>
                <w:szCs w:val="20"/>
              </w:rPr>
              <w:t>Plural nouns, lowercase, kebab-case</w:t>
            </w:r>
          </w:p>
        </w:tc>
        <w:tc>
          <w:tcPr>
            <w:tcW w:w="3100" w:type="dxa"/>
            <w:tcMar>
              <w:top w:w="70" w:type="dxa"/>
              <w:left w:w="100" w:type="dxa"/>
              <w:bottom w:w="70" w:type="dxa"/>
              <w:right w:w="100" w:type="dxa"/>
            </w:tcMar>
            <w:vAlign w:val="center"/>
          </w:tcPr>
          <w:p w14:paraId="5CDA8CA6" w14:textId="77777777" w:rsidR="002D25EA" w:rsidRPr="00284C6E" w:rsidRDefault="002D25EA" w:rsidP="00D9409F">
            <w:pPr>
              <w:rPr>
                <w:sz w:val="20"/>
                <w:szCs w:val="20"/>
              </w:rPr>
            </w:pPr>
            <w:r>
              <w:rPr>
                <w:sz w:val="20"/>
                <w:szCs w:val="20"/>
              </w:rPr>
              <w:t>/api/policies/v1/policy-holders</w:t>
            </w:r>
          </w:p>
        </w:tc>
      </w:tr>
      <w:tr w:rsidR="002D25EA" w14:paraId="0A22C34E" w14:textId="77777777" w:rsidTr="00D9409F">
        <w:tc>
          <w:tcPr>
            <w:tcW w:w="3100" w:type="dxa"/>
            <w:tcMar>
              <w:top w:w="70" w:type="dxa"/>
              <w:left w:w="100" w:type="dxa"/>
              <w:bottom w:w="70" w:type="dxa"/>
              <w:right w:w="100" w:type="dxa"/>
            </w:tcMar>
            <w:vAlign w:val="center"/>
          </w:tcPr>
          <w:p w14:paraId="4A16EFEB" w14:textId="77777777" w:rsidR="002D25EA" w:rsidRPr="00284C6E" w:rsidRDefault="002D25EA" w:rsidP="00D9409F">
            <w:pPr>
              <w:rPr>
                <w:sz w:val="20"/>
                <w:szCs w:val="20"/>
              </w:rPr>
            </w:pPr>
            <w:r>
              <w:rPr>
                <w:sz w:val="20"/>
                <w:szCs w:val="20"/>
              </w:rPr>
              <w:t>Versioning</w:t>
            </w:r>
          </w:p>
        </w:tc>
        <w:tc>
          <w:tcPr>
            <w:tcW w:w="3100" w:type="dxa"/>
            <w:tcMar>
              <w:top w:w="70" w:type="dxa"/>
              <w:left w:w="100" w:type="dxa"/>
              <w:bottom w:w="70" w:type="dxa"/>
              <w:right w:w="100" w:type="dxa"/>
            </w:tcMar>
            <w:vAlign w:val="center"/>
          </w:tcPr>
          <w:p w14:paraId="6CFEE867" w14:textId="77777777" w:rsidR="002D25EA" w:rsidRPr="00284C6E" w:rsidRDefault="002D25EA" w:rsidP="00D9409F">
            <w:pPr>
              <w:rPr>
                <w:sz w:val="20"/>
                <w:szCs w:val="20"/>
              </w:rPr>
            </w:pPr>
            <w:r>
              <w:rPr>
                <w:sz w:val="20"/>
                <w:szCs w:val="20"/>
              </w:rPr>
              <w:t>URL path, major version only for breaking changes</w:t>
            </w:r>
          </w:p>
        </w:tc>
        <w:tc>
          <w:tcPr>
            <w:tcW w:w="3100" w:type="dxa"/>
            <w:tcMar>
              <w:top w:w="70" w:type="dxa"/>
              <w:left w:w="100" w:type="dxa"/>
              <w:bottom w:w="70" w:type="dxa"/>
              <w:right w:w="100" w:type="dxa"/>
            </w:tcMar>
            <w:vAlign w:val="center"/>
          </w:tcPr>
          <w:p w14:paraId="0A26B60D" w14:textId="77777777" w:rsidR="002D25EA" w:rsidRPr="00284C6E" w:rsidRDefault="002D25EA" w:rsidP="00D9409F">
            <w:pPr>
              <w:rPr>
                <w:sz w:val="20"/>
                <w:szCs w:val="20"/>
              </w:rPr>
            </w:pPr>
            <w:r>
              <w:rPr>
                <w:sz w:val="20"/>
                <w:szCs w:val="20"/>
              </w:rPr>
              <w:t>/api/claims/v2/claims</w:t>
            </w:r>
          </w:p>
        </w:tc>
      </w:tr>
      <w:tr w:rsidR="002D25EA" w14:paraId="7BFFC8C6" w14:textId="77777777" w:rsidTr="00D9409F">
        <w:tc>
          <w:tcPr>
            <w:tcW w:w="3100" w:type="dxa"/>
            <w:tcMar>
              <w:top w:w="70" w:type="dxa"/>
              <w:left w:w="100" w:type="dxa"/>
              <w:bottom w:w="70" w:type="dxa"/>
              <w:right w:w="100" w:type="dxa"/>
            </w:tcMar>
            <w:vAlign w:val="center"/>
          </w:tcPr>
          <w:p w14:paraId="72AB2BC0" w14:textId="77777777" w:rsidR="002D25EA" w:rsidRPr="00284C6E" w:rsidRDefault="002D25EA" w:rsidP="00D9409F">
            <w:pPr>
              <w:rPr>
                <w:sz w:val="20"/>
                <w:szCs w:val="20"/>
              </w:rPr>
            </w:pPr>
            <w:r>
              <w:rPr>
                <w:sz w:val="20"/>
                <w:szCs w:val="20"/>
              </w:rPr>
              <w:t>Response format</w:t>
            </w:r>
          </w:p>
        </w:tc>
        <w:tc>
          <w:tcPr>
            <w:tcW w:w="3100" w:type="dxa"/>
            <w:tcMar>
              <w:top w:w="70" w:type="dxa"/>
              <w:left w:w="100" w:type="dxa"/>
              <w:bottom w:w="70" w:type="dxa"/>
              <w:right w:w="100" w:type="dxa"/>
            </w:tcMar>
            <w:vAlign w:val="center"/>
          </w:tcPr>
          <w:p w14:paraId="2BBA493B" w14:textId="77777777" w:rsidR="002D25EA" w:rsidRPr="00284C6E" w:rsidRDefault="002D25EA" w:rsidP="00D9409F">
            <w:pPr>
              <w:rPr>
                <w:sz w:val="20"/>
                <w:szCs w:val="20"/>
              </w:rPr>
            </w:pPr>
            <w:r>
              <w:rPr>
                <w:sz w:val="20"/>
                <w:szCs w:val="20"/>
              </w:rPr>
              <w:t>Consistent data / error / metadata envelope with a correlation ID</w:t>
            </w:r>
          </w:p>
        </w:tc>
        <w:tc>
          <w:tcPr>
            <w:tcW w:w="3100" w:type="dxa"/>
            <w:tcMar>
              <w:top w:w="70" w:type="dxa"/>
              <w:left w:w="100" w:type="dxa"/>
              <w:bottom w:w="70" w:type="dxa"/>
              <w:right w:w="100" w:type="dxa"/>
            </w:tcMar>
            <w:vAlign w:val="center"/>
          </w:tcPr>
          <w:p w14:paraId="2498263D" w14:textId="77777777" w:rsidR="002D25EA" w:rsidRPr="00284C6E" w:rsidRDefault="002D25EA" w:rsidP="00D9409F">
            <w:pPr>
              <w:rPr>
                <w:sz w:val="20"/>
                <w:szCs w:val="20"/>
              </w:rPr>
            </w:pPr>
            <w:r>
              <w:rPr>
                <w:sz w:val="20"/>
                <w:szCs w:val="20"/>
              </w:rPr>
              <w:t>See Appendix A</w:t>
            </w:r>
          </w:p>
        </w:tc>
      </w:tr>
    </w:tbl>
    <w:p w14:paraId="080DD2A0" w14:textId="77777777" w:rsidR="002D25EA" w:rsidRDefault="002D25EA" w:rsidP="002D25EA">
      <w:pPr>
        <w:spacing w:after="140"/>
      </w:pPr>
    </w:p>
    <w:p w14:paraId="01FCDA9C"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7" w:name="_Toc240539751"/>
      <w:r>
        <w:rPr>
          <w:rFonts w:asciiTheme="minorHAnsi" w:eastAsia="Times New Roman" w:hAnsiTheme="minorHAnsi" w:cs="Times New Roman"/>
          <w:b w:val="0"/>
          <w:color w:val="132040" w:themeColor="accent1" w:themeShade="BF"/>
          <w:sz w:val="24"/>
          <w:szCs w:val="26"/>
          <w:lang w:eastAsia="en-US"/>
        </w:rPr>
        <w:t>Design Standards, Policy Enforcement and Governance</w:t>
      </w:r>
      <w:bookmarkEnd w:id="27"/>
    </w:p>
    <w:p w14:paraId="5C5B380F" w14:textId="77777777" w:rsidR="002D25EA" w:rsidRPr="00614651" w:rsidRDefault="002D25EA" w:rsidP="00614651">
      <w:pPr>
        <w:rPr>
          <w:b/>
          <w:bCs/>
        </w:rPr>
      </w:pPr>
      <w:r>
        <w:rPr>
          <w:b/>
          <w:bCs/>
        </w:rPr>
        <w:t>Target operating model and RACI</w:t>
      </w:r>
    </w:p>
    <w:p w14:paraId="328289CB" w14:textId="77777777" w:rsidR="002D25EA" w:rsidRDefault="002D25EA" w:rsidP="002D25EA">
      <w:pPr>
        <w:spacing w:after="140"/>
      </w:pPr>
      <w:r>
        <w:t>Governance only works if ownership is unambiguous. The model is a federated one: a central Platform team owns and runs the shared APIM platform and its guardrails, while Domain teams own the APIs inside their workspace; Network, Identity, Security and Compliance own their respective controls across all domains. The RACI below fixes who is Responsible, Accountable, Consulted and Informed for the activities that recur.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1147"/>
        <w:gridCol w:w="1146"/>
        <w:gridCol w:w="1147"/>
        <w:gridCol w:w="1146"/>
        <w:gridCol w:w="1146"/>
        <w:gridCol w:w="1171"/>
      </w:tblGrid>
      <w:tr w:rsidR="002D25EA" w14:paraId="404CD39E" w14:textId="77777777" w:rsidTr="00D9409F">
        <w:trPr>
          <w:tblHeader/>
        </w:trPr>
        <w:tc>
          <w:tcPr>
            <w:tcW w:w="2400" w:type="dxa"/>
            <w:shd w:val="clear" w:color="auto" w:fill="1E2761"/>
            <w:tcMar>
              <w:top w:w="70" w:type="dxa"/>
              <w:left w:w="100" w:type="dxa"/>
              <w:bottom w:w="70" w:type="dxa"/>
              <w:right w:w="100" w:type="dxa"/>
            </w:tcMar>
          </w:tcPr>
          <w:p w14:paraId="54ED0244" w14:textId="77777777" w:rsidR="002D25EA" w:rsidRDefault="002D25EA" w:rsidP="00D9409F">
            <w:r>
              <w:rPr>
                <w:b/>
                <w:bCs/>
                <w:color w:val="FFFFFF"/>
                <w:sz w:val="18"/>
                <w:szCs w:val="18"/>
              </w:rPr>
              <w:t>Activity</w:t>
            </w:r>
          </w:p>
        </w:tc>
        <w:tc>
          <w:tcPr>
            <w:tcW w:w="1150" w:type="dxa"/>
            <w:shd w:val="clear" w:color="auto" w:fill="1E2761"/>
            <w:tcMar>
              <w:top w:w="70" w:type="dxa"/>
              <w:left w:w="100" w:type="dxa"/>
              <w:bottom w:w="70" w:type="dxa"/>
              <w:right w:w="100" w:type="dxa"/>
            </w:tcMar>
          </w:tcPr>
          <w:p w14:paraId="237CDC85" w14:textId="77777777" w:rsidR="002D25EA" w:rsidRDefault="002D25EA" w:rsidP="00D9409F">
            <w:r>
              <w:rPr>
                <w:b/>
                <w:bCs/>
                <w:color w:val="FFFFFF"/>
                <w:sz w:val="18"/>
                <w:szCs w:val="18"/>
              </w:rPr>
              <w:t>Platform</w:t>
            </w:r>
          </w:p>
        </w:tc>
        <w:tc>
          <w:tcPr>
            <w:tcW w:w="1150" w:type="dxa"/>
            <w:shd w:val="clear" w:color="auto" w:fill="1E2761"/>
            <w:tcMar>
              <w:top w:w="70" w:type="dxa"/>
              <w:left w:w="100" w:type="dxa"/>
              <w:bottom w:w="70" w:type="dxa"/>
              <w:right w:w="100" w:type="dxa"/>
            </w:tcMar>
          </w:tcPr>
          <w:p w14:paraId="0824B0CA" w14:textId="77777777" w:rsidR="002D25EA" w:rsidRDefault="002D25EA" w:rsidP="00D9409F">
            <w:r>
              <w:rPr>
                <w:b/>
                <w:bCs/>
                <w:color w:val="FFFFFF"/>
                <w:sz w:val="18"/>
                <w:szCs w:val="18"/>
              </w:rPr>
              <w:t>Domain</w:t>
            </w:r>
          </w:p>
        </w:tc>
        <w:tc>
          <w:tcPr>
            <w:tcW w:w="1150" w:type="dxa"/>
            <w:shd w:val="clear" w:color="auto" w:fill="1E2761"/>
            <w:tcMar>
              <w:top w:w="70" w:type="dxa"/>
              <w:left w:w="100" w:type="dxa"/>
              <w:bottom w:w="70" w:type="dxa"/>
              <w:right w:w="100" w:type="dxa"/>
            </w:tcMar>
          </w:tcPr>
          <w:p w14:paraId="029EDA07" w14:textId="77777777" w:rsidR="002D25EA" w:rsidRDefault="002D25EA" w:rsidP="00D9409F">
            <w:r>
              <w:rPr>
                <w:b/>
                <w:bCs/>
                <w:color w:val="FFFFFF"/>
                <w:sz w:val="18"/>
                <w:szCs w:val="18"/>
              </w:rPr>
              <w:t>Network</w:t>
            </w:r>
          </w:p>
        </w:tc>
        <w:tc>
          <w:tcPr>
            <w:tcW w:w="1150" w:type="dxa"/>
            <w:shd w:val="clear" w:color="auto" w:fill="1E2761"/>
            <w:tcMar>
              <w:top w:w="70" w:type="dxa"/>
              <w:left w:w="100" w:type="dxa"/>
              <w:bottom w:w="70" w:type="dxa"/>
              <w:right w:w="100" w:type="dxa"/>
            </w:tcMar>
          </w:tcPr>
          <w:p w14:paraId="231EEB34" w14:textId="77777777" w:rsidR="002D25EA" w:rsidRDefault="002D25EA" w:rsidP="00D9409F">
            <w:r>
              <w:rPr>
                <w:b/>
                <w:bCs/>
                <w:color w:val="FFFFFF"/>
                <w:sz w:val="18"/>
                <w:szCs w:val="18"/>
              </w:rPr>
              <w:t>Identity</w:t>
            </w:r>
          </w:p>
        </w:tc>
        <w:tc>
          <w:tcPr>
            <w:tcW w:w="1150" w:type="dxa"/>
            <w:shd w:val="clear" w:color="auto" w:fill="1E2761"/>
            <w:tcMar>
              <w:top w:w="70" w:type="dxa"/>
              <w:left w:w="100" w:type="dxa"/>
              <w:bottom w:w="70" w:type="dxa"/>
              <w:right w:w="100" w:type="dxa"/>
            </w:tcMar>
          </w:tcPr>
          <w:p w14:paraId="7431E742" w14:textId="77777777" w:rsidR="002D25EA" w:rsidRDefault="002D25EA" w:rsidP="00D9409F">
            <w:r>
              <w:rPr>
                <w:b/>
                <w:bCs/>
                <w:color w:val="FFFFFF"/>
                <w:sz w:val="18"/>
                <w:szCs w:val="18"/>
              </w:rPr>
              <w:t>Security</w:t>
            </w:r>
          </w:p>
        </w:tc>
        <w:tc>
          <w:tcPr>
            <w:tcW w:w="1150" w:type="dxa"/>
            <w:shd w:val="clear" w:color="auto" w:fill="1E2761"/>
            <w:tcMar>
              <w:top w:w="70" w:type="dxa"/>
              <w:left w:w="100" w:type="dxa"/>
              <w:bottom w:w="70" w:type="dxa"/>
              <w:right w:w="100" w:type="dxa"/>
            </w:tcMar>
          </w:tcPr>
          <w:p w14:paraId="3981B6C1" w14:textId="77777777" w:rsidR="002D25EA" w:rsidRDefault="002D25EA" w:rsidP="00D9409F">
            <w:r>
              <w:rPr>
                <w:b/>
                <w:bCs/>
                <w:color w:val="FFFFFF"/>
                <w:sz w:val="18"/>
                <w:szCs w:val="18"/>
              </w:rPr>
              <w:t>Compliance</w:t>
            </w:r>
          </w:p>
        </w:tc>
      </w:tr>
      <w:tr w:rsidR="002D25EA" w14:paraId="4B74511A" w14:textId="77777777" w:rsidTr="00D9409F">
        <w:tc>
          <w:tcPr>
            <w:tcW w:w="2400" w:type="dxa"/>
            <w:tcMar>
              <w:top w:w="70" w:type="dxa"/>
              <w:left w:w="100" w:type="dxa"/>
              <w:bottom w:w="70" w:type="dxa"/>
              <w:right w:w="100" w:type="dxa"/>
            </w:tcMar>
          </w:tcPr>
          <w:p w14:paraId="5E5F3581" w14:textId="77777777" w:rsidR="002D25EA" w:rsidRDefault="002D25EA" w:rsidP="00D9409F">
            <w:r>
              <w:rPr>
                <w:sz w:val="18"/>
                <w:szCs w:val="18"/>
              </w:rPr>
              <w:t>Run the APIM platform (upgrades, capacity, guardrails)</w:t>
            </w:r>
          </w:p>
        </w:tc>
        <w:tc>
          <w:tcPr>
            <w:tcW w:w="1150" w:type="dxa"/>
            <w:tcMar>
              <w:top w:w="70" w:type="dxa"/>
              <w:left w:w="100" w:type="dxa"/>
              <w:bottom w:w="70" w:type="dxa"/>
              <w:right w:w="100" w:type="dxa"/>
            </w:tcMar>
          </w:tcPr>
          <w:p w14:paraId="05947F4B" w14:textId="77777777" w:rsidR="002D25EA" w:rsidRDefault="002D25EA" w:rsidP="00D9409F">
            <w:r>
              <w:rPr>
                <w:sz w:val="18"/>
                <w:szCs w:val="18"/>
              </w:rPr>
              <w:t>A/R</w:t>
            </w:r>
          </w:p>
        </w:tc>
        <w:tc>
          <w:tcPr>
            <w:tcW w:w="1150" w:type="dxa"/>
            <w:tcMar>
              <w:top w:w="70" w:type="dxa"/>
              <w:left w:w="100" w:type="dxa"/>
              <w:bottom w:w="70" w:type="dxa"/>
              <w:right w:w="100" w:type="dxa"/>
            </w:tcMar>
          </w:tcPr>
          <w:p w14:paraId="2CE4032A" w14:textId="77777777" w:rsidR="002D25EA" w:rsidRDefault="002D25EA" w:rsidP="00D9409F">
            <w:r>
              <w:rPr>
                <w:sz w:val="18"/>
                <w:szCs w:val="18"/>
              </w:rPr>
              <w:t>I</w:t>
            </w:r>
          </w:p>
        </w:tc>
        <w:tc>
          <w:tcPr>
            <w:tcW w:w="1150" w:type="dxa"/>
            <w:tcMar>
              <w:top w:w="70" w:type="dxa"/>
              <w:left w:w="100" w:type="dxa"/>
              <w:bottom w:w="70" w:type="dxa"/>
              <w:right w:w="100" w:type="dxa"/>
            </w:tcMar>
          </w:tcPr>
          <w:p w14:paraId="425A2E76" w14:textId="77777777" w:rsidR="002D25EA" w:rsidRDefault="002D25EA" w:rsidP="00D9409F">
            <w:r>
              <w:rPr>
                <w:sz w:val="18"/>
                <w:szCs w:val="18"/>
              </w:rPr>
              <w:t>C</w:t>
            </w:r>
          </w:p>
        </w:tc>
        <w:tc>
          <w:tcPr>
            <w:tcW w:w="1150" w:type="dxa"/>
            <w:tcMar>
              <w:top w:w="70" w:type="dxa"/>
              <w:left w:w="100" w:type="dxa"/>
              <w:bottom w:w="70" w:type="dxa"/>
              <w:right w:w="100" w:type="dxa"/>
            </w:tcMar>
          </w:tcPr>
          <w:p w14:paraId="18B5344B" w14:textId="77777777" w:rsidR="002D25EA" w:rsidRDefault="002D25EA" w:rsidP="00D9409F">
            <w:r>
              <w:rPr>
                <w:sz w:val="18"/>
                <w:szCs w:val="18"/>
              </w:rPr>
              <w:t>C</w:t>
            </w:r>
          </w:p>
        </w:tc>
        <w:tc>
          <w:tcPr>
            <w:tcW w:w="1150" w:type="dxa"/>
            <w:tcMar>
              <w:top w:w="70" w:type="dxa"/>
              <w:left w:w="100" w:type="dxa"/>
              <w:bottom w:w="70" w:type="dxa"/>
              <w:right w:w="100" w:type="dxa"/>
            </w:tcMar>
          </w:tcPr>
          <w:p w14:paraId="7AA3E966" w14:textId="77777777" w:rsidR="002D25EA" w:rsidRDefault="002D25EA" w:rsidP="00D9409F">
            <w:r>
              <w:rPr>
                <w:sz w:val="18"/>
                <w:szCs w:val="18"/>
              </w:rPr>
              <w:t>C</w:t>
            </w:r>
          </w:p>
        </w:tc>
        <w:tc>
          <w:tcPr>
            <w:tcW w:w="1150" w:type="dxa"/>
            <w:tcMar>
              <w:top w:w="70" w:type="dxa"/>
              <w:left w:w="100" w:type="dxa"/>
              <w:bottom w:w="70" w:type="dxa"/>
              <w:right w:w="100" w:type="dxa"/>
            </w:tcMar>
          </w:tcPr>
          <w:p w14:paraId="7D3DEB2E" w14:textId="77777777" w:rsidR="002D25EA" w:rsidRDefault="002D25EA" w:rsidP="00D9409F">
            <w:r>
              <w:rPr>
                <w:sz w:val="18"/>
                <w:szCs w:val="18"/>
              </w:rPr>
              <w:t>I</w:t>
            </w:r>
          </w:p>
        </w:tc>
      </w:tr>
      <w:tr w:rsidR="002D25EA" w14:paraId="7F624B2A" w14:textId="77777777" w:rsidTr="00D9409F">
        <w:tc>
          <w:tcPr>
            <w:tcW w:w="2400" w:type="dxa"/>
            <w:tcMar>
              <w:top w:w="70" w:type="dxa"/>
              <w:left w:w="100" w:type="dxa"/>
              <w:bottom w:w="70" w:type="dxa"/>
              <w:right w:w="100" w:type="dxa"/>
            </w:tcMar>
          </w:tcPr>
          <w:p w14:paraId="485822FE" w14:textId="77777777" w:rsidR="002D25EA" w:rsidRDefault="002D25EA" w:rsidP="00D9409F">
            <w:r>
              <w:rPr>
                <w:sz w:val="18"/>
                <w:szCs w:val="18"/>
              </w:rPr>
              <w:t>Design &amp; build an API</w:t>
            </w:r>
          </w:p>
        </w:tc>
        <w:tc>
          <w:tcPr>
            <w:tcW w:w="1150" w:type="dxa"/>
            <w:tcMar>
              <w:top w:w="70" w:type="dxa"/>
              <w:left w:w="100" w:type="dxa"/>
              <w:bottom w:w="70" w:type="dxa"/>
              <w:right w:w="100" w:type="dxa"/>
            </w:tcMar>
          </w:tcPr>
          <w:p w14:paraId="78434E3A" w14:textId="77777777" w:rsidR="002D25EA" w:rsidRDefault="002D25EA" w:rsidP="00D9409F">
            <w:r>
              <w:rPr>
                <w:sz w:val="18"/>
                <w:szCs w:val="18"/>
              </w:rPr>
              <w:t>C</w:t>
            </w:r>
          </w:p>
        </w:tc>
        <w:tc>
          <w:tcPr>
            <w:tcW w:w="1150" w:type="dxa"/>
            <w:tcMar>
              <w:top w:w="70" w:type="dxa"/>
              <w:left w:w="100" w:type="dxa"/>
              <w:bottom w:w="70" w:type="dxa"/>
              <w:right w:w="100" w:type="dxa"/>
            </w:tcMar>
          </w:tcPr>
          <w:p w14:paraId="491CECBF" w14:textId="77777777" w:rsidR="002D25EA" w:rsidRDefault="002D25EA" w:rsidP="00D9409F">
            <w:r>
              <w:rPr>
                <w:sz w:val="18"/>
                <w:szCs w:val="18"/>
              </w:rPr>
              <w:t>A/R</w:t>
            </w:r>
          </w:p>
        </w:tc>
        <w:tc>
          <w:tcPr>
            <w:tcW w:w="1150" w:type="dxa"/>
            <w:tcMar>
              <w:top w:w="70" w:type="dxa"/>
              <w:left w:w="100" w:type="dxa"/>
              <w:bottom w:w="70" w:type="dxa"/>
              <w:right w:w="100" w:type="dxa"/>
            </w:tcMar>
          </w:tcPr>
          <w:p w14:paraId="75B347F4" w14:textId="77777777" w:rsidR="002D25EA" w:rsidRDefault="002D25EA" w:rsidP="00D9409F">
            <w:r>
              <w:rPr>
                <w:sz w:val="18"/>
                <w:szCs w:val="18"/>
              </w:rPr>
              <w:t>I</w:t>
            </w:r>
          </w:p>
        </w:tc>
        <w:tc>
          <w:tcPr>
            <w:tcW w:w="1150" w:type="dxa"/>
            <w:tcMar>
              <w:top w:w="70" w:type="dxa"/>
              <w:left w:w="100" w:type="dxa"/>
              <w:bottom w:w="70" w:type="dxa"/>
              <w:right w:w="100" w:type="dxa"/>
            </w:tcMar>
          </w:tcPr>
          <w:p w14:paraId="79DC6368" w14:textId="77777777" w:rsidR="002D25EA" w:rsidRDefault="002D25EA" w:rsidP="00D9409F">
            <w:r>
              <w:rPr>
                <w:sz w:val="18"/>
                <w:szCs w:val="18"/>
              </w:rPr>
              <w:t>I</w:t>
            </w:r>
          </w:p>
        </w:tc>
        <w:tc>
          <w:tcPr>
            <w:tcW w:w="1150" w:type="dxa"/>
            <w:tcMar>
              <w:top w:w="70" w:type="dxa"/>
              <w:left w:w="100" w:type="dxa"/>
              <w:bottom w:w="70" w:type="dxa"/>
              <w:right w:w="100" w:type="dxa"/>
            </w:tcMar>
          </w:tcPr>
          <w:p w14:paraId="16DE9215" w14:textId="77777777" w:rsidR="002D25EA" w:rsidRDefault="002D25EA" w:rsidP="00D9409F">
            <w:r>
              <w:rPr>
                <w:sz w:val="18"/>
                <w:szCs w:val="18"/>
              </w:rPr>
              <w:t>C</w:t>
            </w:r>
          </w:p>
        </w:tc>
        <w:tc>
          <w:tcPr>
            <w:tcW w:w="1150" w:type="dxa"/>
            <w:tcMar>
              <w:top w:w="70" w:type="dxa"/>
              <w:left w:w="100" w:type="dxa"/>
              <w:bottom w:w="70" w:type="dxa"/>
              <w:right w:w="100" w:type="dxa"/>
            </w:tcMar>
          </w:tcPr>
          <w:p w14:paraId="7396E87F" w14:textId="77777777" w:rsidR="002D25EA" w:rsidRDefault="002D25EA" w:rsidP="00D9409F">
            <w:r>
              <w:rPr>
                <w:sz w:val="18"/>
                <w:szCs w:val="18"/>
              </w:rPr>
              <w:t>I</w:t>
            </w:r>
          </w:p>
        </w:tc>
      </w:tr>
      <w:tr w:rsidR="002D25EA" w14:paraId="3E782012" w14:textId="77777777" w:rsidTr="00D9409F">
        <w:tc>
          <w:tcPr>
            <w:tcW w:w="2400" w:type="dxa"/>
            <w:tcMar>
              <w:top w:w="70" w:type="dxa"/>
              <w:left w:w="100" w:type="dxa"/>
              <w:bottom w:w="70" w:type="dxa"/>
              <w:right w:w="100" w:type="dxa"/>
            </w:tcMar>
          </w:tcPr>
          <w:p w14:paraId="78EA9459" w14:textId="77777777" w:rsidR="002D25EA" w:rsidRDefault="002D25EA" w:rsidP="00D9409F">
            <w:r>
              <w:rPr>
                <w:sz w:val="18"/>
                <w:szCs w:val="18"/>
              </w:rPr>
              <w:t>Onboard &amp; publish an API (gates)</w:t>
            </w:r>
          </w:p>
        </w:tc>
        <w:tc>
          <w:tcPr>
            <w:tcW w:w="1150" w:type="dxa"/>
            <w:tcMar>
              <w:top w:w="70" w:type="dxa"/>
              <w:left w:w="100" w:type="dxa"/>
              <w:bottom w:w="70" w:type="dxa"/>
              <w:right w:w="100" w:type="dxa"/>
            </w:tcMar>
          </w:tcPr>
          <w:p w14:paraId="5A4A118B" w14:textId="77777777" w:rsidR="002D25EA" w:rsidRDefault="002D25EA" w:rsidP="00D9409F">
            <w:r>
              <w:rPr>
                <w:sz w:val="18"/>
                <w:szCs w:val="18"/>
              </w:rPr>
              <w:t>A/R</w:t>
            </w:r>
          </w:p>
        </w:tc>
        <w:tc>
          <w:tcPr>
            <w:tcW w:w="1150" w:type="dxa"/>
            <w:tcMar>
              <w:top w:w="70" w:type="dxa"/>
              <w:left w:w="100" w:type="dxa"/>
              <w:bottom w:w="70" w:type="dxa"/>
              <w:right w:w="100" w:type="dxa"/>
            </w:tcMar>
          </w:tcPr>
          <w:p w14:paraId="668FDB09" w14:textId="77777777" w:rsidR="002D25EA" w:rsidRDefault="002D25EA" w:rsidP="00D9409F">
            <w:r>
              <w:rPr>
                <w:sz w:val="18"/>
                <w:szCs w:val="18"/>
              </w:rPr>
              <w:t>R</w:t>
            </w:r>
          </w:p>
        </w:tc>
        <w:tc>
          <w:tcPr>
            <w:tcW w:w="1150" w:type="dxa"/>
            <w:tcMar>
              <w:top w:w="70" w:type="dxa"/>
              <w:left w:w="100" w:type="dxa"/>
              <w:bottom w:w="70" w:type="dxa"/>
              <w:right w:w="100" w:type="dxa"/>
            </w:tcMar>
          </w:tcPr>
          <w:p w14:paraId="37D2C46F" w14:textId="77777777" w:rsidR="002D25EA" w:rsidRDefault="002D25EA" w:rsidP="00D9409F">
            <w:r>
              <w:rPr>
                <w:sz w:val="18"/>
                <w:szCs w:val="18"/>
              </w:rPr>
              <w:t>I</w:t>
            </w:r>
          </w:p>
        </w:tc>
        <w:tc>
          <w:tcPr>
            <w:tcW w:w="1150" w:type="dxa"/>
            <w:tcMar>
              <w:top w:w="70" w:type="dxa"/>
              <w:left w:w="100" w:type="dxa"/>
              <w:bottom w:w="70" w:type="dxa"/>
              <w:right w:w="100" w:type="dxa"/>
            </w:tcMar>
          </w:tcPr>
          <w:p w14:paraId="2BC699D6" w14:textId="77777777" w:rsidR="002D25EA" w:rsidRDefault="002D25EA" w:rsidP="00D9409F">
            <w:r>
              <w:rPr>
                <w:sz w:val="18"/>
                <w:szCs w:val="18"/>
              </w:rPr>
              <w:t>C</w:t>
            </w:r>
          </w:p>
        </w:tc>
        <w:tc>
          <w:tcPr>
            <w:tcW w:w="1150" w:type="dxa"/>
            <w:tcMar>
              <w:top w:w="70" w:type="dxa"/>
              <w:left w:w="100" w:type="dxa"/>
              <w:bottom w:w="70" w:type="dxa"/>
              <w:right w:w="100" w:type="dxa"/>
            </w:tcMar>
          </w:tcPr>
          <w:p w14:paraId="7D087377" w14:textId="77777777" w:rsidR="002D25EA" w:rsidRDefault="002D25EA" w:rsidP="00D9409F">
            <w:r>
              <w:rPr>
                <w:sz w:val="18"/>
                <w:szCs w:val="18"/>
              </w:rPr>
              <w:t>C</w:t>
            </w:r>
          </w:p>
        </w:tc>
        <w:tc>
          <w:tcPr>
            <w:tcW w:w="1150" w:type="dxa"/>
            <w:tcMar>
              <w:top w:w="70" w:type="dxa"/>
              <w:left w:w="100" w:type="dxa"/>
              <w:bottom w:w="70" w:type="dxa"/>
              <w:right w:w="100" w:type="dxa"/>
            </w:tcMar>
          </w:tcPr>
          <w:p w14:paraId="48429C6F" w14:textId="77777777" w:rsidR="002D25EA" w:rsidRDefault="002D25EA" w:rsidP="00D9409F">
            <w:r>
              <w:rPr>
                <w:sz w:val="18"/>
                <w:szCs w:val="18"/>
              </w:rPr>
              <w:t>I</w:t>
            </w:r>
          </w:p>
        </w:tc>
      </w:tr>
      <w:tr w:rsidR="002D25EA" w14:paraId="5EE884AC" w14:textId="77777777" w:rsidTr="00D9409F">
        <w:tc>
          <w:tcPr>
            <w:tcW w:w="2400" w:type="dxa"/>
            <w:tcMar>
              <w:top w:w="70" w:type="dxa"/>
              <w:left w:w="100" w:type="dxa"/>
              <w:bottom w:w="70" w:type="dxa"/>
              <w:right w:w="100" w:type="dxa"/>
            </w:tcMar>
          </w:tcPr>
          <w:p w14:paraId="217332E6" w14:textId="77777777" w:rsidR="002D25EA" w:rsidRDefault="002D25EA" w:rsidP="00D9409F">
            <w:r>
              <w:rPr>
                <w:sz w:val="18"/>
                <w:szCs w:val="18"/>
              </w:rPr>
              <w:t>Baseline policy &amp; security configuration</w:t>
            </w:r>
          </w:p>
        </w:tc>
        <w:tc>
          <w:tcPr>
            <w:tcW w:w="1150" w:type="dxa"/>
            <w:tcMar>
              <w:top w:w="70" w:type="dxa"/>
              <w:left w:w="100" w:type="dxa"/>
              <w:bottom w:w="70" w:type="dxa"/>
              <w:right w:w="100" w:type="dxa"/>
            </w:tcMar>
          </w:tcPr>
          <w:p w14:paraId="5B746BA8" w14:textId="77777777" w:rsidR="002D25EA" w:rsidRDefault="002D25EA" w:rsidP="00D9409F">
            <w:r>
              <w:rPr>
                <w:sz w:val="18"/>
                <w:szCs w:val="18"/>
              </w:rPr>
              <w:t>A/R</w:t>
            </w:r>
          </w:p>
        </w:tc>
        <w:tc>
          <w:tcPr>
            <w:tcW w:w="1150" w:type="dxa"/>
            <w:tcMar>
              <w:top w:w="70" w:type="dxa"/>
              <w:left w:w="100" w:type="dxa"/>
              <w:bottom w:w="70" w:type="dxa"/>
              <w:right w:w="100" w:type="dxa"/>
            </w:tcMar>
          </w:tcPr>
          <w:p w14:paraId="1C52FE86" w14:textId="77777777" w:rsidR="002D25EA" w:rsidRDefault="002D25EA" w:rsidP="00D9409F">
            <w:r>
              <w:rPr>
                <w:sz w:val="18"/>
                <w:szCs w:val="18"/>
              </w:rPr>
              <w:t>C</w:t>
            </w:r>
          </w:p>
        </w:tc>
        <w:tc>
          <w:tcPr>
            <w:tcW w:w="1150" w:type="dxa"/>
            <w:tcMar>
              <w:top w:w="70" w:type="dxa"/>
              <w:left w:w="100" w:type="dxa"/>
              <w:bottom w:w="70" w:type="dxa"/>
              <w:right w:w="100" w:type="dxa"/>
            </w:tcMar>
          </w:tcPr>
          <w:p w14:paraId="36FB2323" w14:textId="77777777" w:rsidR="002D25EA" w:rsidRDefault="002D25EA" w:rsidP="00D9409F">
            <w:r>
              <w:rPr>
                <w:sz w:val="18"/>
                <w:szCs w:val="18"/>
              </w:rPr>
              <w:t>I</w:t>
            </w:r>
          </w:p>
        </w:tc>
        <w:tc>
          <w:tcPr>
            <w:tcW w:w="1150" w:type="dxa"/>
            <w:tcMar>
              <w:top w:w="70" w:type="dxa"/>
              <w:left w:w="100" w:type="dxa"/>
              <w:bottom w:w="70" w:type="dxa"/>
              <w:right w:w="100" w:type="dxa"/>
            </w:tcMar>
          </w:tcPr>
          <w:p w14:paraId="5B7FC1FE" w14:textId="77777777" w:rsidR="002D25EA" w:rsidRDefault="002D25EA" w:rsidP="00D9409F">
            <w:r>
              <w:rPr>
                <w:sz w:val="18"/>
                <w:szCs w:val="18"/>
              </w:rPr>
              <w:t>C</w:t>
            </w:r>
          </w:p>
        </w:tc>
        <w:tc>
          <w:tcPr>
            <w:tcW w:w="1150" w:type="dxa"/>
            <w:tcMar>
              <w:top w:w="70" w:type="dxa"/>
              <w:left w:w="100" w:type="dxa"/>
              <w:bottom w:w="70" w:type="dxa"/>
              <w:right w:w="100" w:type="dxa"/>
            </w:tcMar>
          </w:tcPr>
          <w:p w14:paraId="4F4203AA" w14:textId="77777777" w:rsidR="002D25EA" w:rsidRDefault="002D25EA" w:rsidP="00D9409F">
            <w:r>
              <w:rPr>
                <w:sz w:val="18"/>
                <w:szCs w:val="18"/>
              </w:rPr>
              <w:t>C</w:t>
            </w:r>
          </w:p>
        </w:tc>
        <w:tc>
          <w:tcPr>
            <w:tcW w:w="1150" w:type="dxa"/>
            <w:tcMar>
              <w:top w:w="70" w:type="dxa"/>
              <w:left w:w="100" w:type="dxa"/>
              <w:bottom w:w="70" w:type="dxa"/>
              <w:right w:w="100" w:type="dxa"/>
            </w:tcMar>
          </w:tcPr>
          <w:p w14:paraId="32937B28" w14:textId="77777777" w:rsidR="002D25EA" w:rsidRDefault="002D25EA" w:rsidP="00D9409F">
            <w:r>
              <w:rPr>
                <w:sz w:val="18"/>
                <w:szCs w:val="18"/>
              </w:rPr>
              <w:t>I</w:t>
            </w:r>
          </w:p>
        </w:tc>
      </w:tr>
      <w:tr w:rsidR="002D25EA" w14:paraId="77C8CE64" w14:textId="77777777" w:rsidTr="00D9409F">
        <w:tc>
          <w:tcPr>
            <w:tcW w:w="2400" w:type="dxa"/>
            <w:tcMar>
              <w:top w:w="70" w:type="dxa"/>
              <w:left w:w="100" w:type="dxa"/>
              <w:bottom w:w="70" w:type="dxa"/>
              <w:right w:w="100" w:type="dxa"/>
            </w:tcMar>
          </w:tcPr>
          <w:p w14:paraId="19369DD8" w14:textId="77777777" w:rsidR="002D25EA" w:rsidRDefault="002D25EA" w:rsidP="00D9409F">
            <w:r>
              <w:rPr>
                <w:sz w:val="18"/>
                <w:szCs w:val="18"/>
              </w:rPr>
              <w:t>Network changes (UDR/NSG/DNS/firewall)</w:t>
            </w:r>
          </w:p>
        </w:tc>
        <w:tc>
          <w:tcPr>
            <w:tcW w:w="1150" w:type="dxa"/>
            <w:tcMar>
              <w:top w:w="70" w:type="dxa"/>
              <w:left w:w="100" w:type="dxa"/>
              <w:bottom w:w="70" w:type="dxa"/>
              <w:right w:w="100" w:type="dxa"/>
            </w:tcMar>
          </w:tcPr>
          <w:p w14:paraId="5F521566" w14:textId="77777777" w:rsidR="002D25EA" w:rsidRDefault="002D25EA" w:rsidP="00D9409F">
            <w:r>
              <w:rPr>
                <w:sz w:val="18"/>
                <w:szCs w:val="18"/>
              </w:rPr>
              <w:t>C</w:t>
            </w:r>
          </w:p>
        </w:tc>
        <w:tc>
          <w:tcPr>
            <w:tcW w:w="1150" w:type="dxa"/>
            <w:tcMar>
              <w:top w:w="70" w:type="dxa"/>
              <w:left w:w="100" w:type="dxa"/>
              <w:bottom w:w="70" w:type="dxa"/>
              <w:right w:w="100" w:type="dxa"/>
            </w:tcMar>
          </w:tcPr>
          <w:p w14:paraId="6B0BD127" w14:textId="77777777" w:rsidR="002D25EA" w:rsidRDefault="002D25EA" w:rsidP="00D9409F">
            <w:r>
              <w:rPr>
                <w:sz w:val="18"/>
                <w:szCs w:val="18"/>
              </w:rPr>
              <w:t>I</w:t>
            </w:r>
          </w:p>
        </w:tc>
        <w:tc>
          <w:tcPr>
            <w:tcW w:w="1150" w:type="dxa"/>
            <w:tcMar>
              <w:top w:w="70" w:type="dxa"/>
              <w:left w:w="100" w:type="dxa"/>
              <w:bottom w:w="70" w:type="dxa"/>
              <w:right w:w="100" w:type="dxa"/>
            </w:tcMar>
          </w:tcPr>
          <w:p w14:paraId="3F63C2F9" w14:textId="77777777" w:rsidR="002D25EA" w:rsidRDefault="002D25EA" w:rsidP="00D9409F">
            <w:r>
              <w:rPr>
                <w:sz w:val="18"/>
                <w:szCs w:val="18"/>
              </w:rPr>
              <w:t>A/R</w:t>
            </w:r>
          </w:p>
        </w:tc>
        <w:tc>
          <w:tcPr>
            <w:tcW w:w="1150" w:type="dxa"/>
            <w:tcMar>
              <w:top w:w="70" w:type="dxa"/>
              <w:left w:w="100" w:type="dxa"/>
              <w:bottom w:w="70" w:type="dxa"/>
              <w:right w:w="100" w:type="dxa"/>
            </w:tcMar>
          </w:tcPr>
          <w:p w14:paraId="713BA365" w14:textId="77777777" w:rsidR="002D25EA" w:rsidRDefault="002D25EA" w:rsidP="00D9409F">
            <w:r>
              <w:rPr>
                <w:sz w:val="18"/>
                <w:szCs w:val="18"/>
              </w:rPr>
              <w:t>I</w:t>
            </w:r>
          </w:p>
        </w:tc>
        <w:tc>
          <w:tcPr>
            <w:tcW w:w="1150" w:type="dxa"/>
            <w:tcMar>
              <w:top w:w="70" w:type="dxa"/>
              <w:left w:w="100" w:type="dxa"/>
              <w:bottom w:w="70" w:type="dxa"/>
              <w:right w:w="100" w:type="dxa"/>
            </w:tcMar>
          </w:tcPr>
          <w:p w14:paraId="17F84AD6" w14:textId="77777777" w:rsidR="002D25EA" w:rsidRDefault="002D25EA" w:rsidP="00D9409F">
            <w:r>
              <w:rPr>
                <w:sz w:val="18"/>
                <w:szCs w:val="18"/>
              </w:rPr>
              <w:t>C</w:t>
            </w:r>
          </w:p>
        </w:tc>
        <w:tc>
          <w:tcPr>
            <w:tcW w:w="1150" w:type="dxa"/>
            <w:tcMar>
              <w:top w:w="70" w:type="dxa"/>
              <w:left w:w="100" w:type="dxa"/>
              <w:bottom w:w="70" w:type="dxa"/>
              <w:right w:w="100" w:type="dxa"/>
            </w:tcMar>
          </w:tcPr>
          <w:p w14:paraId="2B5BB202" w14:textId="77777777" w:rsidR="002D25EA" w:rsidRDefault="002D25EA" w:rsidP="00D9409F">
            <w:r>
              <w:rPr>
                <w:sz w:val="18"/>
                <w:szCs w:val="18"/>
              </w:rPr>
              <w:t>I</w:t>
            </w:r>
          </w:p>
        </w:tc>
      </w:tr>
      <w:tr w:rsidR="002D25EA" w14:paraId="45AE428A" w14:textId="77777777" w:rsidTr="00D9409F">
        <w:tc>
          <w:tcPr>
            <w:tcW w:w="2400" w:type="dxa"/>
            <w:tcMar>
              <w:top w:w="70" w:type="dxa"/>
              <w:left w:w="100" w:type="dxa"/>
              <w:bottom w:w="70" w:type="dxa"/>
              <w:right w:w="100" w:type="dxa"/>
            </w:tcMar>
          </w:tcPr>
          <w:p w14:paraId="6DA2C018" w14:textId="77777777" w:rsidR="002D25EA" w:rsidRDefault="002D25EA" w:rsidP="00D9409F">
            <w:r>
              <w:rPr>
                <w:sz w:val="18"/>
                <w:szCs w:val="18"/>
              </w:rPr>
              <w:t>Identity groups &amp; app registrations</w:t>
            </w:r>
          </w:p>
        </w:tc>
        <w:tc>
          <w:tcPr>
            <w:tcW w:w="1150" w:type="dxa"/>
            <w:tcMar>
              <w:top w:w="70" w:type="dxa"/>
              <w:left w:w="100" w:type="dxa"/>
              <w:bottom w:w="70" w:type="dxa"/>
              <w:right w:w="100" w:type="dxa"/>
            </w:tcMar>
          </w:tcPr>
          <w:p w14:paraId="17B05CF8" w14:textId="77777777" w:rsidR="002D25EA" w:rsidRDefault="002D25EA" w:rsidP="00D9409F">
            <w:r>
              <w:rPr>
                <w:sz w:val="18"/>
                <w:szCs w:val="18"/>
              </w:rPr>
              <w:t>C</w:t>
            </w:r>
          </w:p>
        </w:tc>
        <w:tc>
          <w:tcPr>
            <w:tcW w:w="1150" w:type="dxa"/>
            <w:tcMar>
              <w:top w:w="70" w:type="dxa"/>
              <w:left w:w="100" w:type="dxa"/>
              <w:bottom w:w="70" w:type="dxa"/>
              <w:right w:w="100" w:type="dxa"/>
            </w:tcMar>
          </w:tcPr>
          <w:p w14:paraId="63EB607F" w14:textId="77777777" w:rsidR="002D25EA" w:rsidRDefault="002D25EA" w:rsidP="00D9409F">
            <w:r>
              <w:rPr>
                <w:sz w:val="18"/>
                <w:szCs w:val="18"/>
              </w:rPr>
              <w:t>C</w:t>
            </w:r>
          </w:p>
        </w:tc>
        <w:tc>
          <w:tcPr>
            <w:tcW w:w="1150" w:type="dxa"/>
            <w:tcMar>
              <w:top w:w="70" w:type="dxa"/>
              <w:left w:w="100" w:type="dxa"/>
              <w:bottom w:w="70" w:type="dxa"/>
              <w:right w:w="100" w:type="dxa"/>
            </w:tcMar>
          </w:tcPr>
          <w:p w14:paraId="57E1D023" w14:textId="77777777" w:rsidR="002D25EA" w:rsidRDefault="002D25EA" w:rsidP="00D9409F">
            <w:r>
              <w:rPr>
                <w:sz w:val="18"/>
                <w:szCs w:val="18"/>
              </w:rPr>
              <w:t>I</w:t>
            </w:r>
          </w:p>
        </w:tc>
        <w:tc>
          <w:tcPr>
            <w:tcW w:w="1150" w:type="dxa"/>
            <w:tcMar>
              <w:top w:w="70" w:type="dxa"/>
              <w:left w:w="100" w:type="dxa"/>
              <w:bottom w:w="70" w:type="dxa"/>
              <w:right w:w="100" w:type="dxa"/>
            </w:tcMar>
          </w:tcPr>
          <w:p w14:paraId="0CFAAD0E" w14:textId="77777777" w:rsidR="002D25EA" w:rsidRDefault="002D25EA" w:rsidP="00D9409F">
            <w:r>
              <w:rPr>
                <w:sz w:val="18"/>
                <w:szCs w:val="18"/>
              </w:rPr>
              <w:t>A/R</w:t>
            </w:r>
          </w:p>
        </w:tc>
        <w:tc>
          <w:tcPr>
            <w:tcW w:w="1150" w:type="dxa"/>
            <w:tcMar>
              <w:top w:w="70" w:type="dxa"/>
              <w:left w:w="100" w:type="dxa"/>
              <w:bottom w:w="70" w:type="dxa"/>
              <w:right w:w="100" w:type="dxa"/>
            </w:tcMar>
          </w:tcPr>
          <w:p w14:paraId="07CD9981" w14:textId="77777777" w:rsidR="002D25EA" w:rsidRDefault="002D25EA" w:rsidP="00D9409F">
            <w:r>
              <w:rPr>
                <w:sz w:val="18"/>
                <w:szCs w:val="18"/>
              </w:rPr>
              <w:t>C</w:t>
            </w:r>
          </w:p>
        </w:tc>
        <w:tc>
          <w:tcPr>
            <w:tcW w:w="1150" w:type="dxa"/>
            <w:tcMar>
              <w:top w:w="70" w:type="dxa"/>
              <w:left w:w="100" w:type="dxa"/>
              <w:bottom w:w="70" w:type="dxa"/>
              <w:right w:w="100" w:type="dxa"/>
            </w:tcMar>
          </w:tcPr>
          <w:p w14:paraId="75868BCE" w14:textId="77777777" w:rsidR="002D25EA" w:rsidRDefault="002D25EA" w:rsidP="00D9409F">
            <w:r>
              <w:rPr>
                <w:sz w:val="18"/>
                <w:szCs w:val="18"/>
              </w:rPr>
              <w:t>I</w:t>
            </w:r>
          </w:p>
        </w:tc>
      </w:tr>
      <w:tr w:rsidR="002D25EA" w14:paraId="5A58E8E9" w14:textId="77777777" w:rsidTr="00D9409F">
        <w:tc>
          <w:tcPr>
            <w:tcW w:w="2400" w:type="dxa"/>
            <w:tcMar>
              <w:top w:w="70" w:type="dxa"/>
              <w:left w:w="100" w:type="dxa"/>
              <w:bottom w:w="70" w:type="dxa"/>
              <w:right w:w="100" w:type="dxa"/>
            </w:tcMar>
          </w:tcPr>
          <w:p w14:paraId="493B86C4" w14:textId="77777777" w:rsidR="002D25EA" w:rsidRDefault="002D25EA" w:rsidP="00D9409F">
            <w:r>
              <w:rPr>
                <w:sz w:val="18"/>
                <w:szCs w:val="18"/>
              </w:rPr>
              <w:t>Security controls &amp; threat monitoring</w:t>
            </w:r>
          </w:p>
        </w:tc>
        <w:tc>
          <w:tcPr>
            <w:tcW w:w="1150" w:type="dxa"/>
            <w:tcMar>
              <w:top w:w="70" w:type="dxa"/>
              <w:left w:w="100" w:type="dxa"/>
              <w:bottom w:w="70" w:type="dxa"/>
              <w:right w:w="100" w:type="dxa"/>
            </w:tcMar>
          </w:tcPr>
          <w:p w14:paraId="0BADF6DB" w14:textId="77777777" w:rsidR="002D25EA" w:rsidRDefault="002D25EA" w:rsidP="00D9409F">
            <w:r>
              <w:rPr>
                <w:sz w:val="18"/>
                <w:szCs w:val="18"/>
              </w:rPr>
              <w:t>C</w:t>
            </w:r>
          </w:p>
        </w:tc>
        <w:tc>
          <w:tcPr>
            <w:tcW w:w="1150" w:type="dxa"/>
            <w:tcMar>
              <w:top w:w="70" w:type="dxa"/>
              <w:left w:w="100" w:type="dxa"/>
              <w:bottom w:w="70" w:type="dxa"/>
              <w:right w:w="100" w:type="dxa"/>
            </w:tcMar>
          </w:tcPr>
          <w:p w14:paraId="2BE3E762" w14:textId="77777777" w:rsidR="002D25EA" w:rsidRDefault="002D25EA" w:rsidP="00D9409F">
            <w:r>
              <w:rPr>
                <w:sz w:val="18"/>
                <w:szCs w:val="18"/>
              </w:rPr>
              <w:t>I</w:t>
            </w:r>
          </w:p>
        </w:tc>
        <w:tc>
          <w:tcPr>
            <w:tcW w:w="1150" w:type="dxa"/>
            <w:tcMar>
              <w:top w:w="70" w:type="dxa"/>
              <w:left w:w="100" w:type="dxa"/>
              <w:bottom w:w="70" w:type="dxa"/>
              <w:right w:w="100" w:type="dxa"/>
            </w:tcMar>
          </w:tcPr>
          <w:p w14:paraId="61305A70" w14:textId="77777777" w:rsidR="002D25EA" w:rsidRDefault="002D25EA" w:rsidP="00D9409F">
            <w:r>
              <w:rPr>
                <w:sz w:val="18"/>
                <w:szCs w:val="18"/>
              </w:rPr>
              <w:t>C</w:t>
            </w:r>
          </w:p>
        </w:tc>
        <w:tc>
          <w:tcPr>
            <w:tcW w:w="1150" w:type="dxa"/>
            <w:tcMar>
              <w:top w:w="70" w:type="dxa"/>
              <w:left w:w="100" w:type="dxa"/>
              <w:bottom w:w="70" w:type="dxa"/>
              <w:right w:w="100" w:type="dxa"/>
            </w:tcMar>
          </w:tcPr>
          <w:p w14:paraId="170A719A" w14:textId="77777777" w:rsidR="002D25EA" w:rsidRDefault="002D25EA" w:rsidP="00D9409F">
            <w:r>
              <w:rPr>
                <w:sz w:val="18"/>
                <w:szCs w:val="18"/>
              </w:rPr>
              <w:t>C</w:t>
            </w:r>
          </w:p>
        </w:tc>
        <w:tc>
          <w:tcPr>
            <w:tcW w:w="1150" w:type="dxa"/>
            <w:tcMar>
              <w:top w:w="70" w:type="dxa"/>
              <w:left w:w="100" w:type="dxa"/>
              <w:bottom w:w="70" w:type="dxa"/>
              <w:right w:w="100" w:type="dxa"/>
            </w:tcMar>
          </w:tcPr>
          <w:p w14:paraId="06B4DE8A" w14:textId="77777777" w:rsidR="002D25EA" w:rsidRDefault="002D25EA" w:rsidP="00D9409F">
            <w:r>
              <w:rPr>
                <w:sz w:val="18"/>
                <w:szCs w:val="18"/>
              </w:rPr>
              <w:t>A/R</w:t>
            </w:r>
          </w:p>
        </w:tc>
        <w:tc>
          <w:tcPr>
            <w:tcW w:w="1150" w:type="dxa"/>
            <w:tcMar>
              <w:top w:w="70" w:type="dxa"/>
              <w:left w:w="100" w:type="dxa"/>
              <w:bottom w:w="70" w:type="dxa"/>
              <w:right w:w="100" w:type="dxa"/>
            </w:tcMar>
          </w:tcPr>
          <w:p w14:paraId="63CA1372" w14:textId="77777777" w:rsidR="002D25EA" w:rsidRDefault="002D25EA" w:rsidP="00D9409F">
            <w:r>
              <w:rPr>
                <w:sz w:val="18"/>
                <w:szCs w:val="18"/>
              </w:rPr>
              <w:t>C</w:t>
            </w:r>
          </w:p>
        </w:tc>
      </w:tr>
      <w:tr w:rsidR="002D25EA" w14:paraId="42A4DF0A" w14:textId="77777777" w:rsidTr="00D9409F">
        <w:tc>
          <w:tcPr>
            <w:tcW w:w="2400" w:type="dxa"/>
            <w:tcMar>
              <w:top w:w="70" w:type="dxa"/>
              <w:left w:w="100" w:type="dxa"/>
              <w:bottom w:w="70" w:type="dxa"/>
              <w:right w:w="100" w:type="dxa"/>
            </w:tcMar>
          </w:tcPr>
          <w:p w14:paraId="1FEC0D16" w14:textId="77777777" w:rsidR="002D25EA" w:rsidRDefault="002D25EA" w:rsidP="00D9409F">
            <w:r>
              <w:rPr>
                <w:sz w:val="18"/>
                <w:szCs w:val="18"/>
              </w:rPr>
              <w:t>Compliance evidence &amp; sign-off</w:t>
            </w:r>
          </w:p>
        </w:tc>
        <w:tc>
          <w:tcPr>
            <w:tcW w:w="1150" w:type="dxa"/>
            <w:tcMar>
              <w:top w:w="70" w:type="dxa"/>
              <w:left w:w="100" w:type="dxa"/>
              <w:bottom w:w="70" w:type="dxa"/>
              <w:right w:w="100" w:type="dxa"/>
            </w:tcMar>
          </w:tcPr>
          <w:p w14:paraId="3DBEC1AF" w14:textId="77777777" w:rsidR="002D25EA" w:rsidRDefault="002D25EA" w:rsidP="00D9409F">
            <w:r>
              <w:rPr>
                <w:sz w:val="18"/>
                <w:szCs w:val="18"/>
              </w:rPr>
              <w:t>C</w:t>
            </w:r>
          </w:p>
        </w:tc>
        <w:tc>
          <w:tcPr>
            <w:tcW w:w="1150" w:type="dxa"/>
            <w:tcMar>
              <w:top w:w="70" w:type="dxa"/>
              <w:left w:w="100" w:type="dxa"/>
              <w:bottom w:w="70" w:type="dxa"/>
              <w:right w:w="100" w:type="dxa"/>
            </w:tcMar>
          </w:tcPr>
          <w:p w14:paraId="5A19355B" w14:textId="77777777" w:rsidR="002D25EA" w:rsidRDefault="002D25EA" w:rsidP="00D9409F">
            <w:r>
              <w:rPr>
                <w:sz w:val="18"/>
                <w:szCs w:val="18"/>
              </w:rPr>
              <w:t>I</w:t>
            </w:r>
          </w:p>
        </w:tc>
        <w:tc>
          <w:tcPr>
            <w:tcW w:w="1150" w:type="dxa"/>
            <w:tcMar>
              <w:top w:w="70" w:type="dxa"/>
              <w:left w:w="100" w:type="dxa"/>
              <w:bottom w:w="70" w:type="dxa"/>
              <w:right w:w="100" w:type="dxa"/>
            </w:tcMar>
          </w:tcPr>
          <w:p w14:paraId="1420DBA6" w14:textId="77777777" w:rsidR="002D25EA" w:rsidRDefault="002D25EA" w:rsidP="00D9409F">
            <w:r>
              <w:rPr>
                <w:sz w:val="18"/>
                <w:szCs w:val="18"/>
              </w:rPr>
              <w:t>I</w:t>
            </w:r>
          </w:p>
        </w:tc>
        <w:tc>
          <w:tcPr>
            <w:tcW w:w="1150" w:type="dxa"/>
            <w:tcMar>
              <w:top w:w="70" w:type="dxa"/>
              <w:left w:w="100" w:type="dxa"/>
              <w:bottom w:w="70" w:type="dxa"/>
              <w:right w:w="100" w:type="dxa"/>
            </w:tcMar>
          </w:tcPr>
          <w:p w14:paraId="4B971EE2" w14:textId="77777777" w:rsidR="002D25EA" w:rsidRDefault="002D25EA" w:rsidP="00D9409F">
            <w:r>
              <w:rPr>
                <w:sz w:val="18"/>
                <w:szCs w:val="18"/>
              </w:rPr>
              <w:t>I</w:t>
            </w:r>
          </w:p>
        </w:tc>
        <w:tc>
          <w:tcPr>
            <w:tcW w:w="1150" w:type="dxa"/>
            <w:tcMar>
              <w:top w:w="70" w:type="dxa"/>
              <w:left w:w="100" w:type="dxa"/>
              <w:bottom w:w="70" w:type="dxa"/>
              <w:right w:w="100" w:type="dxa"/>
            </w:tcMar>
          </w:tcPr>
          <w:p w14:paraId="7F88AB0D" w14:textId="77777777" w:rsidR="002D25EA" w:rsidRDefault="002D25EA" w:rsidP="00D9409F">
            <w:r>
              <w:rPr>
                <w:sz w:val="18"/>
                <w:szCs w:val="18"/>
              </w:rPr>
              <w:t>C</w:t>
            </w:r>
          </w:p>
        </w:tc>
        <w:tc>
          <w:tcPr>
            <w:tcW w:w="1150" w:type="dxa"/>
            <w:tcMar>
              <w:top w:w="70" w:type="dxa"/>
              <w:left w:w="100" w:type="dxa"/>
              <w:bottom w:w="70" w:type="dxa"/>
              <w:right w:w="100" w:type="dxa"/>
            </w:tcMar>
          </w:tcPr>
          <w:p w14:paraId="39170197" w14:textId="77777777" w:rsidR="002D25EA" w:rsidRDefault="002D25EA" w:rsidP="00D9409F">
            <w:r>
              <w:rPr>
                <w:sz w:val="18"/>
                <w:szCs w:val="18"/>
              </w:rPr>
              <w:t>A/R</w:t>
            </w:r>
          </w:p>
        </w:tc>
      </w:tr>
      <w:tr w:rsidR="002D25EA" w14:paraId="5968424B" w14:textId="77777777" w:rsidTr="00D9409F">
        <w:tc>
          <w:tcPr>
            <w:tcW w:w="2400" w:type="dxa"/>
            <w:tcMar>
              <w:top w:w="70" w:type="dxa"/>
              <w:left w:w="100" w:type="dxa"/>
              <w:bottom w:w="70" w:type="dxa"/>
              <w:right w:w="100" w:type="dxa"/>
            </w:tcMar>
          </w:tcPr>
          <w:p w14:paraId="4A0D4CA9" w14:textId="77777777" w:rsidR="002D25EA" w:rsidRDefault="002D25EA" w:rsidP="00D9409F">
            <w:r>
              <w:rPr>
                <w:sz w:val="18"/>
                <w:szCs w:val="18"/>
              </w:rPr>
              <w:lastRenderedPageBreak/>
              <w:t>Deprecation &amp; partner migration</w:t>
            </w:r>
          </w:p>
        </w:tc>
        <w:tc>
          <w:tcPr>
            <w:tcW w:w="1150" w:type="dxa"/>
            <w:tcMar>
              <w:top w:w="70" w:type="dxa"/>
              <w:left w:w="100" w:type="dxa"/>
              <w:bottom w:w="70" w:type="dxa"/>
              <w:right w:w="100" w:type="dxa"/>
            </w:tcMar>
          </w:tcPr>
          <w:p w14:paraId="7B42DAEA" w14:textId="77777777" w:rsidR="002D25EA" w:rsidRDefault="002D25EA" w:rsidP="00D9409F">
            <w:r>
              <w:rPr>
                <w:sz w:val="18"/>
                <w:szCs w:val="18"/>
              </w:rPr>
              <w:t>A/R</w:t>
            </w:r>
          </w:p>
        </w:tc>
        <w:tc>
          <w:tcPr>
            <w:tcW w:w="1150" w:type="dxa"/>
            <w:tcMar>
              <w:top w:w="70" w:type="dxa"/>
              <w:left w:w="100" w:type="dxa"/>
              <w:bottom w:w="70" w:type="dxa"/>
              <w:right w:w="100" w:type="dxa"/>
            </w:tcMar>
          </w:tcPr>
          <w:p w14:paraId="4ED535F2" w14:textId="77777777" w:rsidR="002D25EA" w:rsidRDefault="002D25EA" w:rsidP="00D9409F">
            <w:r>
              <w:rPr>
                <w:sz w:val="18"/>
                <w:szCs w:val="18"/>
              </w:rPr>
              <w:t>R</w:t>
            </w:r>
          </w:p>
        </w:tc>
        <w:tc>
          <w:tcPr>
            <w:tcW w:w="1150" w:type="dxa"/>
            <w:tcMar>
              <w:top w:w="70" w:type="dxa"/>
              <w:left w:w="100" w:type="dxa"/>
              <w:bottom w:w="70" w:type="dxa"/>
              <w:right w:w="100" w:type="dxa"/>
            </w:tcMar>
          </w:tcPr>
          <w:p w14:paraId="64837754" w14:textId="77777777" w:rsidR="002D25EA" w:rsidRDefault="002D25EA" w:rsidP="00D9409F">
            <w:r>
              <w:rPr>
                <w:sz w:val="18"/>
                <w:szCs w:val="18"/>
              </w:rPr>
              <w:t>I</w:t>
            </w:r>
          </w:p>
        </w:tc>
        <w:tc>
          <w:tcPr>
            <w:tcW w:w="1150" w:type="dxa"/>
            <w:tcMar>
              <w:top w:w="70" w:type="dxa"/>
              <w:left w:w="100" w:type="dxa"/>
              <w:bottom w:w="70" w:type="dxa"/>
              <w:right w:w="100" w:type="dxa"/>
            </w:tcMar>
          </w:tcPr>
          <w:p w14:paraId="2285B95E" w14:textId="77777777" w:rsidR="002D25EA" w:rsidRDefault="002D25EA" w:rsidP="00D9409F">
            <w:r>
              <w:rPr>
                <w:sz w:val="18"/>
                <w:szCs w:val="18"/>
              </w:rPr>
              <w:t>I</w:t>
            </w:r>
          </w:p>
        </w:tc>
        <w:tc>
          <w:tcPr>
            <w:tcW w:w="1150" w:type="dxa"/>
            <w:tcMar>
              <w:top w:w="70" w:type="dxa"/>
              <w:left w:w="100" w:type="dxa"/>
              <w:bottom w:w="70" w:type="dxa"/>
              <w:right w:w="100" w:type="dxa"/>
            </w:tcMar>
          </w:tcPr>
          <w:p w14:paraId="7F251B8B" w14:textId="77777777" w:rsidR="002D25EA" w:rsidRDefault="002D25EA" w:rsidP="00D9409F">
            <w:r>
              <w:rPr>
                <w:sz w:val="18"/>
                <w:szCs w:val="18"/>
              </w:rPr>
              <w:t>I</w:t>
            </w:r>
          </w:p>
        </w:tc>
        <w:tc>
          <w:tcPr>
            <w:tcW w:w="1150" w:type="dxa"/>
            <w:tcMar>
              <w:top w:w="70" w:type="dxa"/>
              <w:left w:w="100" w:type="dxa"/>
              <w:bottom w:w="70" w:type="dxa"/>
              <w:right w:w="100" w:type="dxa"/>
            </w:tcMar>
          </w:tcPr>
          <w:p w14:paraId="4D9E9FE0" w14:textId="77777777" w:rsidR="002D25EA" w:rsidRDefault="002D25EA" w:rsidP="00D9409F">
            <w:r>
              <w:rPr>
                <w:sz w:val="18"/>
                <w:szCs w:val="18"/>
              </w:rPr>
              <w:t>I</w:t>
            </w:r>
          </w:p>
        </w:tc>
      </w:tr>
      <w:tr w:rsidR="002D25EA" w14:paraId="4AEDCED5" w14:textId="77777777" w:rsidTr="00D9409F">
        <w:tc>
          <w:tcPr>
            <w:tcW w:w="2400" w:type="dxa"/>
            <w:tcMar>
              <w:top w:w="70" w:type="dxa"/>
              <w:left w:w="100" w:type="dxa"/>
              <w:bottom w:w="70" w:type="dxa"/>
              <w:right w:w="100" w:type="dxa"/>
            </w:tcMar>
          </w:tcPr>
          <w:p w14:paraId="0FC422FF" w14:textId="77777777" w:rsidR="002D25EA" w:rsidRDefault="002D25EA" w:rsidP="00D9409F">
            <w:r>
              <w:rPr>
                <w:sz w:val="18"/>
                <w:szCs w:val="18"/>
              </w:rPr>
              <w:t>Incident response</w:t>
            </w:r>
          </w:p>
        </w:tc>
        <w:tc>
          <w:tcPr>
            <w:tcW w:w="1150" w:type="dxa"/>
            <w:tcMar>
              <w:top w:w="70" w:type="dxa"/>
              <w:left w:w="100" w:type="dxa"/>
              <w:bottom w:w="70" w:type="dxa"/>
              <w:right w:w="100" w:type="dxa"/>
            </w:tcMar>
          </w:tcPr>
          <w:p w14:paraId="727F4BC1" w14:textId="77777777" w:rsidR="002D25EA" w:rsidRDefault="002D25EA" w:rsidP="00D9409F">
            <w:r>
              <w:rPr>
                <w:sz w:val="18"/>
                <w:szCs w:val="18"/>
              </w:rPr>
              <w:t>A/R</w:t>
            </w:r>
          </w:p>
        </w:tc>
        <w:tc>
          <w:tcPr>
            <w:tcW w:w="1150" w:type="dxa"/>
            <w:tcMar>
              <w:top w:w="70" w:type="dxa"/>
              <w:left w:w="100" w:type="dxa"/>
              <w:bottom w:w="70" w:type="dxa"/>
              <w:right w:w="100" w:type="dxa"/>
            </w:tcMar>
          </w:tcPr>
          <w:p w14:paraId="188A1105" w14:textId="77777777" w:rsidR="002D25EA" w:rsidRDefault="002D25EA" w:rsidP="00D9409F">
            <w:r>
              <w:rPr>
                <w:sz w:val="18"/>
                <w:szCs w:val="18"/>
              </w:rPr>
              <w:t>C</w:t>
            </w:r>
          </w:p>
        </w:tc>
        <w:tc>
          <w:tcPr>
            <w:tcW w:w="1150" w:type="dxa"/>
            <w:tcMar>
              <w:top w:w="70" w:type="dxa"/>
              <w:left w:w="100" w:type="dxa"/>
              <w:bottom w:w="70" w:type="dxa"/>
              <w:right w:w="100" w:type="dxa"/>
            </w:tcMar>
          </w:tcPr>
          <w:p w14:paraId="03BBA17F" w14:textId="77777777" w:rsidR="002D25EA" w:rsidRDefault="002D25EA" w:rsidP="00D9409F">
            <w:r>
              <w:rPr>
                <w:sz w:val="18"/>
                <w:szCs w:val="18"/>
              </w:rPr>
              <w:t>C</w:t>
            </w:r>
          </w:p>
        </w:tc>
        <w:tc>
          <w:tcPr>
            <w:tcW w:w="1150" w:type="dxa"/>
            <w:tcMar>
              <w:top w:w="70" w:type="dxa"/>
              <w:left w:w="100" w:type="dxa"/>
              <w:bottom w:w="70" w:type="dxa"/>
              <w:right w:w="100" w:type="dxa"/>
            </w:tcMar>
          </w:tcPr>
          <w:p w14:paraId="502F2CD9" w14:textId="77777777" w:rsidR="002D25EA" w:rsidRDefault="002D25EA" w:rsidP="00D9409F">
            <w:r>
              <w:rPr>
                <w:sz w:val="18"/>
                <w:szCs w:val="18"/>
              </w:rPr>
              <w:t>C</w:t>
            </w:r>
          </w:p>
        </w:tc>
        <w:tc>
          <w:tcPr>
            <w:tcW w:w="1150" w:type="dxa"/>
            <w:tcMar>
              <w:top w:w="70" w:type="dxa"/>
              <w:left w:w="100" w:type="dxa"/>
              <w:bottom w:w="70" w:type="dxa"/>
              <w:right w:w="100" w:type="dxa"/>
            </w:tcMar>
          </w:tcPr>
          <w:p w14:paraId="3CD86503" w14:textId="77777777" w:rsidR="002D25EA" w:rsidRDefault="002D25EA" w:rsidP="00D9409F">
            <w:r>
              <w:rPr>
                <w:sz w:val="18"/>
                <w:szCs w:val="18"/>
              </w:rPr>
              <w:t>R</w:t>
            </w:r>
          </w:p>
        </w:tc>
        <w:tc>
          <w:tcPr>
            <w:tcW w:w="1150" w:type="dxa"/>
            <w:tcMar>
              <w:top w:w="70" w:type="dxa"/>
              <w:left w:w="100" w:type="dxa"/>
              <w:bottom w:w="70" w:type="dxa"/>
              <w:right w:w="100" w:type="dxa"/>
            </w:tcMar>
          </w:tcPr>
          <w:p w14:paraId="54A7F84F" w14:textId="77777777" w:rsidR="002D25EA" w:rsidRDefault="002D25EA" w:rsidP="00D9409F">
            <w:r>
              <w:rPr>
                <w:sz w:val="18"/>
                <w:szCs w:val="18"/>
              </w:rPr>
              <w:t>I</w:t>
            </w:r>
          </w:p>
        </w:tc>
      </w:tr>
    </w:tbl>
    <w:p w14:paraId="20249CF2" w14:textId="77777777" w:rsidR="002D25EA" w:rsidRDefault="002D25EA" w:rsidP="002D25EA">
      <w:pPr>
        <w:spacing w:after="140"/>
      </w:pPr>
      <w:r>
        <w:t>R = Responsible (does the work), A = Accountable (owns the outcome), C = Consulted, I = Informed. Named individuals for each accountable role are to be recorded by the Organization against this table before go-live.</w:t>
      </w:r>
    </w:p>
    <w:p w14:paraId="37A5A20B" w14:textId="77777777" w:rsidR="002D25EA" w:rsidRDefault="002D25EA" w:rsidP="002D25EA">
      <w:pPr>
        <w:spacing w:after="140"/>
      </w:pPr>
      <w:r>
        <w:t>APIM policies apply at four levels, and the most specific one always wins: Global, then Product, then API, then Operation. The Organization should keep global policies to the handful that must never be skipped everywhere (correlation ID, HTTPS enforcement, header stripping), and push everything consumer-specific down to Product level, where it belongs.</w:t>
      </w:r>
    </w:p>
    <w:p w14:paraId="68464753" w14:textId="77777777" w:rsidR="002D25EA" w:rsidRDefault="002D25EA" w:rsidP="002D25EA">
      <w:pPr>
        <w:spacing w:after="140"/>
      </w:pPr>
      <w:r>
        <w:t>Rather than let each team write policies from scratch, the platform ships a small library of reusable policy fragments that are referenced by name, so a fix to the standard JWT-validation fragment updates every API that includes it. The matrix below shows which standard policy applies at which scope. The full policy snippets themselves are in the Security section.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607EB415" w14:textId="77777777" w:rsidTr="00D9409F">
        <w:trPr>
          <w:tblHeader/>
        </w:trPr>
        <w:tc>
          <w:tcPr>
            <w:tcW w:w="3100" w:type="dxa"/>
            <w:shd w:val="clear" w:color="auto" w:fill="1E2761"/>
            <w:tcMar>
              <w:top w:w="70" w:type="dxa"/>
              <w:left w:w="100" w:type="dxa"/>
              <w:bottom w:w="70" w:type="dxa"/>
              <w:right w:w="100" w:type="dxa"/>
            </w:tcMar>
            <w:vAlign w:val="center"/>
          </w:tcPr>
          <w:p w14:paraId="6B2B385B" w14:textId="77777777" w:rsidR="002D25EA" w:rsidRDefault="002D25EA" w:rsidP="00D9409F">
            <w:r>
              <w:rPr>
                <w:b/>
                <w:bCs/>
                <w:color w:val="FFFFFF"/>
                <w:sz w:val="18"/>
                <w:szCs w:val="18"/>
              </w:rPr>
              <w:t>Policy</w:t>
            </w:r>
          </w:p>
        </w:tc>
        <w:tc>
          <w:tcPr>
            <w:tcW w:w="3100" w:type="dxa"/>
            <w:shd w:val="clear" w:color="auto" w:fill="1E2761"/>
            <w:tcMar>
              <w:top w:w="70" w:type="dxa"/>
              <w:left w:w="100" w:type="dxa"/>
              <w:bottom w:w="70" w:type="dxa"/>
              <w:right w:w="100" w:type="dxa"/>
            </w:tcMar>
            <w:vAlign w:val="center"/>
          </w:tcPr>
          <w:p w14:paraId="741DE8E7" w14:textId="77777777" w:rsidR="002D25EA" w:rsidRDefault="002D25EA" w:rsidP="00D9409F">
            <w:r>
              <w:rPr>
                <w:b/>
                <w:bCs/>
                <w:color w:val="FFFFFF"/>
                <w:sz w:val="18"/>
                <w:szCs w:val="18"/>
              </w:rPr>
              <w:t>Scope</w:t>
            </w:r>
          </w:p>
        </w:tc>
        <w:tc>
          <w:tcPr>
            <w:tcW w:w="3100" w:type="dxa"/>
            <w:shd w:val="clear" w:color="auto" w:fill="1E2761"/>
            <w:tcMar>
              <w:top w:w="70" w:type="dxa"/>
              <w:left w:w="100" w:type="dxa"/>
              <w:bottom w:w="70" w:type="dxa"/>
              <w:right w:w="100" w:type="dxa"/>
            </w:tcMar>
            <w:vAlign w:val="center"/>
          </w:tcPr>
          <w:p w14:paraId="3A7CCAD9" w14:textId="77777777" w:rsidR="002D25EA" w:rsidRDefault="002D25EA" w:rsidP="00D9409F">
            <w:r>
              <w:rPr>
                <w:b/>
                <w:bCs/>
                <w:color w:val="FFFFFF"/>
                <w:sz w:val="18"/>
                <w:szCs w:val="18"/>
              </w:rPr>
              <w:t>Purpose</w:t>
            </w:r>
          </w:p>
        </w:tc>
      </w:tr>
      <w:tr w:rsidR="002D25EA" w14:paraId="194A5914" w14:textId="77777777" w:rsidTr="00D9409F">
        <w:tc>
          <w:tcPr>
            <w:tcW w:w="3100" w:type="dxa"/>
            <w:tcMar>
              <w:top w:w="70" w:type="dxa"/>
              <w:left w:w="100" w:type="dxa"/>
              <w:bottom w:w="70" w:type="dxa"/>
              <w:right w:w="100" w:type="dxa"/>
            </w:tcMar>
            <w:vAlign w:val="center"/>
          </w:tcPr>
          <w:p w14:paraId="77CF6DE1" w14:textId="77777777" w:rsidR="002D25EA" w:rsidRDefault="002D25EA" w:rsidP="00D9409F">
            <w:r>
              <w:rPr>
                <w:sz w:val="18"/>
                <w:szCs w:val="18"/>
              </w:rPr>
              <w:t>Correlation ID injection</w:t>
            </w:r>
          </w:p>
        </w:tc>
        <w:tc>
          <w:tcPr>
            <w:tcW w:w="3100" w:type="dxa"/>
            <w:tcMar>
              <w:top w:w="70" w:type="dxa"/>
              <w:left w:w="100" w:type="dxa"/>
              <w:bottom w:w="70" w:type="dxa"/>
              <w:right w:w="100" w:type="dxa"/>
            </w:tcMar>
            <w:vAlign w:val="center"/>
          </w:tcPr>
          <w:p w14:paraId="6BB75249" w14:textId="77777777" w:rsidR="002D25EA" w:rsidRDefault="002D25EA" w:rsidP="00D9409F">
            <w:r>
              <w:rPr>
                <w:sz w:val="18"/>
                <w:szCs w:val="18"/>
              </w:rPr>
              <w:t>Global</w:t>
            </w:r>
          </w:p>
        </w:tc>
        <w:tc>
          <w:tcPr>
            <w:tcW w:w="3100" w:type="dxa"/>
            <w:tcMar>
              <w:top w:w="70" w:type="dxa"/>
              <w:left w:w="100" w:type="dxa"/>
              <w:bottom w:w="70" w:type="dxa"/>
              <w:right w:w="100" w:type="dxa"/>
            </w:tcMar>
            <w:vAlign w:val="center"/>
          </w:tcPr>
          <w:p w14:paraId="72DCBCF8" w14:textId="77777777" w:rsidR="002D25EA" w:rsidRDefault="002D25EA" w:rsidP="00D9409F">
            <w:r>
              <w:rPr>
                <w:sz w:val="18"/>
                <w:szCs w:val="18"/>
              </w:rPr>
              <w:t>Stamp every request with a trace ID carried through to the backend and logs</w:t>
            </w:r>
          </w:p>
        </w:tc>
      </w:tr>
      <w:tr w:rsidR="002D25EA" w14:paraId="357BAD0A" w14:textId="77777777" w:rsidTr="00D9409F">
        <w:tc>
          <w:tcPr>
            <w:tcW w:w="3100" w:type="dxa"/>
            <w:tcMar>
              <w:top w:w="70" w:type="dxa"/>
              <w:left w:w="100" w:type="dxa"/>
              <w:bottom w:w="70" w:type="dxa"/>
              <w:right w:w="100" w:type="dxa"/>
            </w:tcMar>
            <w:vAlign w:val="center"/>
          </w:tcPr>
          <w:p w14:paraId="544805CB" w14:textId="77777777" w:rsidR="002D25EA" w:rsidRDefault="002D25EA" w:rsidP="00D9409F">
            <w:r>
              <w:rPr>
                <w:sz w:val="18"/>
                <w:szCs w:val="18"/>
              </w:rPr>
              <w:t>HTTPS and TLS 1.2 enforcement</w:t>
            </w:r>
          </w:p>
        </w:tc>
        <w:tc>
          <w:tcPr>
            <w:tcW w:w="3100" w:type="dxa"/>
            <w:tcMar>
              <w:top w:w="70" w:type="dxa"/>
              <w:left w:w="100" w:type="dxa"/>
              <w:bottom w:w="70" w:type="dxa"/>
              <w:right w:w="100" w:type="dxa"/>
            </w:tcMar>
            <w:vAlign w:val="center"/>
          </w:tcPr>
          <w:p w14:paraId="6A13190E" w14:textId="77777777" w:rsidR="002D25EA" w:rsidRDefault="002D25EA" w:rsidP="00D9409F">
            <w:r>
              <w:rPr>
                <w:sz w:val="18"/>
                <w:szCs w:val="18"/>
              </w:rPr>
              <w:t>Global</w:t>
            </w:r>
          </w:p>
        </w:tc>
        <w:tc>
          <w:tcPr>
            <w:tcW w:w="3100" w:type="dxa"/>
            <w:tcMar>
              <w:top w:w="70" w:type="dxa"/>
              <w:left w:w="100" w:type="dxa"/>
              <w:bottom w:w="70" w:type="dxa"/>
              <w:right w:w="100" w:type="dxa"/>
            </w:tcMar>
            <w:vAlign w:val="center"/>
          </w:tcPr>
          <w:p w14:paraId="79B525E5" w14:textId="77777777" w:rsidR="002D25EA" w:rsidRDefault="002D25EA" w:rsidP="00D9409F">
            <w:r>
              <w:rPr>
                <w:sz w:val="18"/>
                <w:szCs w:val="18"/>
              </w:rPr>
              <w:t>Reject any non-TLS or outdated-protocol request outright</w:t>
            </w:r>
          </w:p>
        </w:tc>
      </w:tr>
      <w:tr w:rsidR="002D25EA" w14:paraId="323D8279" w14:textId="77777777" w:rsidTr="00D9409F">
        <w:tc>
          <w:tcPr>
            <w:tcW w:w="3100" w:type="dxa"/>
            <w:tcMar>
              <w:top w:w="70" w:type="dxa"/>
              <w:left w:w="100" w:type="dxa"/>
              <w:bottom w:w="70" w:type="dxa"/>
              <w:right w:w="100" w:type="dxa"/>
            </w:tcMar>
            <w:vAlign w:val="center"/>
          </w:tcPr>
          <w:p w14:paraId="64AA335E" w14:textId="77777777" w:rsidR="002D25EA" w:rsidRDefault="002D25EA" w:rsidP="00D9409F">
            <w:r>
              <w:rPr>
                <w:sz w:val="18"/>
                <w:szCs w:val="18"/>
              </w:rPr>
              <w:t>Sensitive header stripping</w:t>
            </w:r>
          </w:p>
        </w:tc>
        <w:tc>
          <w:tcPr>
            <w:tcW w:w="3100" w:type="dxa"/>
            <w:tcMar>
              <w:top w:w="70" w:type="dxa"/>
              <w:left w:w="100" w:type="dxa"/>
              <w:bottom w:w="70" w:type="dxa"/>
              <w:right w:w="100" w:type="dxa"/>
            </w:tcMar>
            <w:vAlign w:val="center"/>
          </w:tcPr>
          <w:p w14:paraId="70819C13" w14:textId="77777777" w:rsidR="002D25EA" w:rsidRDefault="002D25EA" w:rsidP="00D9409F">
            <w:r>
              <w:rPr>
                <w:sz w:val="18"/>
                <w:szCs w:val="18"/>
              </w:rPr>
              <w:t>Global</w:t>
            </w:r>
          </w:p>
        </w:tc>
        <w:tc>
          <w:tcPr>
            <w:tcW w:w="3100" w:type="dxa"/>
            <w:tcMar>
              <w:top w:w="70" w:type="dxa"/>
              <w:left w:w="100" w:type="dxa"/>
              <w:bottom w:w="70" w:type="dxa"/>
              <w:right w:w="100" w:type="dxa"/>
            </w:tcMar>
            <w:vAlign w:val="center"/>
          </w:tcPr>
          <w:p w14:paraId="374D7991" w14:textId="77777777" w:rsidR="002D25EA" w:rsidRDefault="002D25EA" w:rsidP="00D9409F">
            <w:r>
              <w:rPr>
                <w:sz w:val="18"/>
                <w:szCs w:val="18"/>
              </w:rPr>
              <w:t>Remove internal headers before a response leaves the gateway</w:t>
            </w:r>
          </w:p>
        </w:tc>
      </w:tr>
      <w:tr w:rsidR="002D25EA" w14:paraId="4A597AA6" w14:textId="77777777" w:rsidTr="00D9409F">
        <w:tc>
          <w:tcPr>
            <w:tcW w:w="3100" w:type="dxa"/>
            <w:tcMar>
              <w:top w:w="70" w:type="dxa"/>
              <w:left w:w="100" w:type="dxa"/>
              <w:bottom w:w="70" w:type="dxa"/>
              <w:right w:w="100" w:type="dxa"/>
            </w:tcMar>
            <w:vAlign w:val="center"/>
          </w:tcPr>
          <w:p w14:paraId="7CC32AC7" w14:textId="77777777" w:rsidR="002D25EA" w:rsidRDefault="002D25EA" w:rsidP="00D9409F">
            <w:r>
              <w:rPr>
                <w:sz w:val="18"/>
                <w:szCs w:val="18"/>
              </w:rPr>
              <w:t>JWT validation</w:t>
            </w:r>
          </w:p>
        </w:tc>
        <w:tc>
          <w:tcPr>
            <w:tcW w:w="3100" w:type="dxa"/>
            <w:tcMar>
              <w:top w:w="70" w:type="dxa"/>
              <w:left w:w="100" w:type="dxa"/>
              <w:bottom w:w="70" w:type="dxa"/>
              <w:right w:w="100" w:type="dxa"/>
            </w:tcMar>
            <w:vAlign w:val="center"/>
          </w:tcPr>
          <w:p w14:paraId="664D17CA" w14:textId="77777777" w:rsidR="002D25EA" w:rsidRDefault="002D25EA" w:rsidP="00D9409F">
            <w:r>
              <w:rPr>
                <w:sz w:val="18"/>
                <w:szCs w:val="18"/>
              </w:rPr>
              <w:t>Product</w:t>
            </w:r>
          </w:p>
        </w:tc>
        <w:tc>
          <w:tcPr>
            <w:tcW w:w="3100" w:type="dxa"/>
            <w:tcMar>
              <w:top w:w="70" w:type="dxa"/>
              <w:left w:w="100" w:type="dxa"/>
              <w:bottom w:w="70" w:type="dxa"/>
              <w:right w:w="100" w:type="dxa"/>
            </w:tcMar>
            <w:vAlign w:val="center"/>
          </w:tcPr>
          <w:p w14:paraId="36969832" w14:textId="77777777" w:rsidR="002D25EA" w:rsidRDefault="002D25EA" w:rsidP="00D9409F">
            <w:r>
              <w:rPr>
                <w:sz w:val="18"/>
                <w:szCs w:val="18"/>
              </w:rPr>
              <w:t>Check token issuer, audience, expiry and scope per consumer group</w:t>
            </w:r>
          </w:p>
        </w:tc>
      </w:tr>
      <w:tr w:rsidR="002D25EA" w14:paraId="13F3825A" w14:textId="77777777" w:rsidTr="00D9409F">
        <w:tc>
          <w:tcPr>
            <w:tcW w:w="3100" w:type="dxa"/>
            <w:tcMar>
              <w:top w:w="70" w:type="dxa"/>
              <w:left w:w="100" w:type="dxa"/>
              <w:bottom w:w="70" w:type="dxa"/>
              <w:right w:w="100" w:type="dxa"/>
            </w:tcMar>
            <w:vAlign w:val="center"/>
          </w:tcPr>
          <w:p w14:paraId="65C30CE4" w14:textId="77777777" w:rsidR="002D25EA" w:rsidRDefault="002D25EA" w:rsidP="00D9409F">
            <w:r>
              <w:rPr>
                <w:sz w:val="18"/>
                <w:szCs w:val="18"/>
              </w:rPr>
              <w:t>Rate limit and quota</w:t>
            </w:r>
          </w:p>
        </w:tc>
        <w:tc>
          <w:tcPr>
            <w:tcW w:w="3100" w:type="dxa"/>
            <w:tcMar>
              <w:top w:w="70" w:type="dxa"/>
              <w:left w:w="100" w:type="dxa"/>
              <w:bottom w:w="70" w:type="dxa"/>
              <w:right w:w="100" w:type="dxa"/>
            </w:tcMar>
            <w:vAlign w:val="center"/>
          </w:tcPr>
          <w:p w14:paraId="06D277D3" w14:textId="77777777" w:rsidR="002D25EA" w:rsidRDefault="002D25EA" w:rsidP="00D9409F">
            <w:r>
              <w:rPr>
                <w:sz w:val="18"/>
                <w:szCs w:val="18"/>
              </w:rPr>
              <w:t>Product</w:t>
            </w:r>
          </w:p>
        </w:tc>
        <w:tc>
          <w:tcPr>
            <w:tcW w:w="3100" w:type="dxa"/>
            <w:tcMar>
              <w:top w:w="70" w:type="dxa"/>
              <w:left w:w="100" w:type="dxa"/>
              <w:bottom w:w="70" w:type="dxa"/>
              <w:right w:w="100" w:type="dxa"/>
            </w:tcMar>
            <w:vAlign w:val="center"/>
          </w:tcPr>
          <w:p w14:paraId="534B89D5" w14:textId="77777777" w:rsidR="002D25EA" w:rsidRDefault="002D25EA" w:rsidP="00D9409F">
            <w:r>
              <w:rPr>
                <w:sz w:val="18"/>
                <w:szCs w:val="18"/>
              </w:rPr>
              <w:t>Cap each subscription so one consumer cannot exhaust the platform</w:t>
            </w:r>
          </w:p>
        </w:tc>
      </w:tr>
      <w:tr w:rsidR="002D25EA" w14:paraId="51CC58AC" w14:textId="77777777" w:rsidTr="00D9409F">
        <w:tc>
          <w:tcPr>
            <w:tcW w:w="3100" w:type="dxa"/>
            <w:tcMar>
              <w:top w:w="70" w:type="dxa"/>
              <w:left w:w="100" w:type="dxa"/>
              <w:bottom w:w="70" w:type="dxa"/>
              <w:right w:w="100" w:type="dxa"/>
            </w:tcMar>
            <w:vAlign w:val="center"/>
          </w:tcPr>
          <w:p w14:paraId="7FDC8597" w14:textId="77777777" w:rsidR="002D25EA" w:rsidRDefault="002D25EA" w:rsidP="00D9409F">
            <w:r>
              <w:rPr>
                <w:sz w:val="18"/>
                <w:szCs w:val="18"/>
              </w:rPr>
              <w:t>Managed identity to backend</w:t>
            </w:r>
          </w:p>
        </w:tc>
        <w:tc>
          <w:tcPr>
            <w:tcW w:w="3100" w:type="dxa"/>
            <w:tcMar>
              <w:top w:w="70" w:type="dxa"/>
              <w:left w:w="100" w:type="dxa"/>
              <w:bottom w:w="70" w:type="dxa"/>
              <w:right w:w="100" w:type="dxa"/>
            </w:tcMar>
            <w:vAlign w:val="center"/>
          </w:tcPr>
          <w:p w14:paraId="49FDFC53" w14:textId="77777777" w:rsidR="002D25EA" w:rsidRDefault="002D25EA" w:rsidP="00D9409F">
            <w:r>
              <w:rPr>
                <w:sz w:val="18"/>
                <w:szCs w:val="18"/>
              </w:rPr>
              <w:t>API</w:t>
            </w:r>
          </w:p>
        </w:tc>
        <w:tc>
          <w:tcPr>
            <w:tcW w:w="3100" w:type="dxa"/>
            <w:tcMar>
              <w:top w:w="70" w:type="dxa"/>
              <w:left w:w="100" w:type="dxa"/>
              <w:bottom w:w="70" w:type="dxa"/>
              <w:right w:w="100" w:type="dxa"/>
            </w:tcMar>
            <w:vAlign w:val="center"/>
          </w:tcPr>
          <w:p w14:paraId="2FC5C968" w14:textId="77777777" w:rsidR="002D25EA" w:rsidRDefault="002D25EA" w:rsidP="00D9409F">
            <w:r>
              <w:rPr>
                <w:sz w:val="18"/>
                <w:szCs w:val="18"/>
              </w:rPr>
              <w:t>Authenticate to the backend with no stored secret</w:t>
            </w:r>
          </w:p>
        </w:tc>
      </w:tr>
      <w:tr w:rsidR="002D25EA" w14:paraId="4E31B0F2" w14:textId="77777777" w:rsidTr="00D9409F">
        <w:tc>
          <w:tcPr>
            <w:tcW w:w="3100" w:type="dxa"/>
            <w:tcMar>
              <w:top w:w="70" w:type="dxa"/>
              <w:left w:w="100" w:type="dxa"/>
              <w:bottom w:w="70" w:type="dxa"/>
              <w:right w:w="100" w:type="dxa"/>
            </w:tcMar>
            <w:vAlign w:val="center"/>
          </w:tcPr>
          <w:p w14:paraId="277299AD" w14:textId="77777777" w:rsidR="002D25EA" w:rsidRDefault="002D25EA" w:rsidP="00D9409F">
            <w:r>
              <w:rPr>
                <w:sz w:val="18"/>
                <w:szCs w:val="18"/>
              </w:rPr>
              <w:t>Response caching</w:t>
            </w:r>
          </w:p>
        </w:tc>
        <w:tc>
          <w:tcPr>
            <w:tcW w:w="3100" w:type="dxa"/>
            <w:tcMar>
              <w:top w:w="70" w:type="dxa"/>
              <w:left w:w="100" w:type="dxa"/>
              <w:bottom w:w="70" w:type="dxa"/>
              <w:right w:w="100" w:type="dxa"/>
            </w:tcMar>
            <w:vAlign w:val="center"/>
          </w:tcPr>
          <w:p w14:paraId="727E377E" w14:textId="77777777" w:rsidR="002D25EA" w:rsidRDefault="002D25EA" w:rsidP="00D9409F">
            <w:r>
              <w:rPr>
                <w:sz w:val="18"/>
                <w:szCs w:val="18"/>
              </w:rPr>
              <w:t>Operation</w:t>
            </w:r>
          </w:p>
        </w:tc>
        <w:tc>
          <w:tcPr>
            <w:tcW w:w="3100" w:type="dxa"/>
            <w:tcMar>
              <w:top w:w="70" w:type="dxa"/>
              <w:left w:w="100" w:type="dxa"/>
              <w:bottom w:w="70" w:type="dxa"/>
              <w:right w:w="100" w:type="dxa"/>
            </w:tcMar>
            <w:vAlign w:val="center"/>
          </w:tcPr>
          <w:p w14:paraId="6F23DF12" w14:textId="77777777" w:rsidR="002D25EA" w:rsidRDefault="002D25EA" w:rsidP="00D9409F">
            <w:r>
              <w:rPr>
                <w:sz w:val="18"/>
                <w:szCs w:val="18"/>
              </w:rPr>
              <w:t>Cache safe, cacheable GETs where the backend allows it</w:t>
            </w:r>
          </w:p>
        </w:tc>
      </w:tr>
      <w:tr w:rsidR="002D25EA" w14:paraId="38DF9967" w14:textId="77777777" w:rsidTr="00D9409F">
        <w:tc>
          <w:tcPr>
            <w:tcW w:w="3100" w:type="dxa"/>
            <w:tcMar>
              <w:top w:w="70" w:type="dxa"/>
              <w:left w:w="100" w:type="dxa"/>
              <w:bottom w:w="70" w:type="dxa"/>
              <w:right w:w="100" w:type="dxa"/>
            </w:tcMar>
            <w:vAlign w:val="center"/>
          </w:tcPr>
          <w:p w14:paraId="635E140C" w14:textId="77777777" w:rsidR="002D25EA" w:rsidRDefault="002D25EA" w:rsidP="00D9409F">
            <w:r>
              <w:rPr>
                <w:sz w:val="18"/>
                <w:szCs w:val="18"/>
              </w:rPr>
              <w:t>IP allow-list and shared secret</w:t>
            </w:r>
          </w:p>
        </w:tc>
        <w:tc>
          <w:tcPr>
            <w:tcW w:w="3100" w:type="dxa"/>
            <w:tcMar>
              <w:top w:w="70" w:type="dxa"/>
              <w:left w:w="100" w:type="dxa"/>
              <w:bottom w:w="70" w:type="dxa"/>
              <w:right w:w="100" w:type="dxa"/>
            </w:tcMar>
            <w:vAlign w:val="center"/>
          </w:tcPr>
          <w:p w14:paraId="2B33EBEC" w14:textId="77777777" w:rsidR="002D25EA" w:rsidRDefault="002D25EA" w:rsidP="00D9409F">
            <w:r>
              <w:rPr>
                <w:sz w:val="18"/>
                <w:szCs w:val="18"/>
              </w:rPr>
              <w:t>Operation</w:t>
            </w:r>
          </w:p>
        </w:tc>
        <w:tc>
          <w:tcPr>
            <w:tcW w:w="3100" w:type="dxa"/>
            <w:tcMar>
              <w:top w:w="70" w:type="dxa"/>
              <w:left w:w="100" w:type="dxa"/>
              <w:bottom w:w="70" w:type="dxa"/>
              <w:right w:w="100" w:type="dxa"/>
            </w:tcMar>
            <w:vAlign w:val="center"/>
          </w:tcPr>
          <w:p w14:paraId="01EE953B" w14:textId="77777777" w:rsidR="002D25EA" w:rsidRDefault="002D25EA" w:rsidP="00D9409F">
            <w:r>
              <w:rPr>
                <w:sz w:val="18"/>
                <w:szCs w:val="18"/>
              </w:rPr>
              <w:t>Lock a specific webhook operation to a known source</w:t>
            </w:r>
          </w:p>
        </w:tc>
      </w:tr>
    </w:tbl>
    <w:p w14:paraId="750CDB42" w14:textId="77777777" w:rsidR="002D25EA" w:rsidRDefault="002D25EA" w:rsidP="002D25EA">
      <w:pPr>
        <w:spacing w:after="140"/>
      </w:pPr>
    </w:p>
    <w:p w14:paraId="094477D4" w14:textId="77777777" w:rsidR="002D25EA" w:rsidRDefault="002D25EA" w:rsidP="002D25EA">
      <w:pPr>
        <w:spacing w:after="140"/>
      </w:pPr>
      <w:r>
        <w:t>This keeps the number of distinct policies small and consistent: a reviewer can see at a glance what is enforced everywhere versus what is specific to one consumer or one operation, which is the point of a policy design rather than a pile of per-API XML.</w:t>
      </w:r>
    </w:p>
    <w:p w14:paraId="22B5B571" w14:textId="77777777" w:rsidR="002D25EA" w:rsidRDefault="002D25EA" w:rsidP="002D25EA">
      <w:pPr>
        <w:spacing w:after="140"/>
      </w:pPr>
      <w:r>
        <w:t>Governance matters as much as structure: the value of a shared policy library is lost if any team can quietly override a global control at a lower scope. The design therefore assigns clear ownership, and treats global security policies as protected, changeable only through the platform and security owners rather than by an individual API team. Who owns each policy area is set out below; the exception-approval row is the control that stops a lower scope silently weakening a global rule.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268E5256" w14:textId="77777777" w:rsidTr="00D9409F">
        <w:trPr>
          <w:tblHeader/>
        </w:trPr>
        <w:tc>
          <w:tcPr>
            <w:tcW w:w="4650" w:type="dxa"/>
            <w:shd w:val="clear" w:color="auto" w:fill="1E2761"/>
            <w:tcMar>
              <w:top w:w="70" w:type="dxa"/>
              <w:left w:w="100" w:type="dxa"/>
              <w:bottom w:w="70" w:type="dxa"/>
              <w:right w:w="100" w:type="dxa"/>
            </w:tcMar>
            <w:vAlign w:val="center"/>
          </w:tcPr>
          <w:p w14:paraId="2FFE7716" w14:textId="77777777" w:rsidR="002D25EA" w:rsidRDefault="002D25EA" w:rsidP="00D9409F">
            <w:r>
              <w:rPr>
                <w:b/>
                <w:bCs/>
                <w:color w:val="FFFFFF"/>
                <w:sz w:val="18"/>
                <w:szCs w:val="18"/>
              </w:rPr>
              <w:t>Policy area</w:t>
            </w:r>
          </w:p>
        </w:tc>
        <w:tc>
          <w:tcPr>
            <w:tcW w:w="4650" w:type="dxa"/>
            <w:shd w:val="clear" w:color="auto" w:fill="1E2761"/>
            <w:tcMar>
              <w:top w:w="70" w:type="dxa"/>
              <w:left w:w="100" w:type="dxa"/>
              <w:bottom w:w="70" w:type="dxa"/>
              <w:right w:w="100" w:type="dxa"/>
            </w:tcMar>
            <w:vAlign w:val="center"/>
          </w:tcPr>
          <w:p w14:paraId="502B41F6" w14:textId="77777777" w:rsidR="002D25EA" w:rsidRDefault="002D25EA" w:rsidP="00D9409F">
            <w:r>
              <w:rPr>
                <w:b/>
                <w:bCs/>
                <w:color w:val="FFFFFF"/>
                <w:sz w:val="18"/>
                <w:szCs w:val="18"/>
              </w:rPr>
              <w:t>Owner</w:t>
            </w:r>
          </w:p>
        </w:tc>
      </w:tr>
      <w:tr w:rsidR="002D25EA" w14:paraId="59F97391" w14:textId="77777777" w:rsidTr="00D9409F">
        <w:tc>
          <w:tcPr>
            <w:tcW w:w="4650" w:type="dxa"/>
            <w:tcMar>
              <w:top w:w="70" w:type="dxa"/>
              <w:left w:w="100" w:type="dxa"/>
              <w:bottom w:w="70" w:type="dxa"/>
              <w:right w:w="100" w:type="dxa"/>
            </w:tcMar>
            <w:vAlign w:val="center"/>
          </w:tcPr>
          <w:p w14:paraId="3CF96A29" w14:textId="77777777" w:rsidR="002D25EA" w:rsidRDefault="002D25EA" w:rsidP="00D9409F">
            <w:r>
              <w:rPr>
                <w:sz w:val="18"/>
                <w:szCs w:val="18"/>
              </w:rPr>
              <w:t>Authentication</w:t>
            </w:r>
          </w:p>
        </w:tc>
        <w:tc>
          <w:tcPr>
            <w:tcW w:w="4650" w:type="dxa"/>
            <w:tcMar>
              <w:top w:w="70" w:type="dxa"/>
              <w:left w:w="100" w:type="dxa"/>
              <w:bottom w:w="70" w:type="dxa"/>
              <w:right w:w="100" w:type="dxa"/>
            </w:tcMar>
            <w:vAlign w:val="center"/>
          </w:tcPr>
          <w:p w14:paraId="476A7438" w14:textId="77777777" w:rsidR="002D25EA" w:rsidRDefault="002D25EA" w:rsidP="00D9409F">
            <w:r>
              <w:rPr>
                <w:sz w:val="18"/>
                <w:szCs w:val="18"/>
              </w:rPr>
              <w:t>Platform / Security</w:t>
            </w:r>
          </w:p>
        </w:tc>
      </w:tr>
      <w:tr w:rsidR="002D25EA" w14:paraId="0AA68D90" w14:textId="77777777" w:rsidTr="00D9409F">
        <w:tc>
          <w:tcPr>
            <w:tcW w:w="4650" w:type="dxa"/>
            <w:tcMar>
              <w:top w:w="70" w:type="dxa"/>
              <w:left w:w="100" w:type="dxa"/>
              <w:bottom w:w="70" w:type="dxa"/>
              <w:right w:w="100" w:type="dxa"/>
            </w:tcMar>
            <w:vAlign w:val="center"/>
          </w:tcPr>
          <w:p w14:paraId="51D358BE" w14:textId="77777777" w:rsidR="002D25EA" w:rsidRDefault="002D25EA" w:rsidP="00D9409F">
            <w:r>
              <w:rPr>
                <w:sz w:val="18"/>
                <w:szCs w:val="18"/>
              </w:rPr>
              <w:t>Rate limiting</w:t>
            </w:r>
          </w:p>
        </w:tc>
        <w:tc>
          <w:tcPr>
            <w:tcW w:w="4650" w:type="dxa"/>
            <w:tcMar>
              <w:top w:w="70" w:type="dxa"/>
              <w:left w:w="100" w:type="dxa"/>
              <w:bottom w:w="70" w:type="dxa"/>
              <w:right w:w="100" w:type="dxa"/>
            </w:tcMar>
            <w:vAlign w:val="center"/>
          </w:tcPr>
          <w:p w14:paraId="34004D69" w14:textId="77777777" w:rsidR="002D25EA" w:rsidRDefault="002D25EA" w:rsidP="00D9409F">
            <w:r>
              <w:rPr>
                <w:sz w:val="18"/>
                <w:szCs w:val="18"/>
              </w:rPr>
              <w:t>API Platform</w:t>
            </w:r>
          </w:p>
        </w:tc>
      </w:tr>
      <w:tr w:rsidR="002D25EA" w14:paraId="162CF2AC" w14:textId="77777777" w:rsidTr="00D9409F">
        <w:tc>
          <w:tcPr>
            <w:tcW w:w="4650" w:type="dxa"/>
            <w:tcMar>
              <w:top w:w="70" w:type="dxa"/>
              <w:left w:w="100" w:type="dxa"/>
              <w:bottom w:w="70" w:type="dxa"/>
              <w:right w:w="100" w:type="dxa"/>
            </w:tcMar>
            <w:vAlign w:val="center"/>
          </w:tcPr>
          <w:p w14:paraId="32918DAD" w14:textId="77777777" w:rsidR="002D25EA" w:rsidRDefault="002D25EA" w:rsidP="00D9409F">
            <w:r>
              <w:rPr>
                <w:sz w:val="18"/>
                <w:szCs w:val="18"/>
              </w:rPr>
              <w:t>Security headers</w:t>
            </w:r>
          </w:p>
        </w:tc>
        <w:tc>
          <w:tcPr>
            <w:tcW w:w="4650" w:type="dxa"/>
            <w:tcMar>
              <w:top w:w="70" w:type="dxa"/>
              <w:left w:w="100" w:type="dxa"/>
              <w:bottom w:w="70" w:type="dxa"/>
              <w:right w:w="100" w:type="dxa"/>
            </w:tcMar>
            <w:vAlign w:val="center"/>
          </w:tcPr>
          <w:p w14:paraId="14F500D0" w14:textId="77777777" w:rsidR="002D25EA" w:rsidRDefault="002D25EA" w:rsidP="00D9409F">
            <w:r>
              <w:rPr>
                <w:sz w:val="18"/>
                <w:szCs w:val="18"/>
              </w:rPr>
              <w:t>Platform / Security</w:t>
            </w:r>
          </w:p>
        </w:tc>
      </w:tr>
      <w:tr w:rsidR="002D25EA" w14:paraId="00A57BED" w14:textId="77777777" w:rsidTr="00D9409F">
        <w:tc>
          <w:tcPr>
            <w:tcW w:w="4650" w:type="dxa"/>
            <w:tcMar>
              <w:top w:w="70" w:type="dxa"/>
              <w:left w:w="100" w:type="dxa"/>
              <w:bottom w:w="70" w:type="dxa"/>
              <w:right w:w="100" w:type="dxa"/>
            </w:tcMar>
            <w:vAlign w:val="center"/>
          </w:tcPr>
          <w:p w14:paraId="5566726C" w14:textId="77777777" w:rsidR="002D25EA" w:rsidRDefault="002D25EA" w:rsidP="00D9409F">
            <w:r>
              <w:rPr>
                <w:sz w:val="18"/>
                <w:szCs w:val="18"/>
              </w:rPr>
              <w:lastRenderedPageBreak/>
              <w:t>Transformation</w:t>
            </w:r>
          </w:p>
        </w:tc>
        <w:tc>
          <w:tcPr>
            <w:tcW w:w="4650" w:type="dxa"/>
            <w:tcMar>
              <w:top w:w="70" w:type="dxa"/>
              <w:left w:w="100" w:type="dxa"/>
              <w:bottom w:w="70" w:type="dxa"/>
              <w:right w:w="100" w:type="dxa"/>
            </w:tcMar>
            <w:vAlign w:val="center"/>
          </w:tcPr>
          <w:p w14:paraId="56406D14" w14:textId="77777777" w:rsidR="002D25EA" w:rsidRDefault="002D25EA" w:rsidP="00D9409F">
            <w:r>
              <w:rPr>
                <w:sz w:val="18"/>
                <w:szCs w:val="18"/>
              </w:rPr>
              <w:t>API team</w:t>
            </w:r>
          </w:p>
        </w:tc>
      </w:tr>
      <w:tr w:rsidR="002D25EA" w14:paraId="1ADBA428" w14:textId="77777777" w:rsidTr="00D9409F">
        <w:tc>
          <w:tcPr>
            <w:tcW w:w="4650" w:type="dxa"/>
            <w:tcMar>
              <w:top w:w="70" w:type="dxa"/>
              <w:left w:w="100" w:type="dxa"/>
              <w:bottom w:w="70" w:type="dxa"/>
              <w:right w:w="100" w:type="dxa"/>
            </w:tcMar>
            <w:vAlign w:val="center"/>
          </w:tcPr>
          <w:p w14:paraId="678FD689" w14:textId="77777777" w:rsidR="002D25EA" w:rsidRDefault="002D25EA" w:rsidP="00D9409F">
            <w:r>
              <w:rPr>
                <w:sz w:val="18"/>
                <w:szCs w:val="18"/>
              </w:rPr>
              <w:t>Consumer-specific quota</w:t>
            </w:r>
          </w:p>
        </w:tc>
        <w:tc>
          <w:tcPr>
            <w:tcW w:w="4650" w:type="dxa"/>
            <w:tcMar>
              <w:top w:w="70" w:type="dxa"/>
              <w:left w:w="100" w:type="dxa"/>
              <w:bottom w:w="70" w:type="dxa"/>
              <w:right w:w="100" w:type="dxa"/>
            </w:tcMar>
            <w:vAlign w:val="center"/>
          </w:tcPr>
          <w:p w14:paraId="142642C1" w14:textId="77777777" w:rsidR="002D25EA" w:rsidRDefault="002D25EA" w:rsidP="00D9409F">
            <w:r>
              <w:rPr>
                <w:sz w:val="18"/>
                <w:szCs w:val="18"/>
              </w:rPr>
              <w:t>Product / API owner</w:t>
            </w:r>
          </w:p>
        </w:tc>
      </w:tr>
      <w:tr w:rsidR="002D25EA" w14:paraId="68F26049" w14:textId="77777777" w:rsidTr="00D9409F">
        <w:tc>
          <w:tcPr>
            <w:tcW w:w="4650" w:type="dxa"/>
            <w:tcMar>
              <w:top w:w="70" w:type="dxa"/>
              <w:left w:w="100" w:type="dxa"/>
              <w:bottom w:w="70" w:type="dxa"/>
              <w:right w:w="100" w:type="dxa"/>
            </w:tcMar>
            <w:vAlign w:val="center"/>
          </w:tcPr>
          <w:p w14:paraId="7735554A" w14:textId="77777777" w:rsidR="002D25EA" w:rsidRDefault="002D25EA" w:rsidP="00D9409F">
            <w:r>
              <w:rPr>
                <w:sz w:val="18"/>
                <w:szCs w:val="18"/>
              </w:rPr>
              <w:t>Logging</w:t>
            </w:r>
          </w:p>
        </w:tc>
        <w:tc>
          <w:tcPr>
            <w:tcW w:w="4650" w:type="dxa"/>
            <w:tcMar>
              <w:top w:w="70" w:type="dxa"/>
              <w:left w:w="100" w:type="dxa"/>
              <w:bottom w:w="70" w:type="dxa"/>
              <w:right w:w="100" w:type="dxa"/>
            </w:tcMar>
            <w:vAlign w:val="center"/>
          </w:tcPr>
          <w:p w14:paraId="5415F204" w14:textId="77777777" w:rsidR="002D25EA" w:rsidRDefault="002D25EA" w:rsidP="00D9409F">
            <w:r>
              <w:rPr>
                <w:sz w:val="18"/>
                <w:szCs w:val="18"/>
              </w:rPr>
              <w:t>Platform / Security</w:t>
            </w:r>
          </w:p>
        </w:tc>
      </w:tr>
      <w:tr w:rsidR="002D25EA" w14:paraId="28892E2D" w14:textId="77777777" w:rsidTr="00D9409F">
        <w:tc>
          <w:tcPr>
            <w:tcW w:w="4650" w:type="dxa"/>
            <w:tcMar>
              <w:top w:w="70" w:type="dxa"/>
              <w:left w:w="100" w:type="dxa"/>
              <w:bottom w:w="70" w:type="dxa"/>
              <w:right w:w="100" w:type="dxa"/>
            </w:tcMar>
            <w:vAlign w:val="center"/>
          </w:tcPr>
          <w:p w14:paraId="3564D2BF" w14:textId="77777777" w:rsidR="002D25EA" w:rsidRDefault="002D25EA" w:rsidP="00D9409F">
            <w:r>
              <w:rPr>
                <w:sz w:val="18"/>
                <w:szCs w:val="18"/>
              </w:rPr>
              <w:t>Exception approval</w:t>
            </w:r>
          </w:p>
        </w:tc>
        <w:tc>
          <w:tcPr>
            <w:tcW w:w="4650" w:type="dxa"/>
            <w:tcMar>
              <w:top w:w="70" w:type="dxa"/>
              <w:left w:w="100" w:type="dxa"/>
              <w:bottom w:w="70" w:type="dxa"/>
              <w:right w:w="100" w:type="dxa"/>
            </w:tcMar>
            <w:vAlign w:val="center"/>
          </w:tcPr>
          <w:p w14:paraId="77F5B762" w14:textId="77777777" w:rsidR="002D25EA" w:rsidRDefault="002D25EA" w:rsidP="00D9409F">
            <w:r>
              <w:rPr>
                <w:sz w:val="18"/>
                <w:szCs w:val="18"/>
              </w:rPr>
              <w:t>Architecture / Security</w:t>
            </w:r>
          </w:p>
        </w:tc>
      </w:tr>
    </w:tbl>
    <w:p w14:paraId="31BD4CB0" w14:textId="77777777" w:rsidR="002D25EA" w:rsidRPr="00614651" w:rsidRDefault="002D25EA" w:rsidP="00614651">
      <w:pPr>
        <w:rPr>
          <w:b/>
          <w:bCs/>
        </w:rPr>
      </w:pPr>
      <w:r>
        <w:rPr>
          <w:b/>
          <w:bCs/>
        </w:rPr>
        <w:t>RBAC role assignments (to confirm with the Organization’s Identity and Platform teams)</w:t>
      </w:r>
    </w:p>
    <w:p w14:paraId="4633DBB2" w14:textId="77777777" w:rsidR="002D25EA" w:rsidRDefault="002D25EA" w:rsidP="002D25EA">
      <w:pPr>
        <w:spacing w:after="140"/>
      </w:pPr>
      <w:r>
        <w:t>Policy ownership above states who is accountable for each area; the table below maps that to the actual Azure role each group needs, so an implementer can create the role assignments directly rather than infer them. All assignments are scoped as narrowly as the built-in roles allow, and none are assigned to individuals, only to Entra ID groups.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00"/>
      </w:tblGrid>
      <w:tr w:rsidR="002D25EA" w14:paraId="1BAB5D51" w14:textId="77777777" w:rsidTr="00D9409F">
        <w:trPr>
          <w:tblHeader/>
        </w:trPr>
        <w:tc>
          <w:tcPr>
            <w:tcW w:w="2600" w:type="dxa"/>
            <w:shd w:val="clear" w:color="auto" w:fill="1E2761"/>
            <w:tcMar>
              <w:top w:w="70" w:type="dxa"/>
              <w:left w:w="100" w:type="dxa"/>
              <w:bottom w:w="70" w:type="dxa"/>
              <w:right w:w="100" w:type="dxa"/>
            </w:tcMar>
            <w:vAlign w:val="center"/>
          </w:tcPr>
          <w:p w14:paraId="4E801ABF" w14:textId="77777777" w:rsidR="002D25EA" w:rsidRDefault="002D25EA" w:rsidP="00D9409F">
            <w:r>
              <w:rPr>
                <w:b/>
                <w:bCs/>
                <w:color w:val="FFFFFF"/>
                <w:sz w:val="18"/>
                <w:szCs w:val="18"/>
              </w:rPr>
              <w:t>Scope</w:t>
            </w:r>
          </w:p>
        </w:tc>
        <w:tc>
          <w:tcPr>
            <w:tcW w:w="3600" w:type="dxa"/>
            <w:shd w:val="clear" w:color="auto" w:fill="1E2761"/>
            <w:tcMar>
              <w:top w:w="70" w:type="dxa"/>
              <w:left w:w="100" w:type="dxa"/>
              <w:bottom w:w="70" w:type="dxa"/>
              <w:right w:w="100" w:type="dxa"/>
            </w:tcMar>
            <w:vAlign w:val="center"/>
          </w:tcPr>
          <w:p w14:paraId="238EFE7C" w14:textId="77777777" w:rsidR="002D25EA" w:rsidRDefault="002D25EA" w:rsidP="00D9409F">
            <w:r>
              <w:rPr>
                <w:b/>
                <w:bCs/>
                <w:color w:val="FFFFFF"/>
                <w:sz w:val="18"/>
                <w:szCs w:val="18"/>
              </w:rPr>
              <w:t>Azure role</w:t>
            </w:r>
          </w:p>
        </w:tc>
        <w:tc>
          <w:tcPr>
            <w:tcW w:w="3100" w:type="dxa"/>
            <w:shd w:val="clear" w:color="auto" w:fill="1E2761"/>
            <w:tcMar>
              <w:top w:w="70" w:type="dxa"/>
              <w:left w:w="100" w:type="dxa"/>
              <w:bottom w:w="70" w:type="dxa"/>
              <w:right w:w="100" w:type="dxa"/>
            </w:tcMar>
            <w:vAlign w:val="center"/>
          </w:tcPr>
          <w:p w14:paraId="3FC5A081" w14:textId="77777777" w:rsidR="002D25EA" w:rsidRDefault="002D25EA" w:rsidP="00D9409F">
            <w:r>
              <w:rPr>
                <w:b/>
                <w:bCs/>
                <w:color w:val="FFFFFF"/>
                <w:sz w:val="18"/>
                <w:szCs w:val="18"/>
              </w:rPr>
              <w:t>Assigned to</w:t>
            </w:r>
          </w:p>
        </w:tc>
      </w:tr>
      <w:tr w:rsidR="002D25EA" w14:paraId="40DE089B" w14:textId="77777777" w:rsidTr="00D9409F">
        <w:tc>
          <w:tcPr>
            <w:tcW w:w="2600" w:type="dxa"/>
            <w:tcMar>
              <w:top w:w="70" w:type="dxa"/>
              <w:left w:w="100" w:type="dxa"/>
              <w:bottom w:w="70" w:type="dxa"/>
              <w:right w:w="100" w:type="dxa"/>
            </w:tcMar>
            <w:vAlign w:val="center"/>
          </w:tcPr>
          <w:p w14:paraId="1827A7D9" w14:textId="77777777" w:rsidR="002D25EA" w:rsidRDefault="002D25EA" w:rsidP="00D9409F">
            <w:r>
              <w:rPr>
                <w:sz w:val="18"/>
                <w:szCs w:val="18"/>
              </w:rPr>
              <w:t>APIM service (full control)</w:t>
            </w:r>
          </w:p>
        </w:tc>
        <w:tc>
          <w:tcPr>
            <w:tcW w:w="3600" w:type="dxa"/>
            <w:tcMar>
              <w:top w:w="70" w:type="dxa"/>
              <w:left w:w="100" w:type="dxa"/>
              <w:bottom w:w="70" w:type="dxa"/>
              <w:right w:w="100" w:type="dxa"/>
            </w:tcMar>
            <w:vAlign w:val="center"/>
          </w:tcPr>
          <w:p w14:paraId="445EE4E2" w14:textId="77777777" w:rsidR="002D25EA" w:rsidRDefault="002D25EA" w:rsidP="00D9409F">
            <w:r>
              <w:rPr>
                <w:sz w:val="18"/>
                <w:szCs w:val="18"/>
              </w:rPr>
              <w:t>API Management Service Contributor</w:t>
            </w:r>
          </w:p>
        </w:tc>
        <w:tc>
          <w:tcPr>
            <w:tcW w:w="3100" w:type="dxa"/>
            <w:tcMar>
              <w:top w:w="70" w:type="dxa"/>
              <w:left w:w="100" w:type="dxa"/>
              <w:bottom w:w="70" w:type="dxa"/>
              <w:right w:w="100" w:type="dxa"/>
            </w:tcMar>
            <w:vAlign w:val="center"/>
          </w:tcPr>
          <w:p w14:paraId="077F7CA9" w14:textId="77777777" w:rsidR="002D25EA" w:rsidRDefault="002D25EA" w:rsidP="00D9409F">
            <w:r>
              <w:rPr>
                <w:sz w:val="18"/>
                <w:szCs w:val="18"/>
              </w:rPr>
              <w:t>Platform team break-glass group only (section 9); day-to-day changes flow through APIOps, not this role</w:t>
            </w:r>
          </w:p>
        </w:tc>
      </w:tr>
      <w:tr w:rsidR="002D25EA" w14:paraId="16862E35" w14:textId="77777777" w:rsidTr="00D9409F">
        <w:tc>
          <w:tcPr>
            <w:tcW w:w="2600" w:type="dxa"/>
            <w:tcMar>
              <w:top w:w="70" w:type="dxa"/>
              <w:left w:w="100" w:type="dxa"/>
              <w:bottom w:w="70" w:type="dxa"/>
              <w:right w:w="100" w:type="dxa"/>
            </w:tcMar>
            <w:vAlign w:val="center"/>
          </w:tcPr>
          <w:p w14:paraId="20FCF867" w14:textId="77777777" w:rsidR="002D25EA" w:rsidRDefault="002D25EA" w:rsidP="00D9409F">
            <w:r>
              <w:rPr>
                <w:sz w:val="18"/>
                <w:szCs w:val="18"/>
              </w:rPr>
              <w:t>Workspace (per business domain)</w:t>
            </w:r>
          </w:p>
        </w:tc>
        <w:tc>
          <w:tcPr>
            <w:tcW w:w="3600" w:type="dxa"/>
            <w:tcMar>
              <w:top w:w="70" w:type="dxa"/>
              <w:left w:w="100" w:type="dxa"/>
              <w:bottom w:w="70" w:type="dxa"/>
              <w:right w:w="100" w:type="dxa"/>
            </w:tcMar>
            <w:vAlign w:val="center"/>
          </w:tcPr>
          <w:p w14:paraId="23D255F2" w14:textId="77777777" w:rsidR="002D25EA" w:rsidRDefault="002D25EA" w:rsidP="00D9409F">
            <w:r>
              <w:rPr>
                <w:sz w:val="18"/>
                <w:szCs w:val="18"/>
              </w:rPr>
              <w:t>API Management Workspace Contributor / API Management Workspace API Developer</w:t>
            </w:r>
          </w:p>
        </w:tc>
        <w:tc>
          <w:tcPr>
            <w:tcW w:w="3100" w:type="dxa"/>
            <w:tcMar>
              <w:top w:w="70" w:type="dxa"/>
              <w:left w:w="100" w:type="dxa"/>
              <w:bottom w:w="70" w:type="dxa"/>
              <w:right w:w="100" w:type="dxa"/>
            </w:tcMar>
            <w:vAlign w:val="center"/>
          </w:tcPr>
          <w:p w14:paraId="5737E62D" w14:textId="77777777" w:rsidR="002D25EA" w:rsidRDefault="002D25EA" w:rsidP="00D9409F">
            <w:r>
              <w:rPr>
                <w:sz w:val="18"/>
                <w:szCs w:val="18"/>
              </w:rPr>
              <w:t>Domain team Entra ID group for that workspace (Claims, Policy Admin, Finance, Partner and Broker)</w:t>
            </w:r>
          </w:p>
        </w:tc>
      </w:tr>
      <w:tr w:rsidR="002D25EA" w14:paraId="2070D05F" w14:textId="77777777" w:rsidTr="00D9409F">
        <w:tc>
          <w:tcPr>
            <w:tcW w:w="2600" w:type="dxa"/>
            <w:tcMar>
              <w:top w:w="70" w:type="dxa"/>
              <w:left w:w="100" w:type="dxa"/>
              <w:bottom w:w="70" w:type="dxa"/>
              <w:right w:w="100" w:type="dxa"/>
            </w:tcMar>
            <w:vAlign w:val="center"/>
          </w:tcPr>
          <w:p w14:paraId="34A76346" w14:textId="77777777" w:rsidR="002D25EA" w:rsidRDefault="002D25EA" w:rsidP="00D9409F">
            <w:r>
              <w:rPr>
                <w:sz w:val="18"/>
                <w:szCs w:val="18"/>
              </w:rPr>
              <w:t>Named values and secrets</w:t>
            </w:r>
          </w:p>
        </w:tc>
        <w:tc>
          <w:tcPr>
            <w:tcW w:w="3600" w:type="dxa"/>
            <w:tcMar>
              <w:top w:w="70" w:type="dxa"/>
              <w:left w:w="100" w:type="dxa"/>
              <w:bottom w:w="70" w:type="dxa"/>
              <w:right w:w="100" w:type="dxa"/>
            </w:tcMar>
            <w:vAlign w:val="center"/>
          </w:tcPr>
          <w:p w14:paraId="14983ADE" w14:textId="77777777" w:rsidR="002D25EA" w:rsidRDefault="002D25EA" w:rsidP="00D9409F">
            <w:r>
              <w:rPr>
                <w:sz w:val="18"/>
                <w:szCs w:val="18"/>
              </w:rPr>
              <w:t>API Management Service Contributor scoped to named values, plus Key Vault Secrets User on the backing vault</w:t>
            </w:r>
          </w:p>
        </w:tc>
        <w:tc>
          <w:tcPr>
            <w:tcW w:w="3100" w:type="dxa"/>
            <w:tcMar>
              <w:top w:w="70" w:type="dxa"/>
              <w:left w:w="100" w:type="dxa"/>
              <w:bottom w:w="70" w:type="dxa"/>
              <w:right w:w="100" w:type="dxa"/>
            </w:tcMar>
            <w:vAlign w:val="center"/>
          </w:tcPr>
          <w:p w14:paraId="2F17003C" w14:textId="77777777" w:rsidR="002D25EA" w:rsidRDefault="002D25EA" w:rsidP="00D9409F">
            <w:r>
              <w:rPr>
                <w:sz w:val="18"/>
                <w:szCs w:val="18"/>
              </w:rPr>
              <w:t>Platform / Security group only; never assigned at workspace scope for Key Vault-backed secrets</w:t>
            </w:r>
          </w:p>
        </w:tc>
      </w:tr>
      <w:tr w:rsidR="002D25EA" w14:paraId="0E2554FC" w14:textId="77777777" w:rsidTr="00D9409F">
        <w:tc>
          <w:tcPr>
            <w:tcW w:w="2600" w:type="dxa"/>
            <w:tcMar>
              <w:top w:w="70" w:type="dxa"/>
              <w:left w:w="100" w:type="dxa"/>
              <w:bottom w:w="70" w:type="dxa"/>
              <w:right w:w="100" w:type="dxa"/>
            </w:tcMar>
            <w:vAlign w:val="center"/>
          </w:tcPr>
          <w:p w14:paraId="22F6866F" w14:textId="77777777" w:rsidR="002D25EA" w:rsidRDefault="002D25EA" w:rsidP="00D9409F">
            <w:r>
              <w:rPr>
                <w:sz w:val="18"/>
                <w:szCs w:val="18"/>
              </w:rPr>
              <w:t>APIOps pipeline service principal</w:t>
            </w:r>
          </w:p>
        </w:tc>
        <w:tc>
          <w:tcPr>
            <w:tcW w:w="3600" w:type="dxa"/>
            <w:tcMar>
              <w:top w:w="70" w:type="dxa"/>
              <w:left w:w="100" w:type="dxa"/>
              <w:bottom w:w="70" w:type="dxa"/>
              <w:right w:w="100" w:type="dxa"/>
            </w:tcMar>
            <w:vAlign w:val="center"/>
          </w:tcPr>
          <w:p w14:paraId="66901375" w14:textId="77777777" w:rsidR="002D25EA" w:rsidRDefault="002D25EA" w:rsidP="00D9409F">
            <w:r>
              <w:rPr>
                <w:sz w:val="18"/>
                <w:szCs w:val="18"/>
              </w:rPr>
              <w:t>API Management Service Contributor (or workspace-scoped equivalent for workspace-only pipelines)</w:t>
            </w:r>
          </w:p>
        </w:tc>
        <w:tc>
          <w:tcPr>
            <w:tcW w:w="3100" w:type="dxa"/>
            <w:tcMar>
              <w:top w:w="70" w:type="dxa"/>
              <w:left w:w="100" w:type="dxa"/>
              <w:bottom w:w="70" w:type="dxa"/>
              <w:right w:w="100" w:type="dxa"/>
            </w:tcMar>
            <w:vAlign w:val="center"/>
          </w:tcPr>
          <w:p w14:paraId="4047661E" w14:textId="77777777" w:rsidR="002D25EA" w:rsidRDefault="002D25EA" w:rsidP="00D9409F">
            <w:r>
              <w:rPr>
                <w:sz w:val="18"/>
                <w:szCs w:val="18"/>
              </w:rPr>
              <w:t>Pipeline service connection / managed identity, not a human account</w:t>
            </w:r>
          </w:p>
        </w:tc>
      </w:tr>
      <w:tr w:rsidR="002D25EA" w14:paraId="046BD78D" w14:textId="77777777" w:rsidTr="00D9409F">
        <w:tc>
          <w:tcPr>
            <w:tcW w:w="2600" w:type="dxa"/>
            <w:tcMar>
              <w:top w:w="70" w:type="dxa"/>
              <w:left w:w="100" w:type="dxa"/>
              <w:bottom w:w="70" w:type="dxa"/>
              <w:right w:w="100" w:type="dxa"/>
            </w:tcMar>
            <w:vAlign w:val="center"/>
          </w:tcPr>
          <w:p w14:paraId="4939F0FB" w14:textId="77777777" w:rsidR="002D25EA" w:rsidRDefault="002D25EA" w:rsidP="00D9409F">
            <w:r>
              <w:rPr>
                <w:sz w:val="18"/>
                <w:szCs w:val="18"/>
              </w:rPr>
              <w:t>Read-only estate visibility</w:t>
            </w:r>
          </w:p>
        </w:tc>
        <w:tc>
          <w:tcPr>
            <w:tcW w:w="3600" w:type="dxa"/>
            <w:tcMar>
              <w:top w:w="70" w:type="dxa"/>
              <w:left w:w="100" w:type="dxa"/>
              <w:bottom w:w="70" w:type="dxa"/>
              <w:right w:w="100" w:type="dxa"/>
            </w:tcMar>
            <w:vAlign w:val="center"/>
          </w:tcPr>
          <w:p w14:paraId="4EDEB82E" w14:textId="77777777" w:rsidR="002D25EA" w:rsidRDefault="002D25EA" w:rsidP="00D9409F">
            <w:r>
              <w:rPr>
                <w:sz w:val="18"/>
                <w:szCs w:val="18"/>
              </w:rPr>
              <w:t>API Management Service Reader</w:t>
            </w:r>
          </w:p>
        </w:tc>
        <w:tc>
          <w:tcPr>
            <w:tcW w:w="3100" w:type="dxa"/>
            <w:tcMar>
              <w:top w:w="70" w:type="dxa"/>
              <w:left w:w="100" w:type="dxa"/>
              <w:bottom w:w="70" w:type="dxa"/>
              <w:right w:w="100" w:type="dxa"/>
            </w:tcMar>
            <w:vAlign w:val="center"/>
          </w:tcPr>
          <w:p w14:paraId="514CA53C" w14:textId="77777777" w:rsidR="002D25EA" w:rsidRDefault="002D25EA" w:rsidP="00D9409F">
            <w:r>
              <w:rPr>
                <w:sz w:val="18"/>
                <w:szCs w:val="18"/>
              </w:rPr>
              <w:t>Architecture, security and audit groups who need to see configuration without changing it</w:t>
            </w:r>
          </w:p>
        </w:tc>
      </w:tr>
      <w:tr w:rsidR="002D25EA" w14:paraId="6EF41B46" w14:textId="77777777" w:rsidTr="00D9409F">
        <w:tc>
          <w:tcPr>
            <w:tcW w:w="2600" w:type="dxa"/>
            <w:tcMar>
              <w:top w:w="70" w:type="dxa"/>
              <w:left w:w="100" w:type="dxa"/>
              <w:bottom w:w="70" w:type="dxa"/>
              <w:right w:w="100" w:type="dxa"/>
            </w:tcMar>
            <w:vAlign w:val="center"/>
          </w:tcPr>
          <w:p w14:paraId="3838ED27" w14:textId="77777777" w:rsidR="002D25EA" w:rsidRDefault="002D25EA" w:rsidP="00D9409F">
            <w:r>
              <w:rPr>
                <w:sz w:val="18"/>
                <w:szCs w:val="18"/>
              </w:rPr>
              <w:t>Resource group / networking</w:t>
            </w:r>
          </w:p>
        </w:tc>
        <w:tc>
          <w:tcPr>
            <w:tcW w:w="3600" w:type="dxa"/>
            <w:tcMar>
              <w:top w:w="70" w:type="dxa"/>
              <w:left w:w="100" w:type="dxa"/>
              <w:bottom w:w="70" w:type="dxa"/>
              <w:right w:w="100" w:type="dxa"/>
            </w:tcMar>
            <w:vAlign w:val="center"/>
          </w:tcPr>
          <w:p w14:paraId="7AEEBC18" w14:textId="77777777" w:rsidR="002D25EA" w:rsidRDefault="002D25EA" w:rsidP="00D9409F">
            <w:r>
              <w:rPr>
                <w:sz w:val="18"/>
                <w:szCs w:val="18"/>
              </w:rPr>
              <w:t>Network Contributor (subnet and NSG scope only)</w:t>
            </w:r>
          </w:p>
        </w:tc>
        <w:tc>
          <w:tcPr>
            <w:tcW w:w="3100" w:type="dxa"/>
            <w:tcMar>
              <w:top w:w="70" w:type="dxa"/>
              <w:left w:w="100" w:type="dxa"/>
              <w:bottom w:w="70" w:type="dxa"/>
              <w:right w:w="100" w:type="dxa"/>
            </w:tcMar>
            <w:vAlign w:val="center"/>
          </w:tcPr>
          <w:p w14:paraId="33B2D723" w14:textId="77777777" w:rsidR="002D25EA" w:rsidRDefault="002D25EA" w:rsidP="00D9409F">
            <w:r>
              <w:rPr>
                <w:sz w:val="18"/>
                <w:szCs w:val="18"/>
              </w:rPr>
              <w:t>the Organization’s Network team, scoped to the APIM subnet, not the wider hub</w:t>
            </w:r>
          </w:p>
        </w:tc>
      </w:tr>
    </w:tbl>
    <w:p w14:paraId="25C74A29" w14:textId="77777777" w:rsidR="002D25EA" w:rsidRDefault="002D25EA" w:rsidP="002D25EA">
      <w:pPr>
        <w:spacing w:after="140"/>
      </w:pPr>
      <w:r>
        <w:rPr>
          <w:i/>
          <w:iCs/>
        </w:rPr>
        <w:t>This table proposes a starting model; the exact built-in role names should be validated against the current Azure role definitions at build time, since Microsoft periodically introduces more granular workspace-scoped roles.</w:t>
      </w:r>
    </w:p>
    <w:p w14:paraId="6974D8F0" w14:textId="77777777" w:rsidR="002D25EA" w:rsidRDefault="002D25EA" w:rsidP="002D25EA">
      <w:pPr>
        <w:spacing w:after="140"/>
      </w:pPr>
    </w:p>
    <w:p w14:paraId="42B36B6B" w14:textId="77777777" w:rsidR="002D25EA" w:rsidRDefault="002D25EA" w:rsidP="002D25EA">
      <w:pPr>
        <w:spacing w:after="140"/>
      </w:pPr>
      <w:r>
        <w:t>A small, empowered governance board sets the standards; automation enforces them so governance never becomes a bottleneck.</w:t>
      </w:r>
    </w:p>
    <w:p w14:paraId="782CC7DA" w14:textId="77777777" w:rsidR="002D25EA" w:rsidRDefault="002D25EA" w:rsidP="002D25EA">
      <w:pPr>
        <w:spacing w:before="80" w:after="120"/>
        <w:jc w:val="center"/>
      </w:pPr>
      <w:r>
        <w:rPr>
          <w:noProof/>
        </w:rPr>
        <w:drawing>
          <wp:inline distT="0" distB="0" distL="0" distR="0" wp14:anchorId="3998C280" wp14:editId="346A6BB6">
            <wp:extent cx="5486400" cy="1628775"/>
            <wp:effectExtent l="0" t="0" r="0" b="0"/>
            <wp:docPr id="891213180" name="Picture 89121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1628775"/>
                    </a:xfrm>
                    <a:prstGeom prst="rect">
                      <a:avLst/>
                    </a:prstGeom>
                  </pic:spPr>
                </pic:pic>
              </a:graphicData>
            </a:graphic>
          </wp:inline>
        </w:drawing>
      </w:r>
    </w:p>
    <w:p w14:paraId="68FBEA2F" w14:textId="77777777" w:rsidR="002D25EA" w:rsidRDefault="002D25EA" w:rsidP="002D25EA">
      <w:pPr>
        <w:spacing w:after="180"/>
        <w:jc w:val="center"/>
      </w:pPr>
      <w:r>
        <w:rPr>
          <w:i/>
          <w:iCs/>
          <w:color w:val="666666"/>
          <w:sz w:val="18"/>
          <w:szCs w:val="18"/>
        </w:rPr>
        <w:t>Figure 20: API governance framework</w:t>
      </w:r>
    </w:p>
    <w:p w14:paraId="2353EDCF" w14:textId="77777777" w:rsidR="002D25EA" w:rsidRDefault="002D25EA" w:rsidP="002D25EA">
      <w:pPr>
        <w:spacing w:after="140"/>
      </w:pPr>
      <w:r>
        <w:t>Every API also moves through the same seven lifecycle stages, with no manual hand-off between them, and usage analytics from the Monitor stage feed straight back into the next design cycle.</w:t>
      </w:r>
    </w:p>
    <w:p w14:paraId="65D6E4C8" w14:textId="77777777" w:rsidR="002D25EA" w:rsidRDefault="002D25EA" w:rsidP="002D25EA">
      <w:pPr>
        <w:spacing w:before="80" w:after="120"/>
        <w:jc w:val="center"/>
      </w:pPr>
      <w:r>
        <w:rPr>
          <w:noProof/>
        </w:rPr>
        <w:lastRenderedPageBreak/>
        <w:drawing>
          <wp:inline distT="0" distB="0" distL="0" distR="0" wp14:anchorId="71B2FC55" wp14:editId="7A873333">
            <wp:extent cx="5486400" cy="1352550"/>
            <wp:effectExtent l="0" t="0" r="0" b="0"/>
            <wp:docPr id="457013632" name="Picture 45701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1352550"/>
                    </a:xfrm>
                    <a:prstGeom prst="rect">
                      <a:avLst/>
                    </a:prstGeom>
                  </pic:spPr>
                </pic:pic>
              </a:graphicData>
            </a:graphic>
          </wp:inline>
        </w:drawing>
      </w:r>
    </w:p>
    <w:p w14:paraId="0013AA8C" w14:textId="77777777" w:rsidR="002D25EA" w:rsidRDefault="002D25EA" w:rsidP="002D25EA">
      <w:pPr>
        <w:spacing w:after="180"/>
        <w:jc w:val="center"/>
      </w:pPr>
      <w:r>
        <w:rPr>
          <w:i/>
          <w:iCs/>
          <w:color w:val="666666"/>
          <w:sz w:val="18"/>
          <w:szCs w:val="18"/>
        </w:rPr>
        <w:t>Figure 21: API lifecycle management, the Organization</w:t>
      </w:r>
    </w:p>
    <w:p w14:paraId="0D8260D4" w14:textId="77777777" w:rsidR="002D25EA" w:rsidRDefault="002D25EA" w:rsidP="002D25EA">
      <w:pPr>
        <w:spacing w:after="140"/>
      </w:pPr>
      <w:r>
        <w:t>In practice, this maps onto concrete gates: intake registers the API and its intended consumers, design review checks schema and naming standards, a security gate confirms scopes and rate limits, pre-production sign-off requires automated policy and contract tests to pass, and production publish makes the API visible in the Developer Portal under an approved product. Retirement follows a defined deprecation notice and sunset window rather than a silent removal.</w:t>
      </w:r>
    </w:p>
    <w:p w14:paraId="5DC95FAF" w14:textId="77777777" w:rsidR="002D25EA" w:rsidRPr="00614651" w:rsidRDefault="002D25EA" w:rsidP="00614651">
      <w:pPr>
        <w:rPr>
          <w:b/>
          <w:bCs/>
        </w:rPr>
      </w:pPr>
      <w:r>
        <w:rPr>
          <w:b/>
          <w:bCs/>
        </w:rPr>
        <w:t>Onboarding a new API</w:t>
      </w:r>
    </w:p>
    <w:p w14:paraId="1168ACB0" w14:textId="77777777" w:rsidR="002D25EA" w:rsidRDefault="002D25EA" w:rsidP="002D25EA">
      <w:pPr>
        <w:spacing w:after="140"/>
      </w:pPr>
      <w:r>
        <w:t>This section describes the end-to-end path for bringing a new API onto the platform using the governance constructs above, so that every API added to the Organization’s estate is consistent, discoverable, secured and owned from day one. It ties together naming, product and group assignment, tagging and workspace placement into one repeatable process rather than a series of ad hoc choices.</w:t>
      </w:r>
    </w:p>
    <w:p w14:paraId="77B5A3B7" w14:textId="77777777" w:rsidR="002D25EA" w:rsidRPr="00614651" w:rsidRDefault="002D25EA" w:rsidP="00614651">
      <w:pPr>
        <w:rPr>
          <w:b/>
          <w:bCs/>
        </w:rPr>
      </w:pPr>
      <w:r>
        <w:rPr>
          <w:b/>
          <w:bCs/>
        </w:rPr>
        <w:t>The end-to-end flow</w:t>
      </w:r>
    </w:p>
    <w:p w14:paraId="0E56A423" w14:textId="77777777" w:rsidR="002D25EA" w:rsidRDefault="002D25EA" w:rsidP="002D25EA">
      <w:pPr>
        <w:spacing w:after="140"/>
      </w:pPr>
      <w:r>
        <w:t>The diagram below shows the end-to-end onboarding path at a glance; the steps beneath it describe each stage in detail.</w:t>
      </w:r>
    </w:p>
    <w:p w14:paraId="2CE3818C" w14:textId="77777777" w:rsidR="002D25EA" w:rsidRDefault="002D25EA" w:rsidP="002D25EA">
      <w:pPr>
        <w:spacing w:before="80" w:after="120"/>
        <w:jc w:val="center"/>
      </w:pPr>
      <w:r>
        <w:rPr>
          <w:noProof/>
        </w:rPr>
        <w:drawing>
          <wp:inline distT="0" distB="0" distL="0" distR="0" wp14:anchorId="2FC42224" wp14:editId="125E873D">
            <wp:extent cx="5943600" cy="90230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902306"/>
                    </a:xfrm>
                    <a:prstGeom prst="rect">
                      <a:avLst/>
                    </a:prstGeom>
                  </pic:spPr>
                </pic:pic>
              </a:graphicData>
            </a:graphic>
          </wp:inline>
        </w:drawing>
      </w:r>
    </w:p>
    <w:p w14:paraId="2EED9F7E" w14:textId="77777777" w:rsidR="002D25EA" w:rsidRDefault="002D25EA" w:rsidP="002D25EA">
      <w:pPr>
        <w:spacing w:after="180"/>
        <w:jc w:val="center"/>
      </w:pPr>
      <w:r>
        <w:rPr>
          <w:i/>
          <w:iCs/>
          <w:color w:val="666666"/>
          <w:sz w:val="18"/>
          <w:szCs w:val="18"/>
        </w:rPr>
        <w:t>Figure 22: Onboarding a new API, the ten-step repeatable path from placement to publication</w:t>
      </w:r>
    </w:p>
    <w:p w14:paraId="6D0C711F" w14:textId="77777777" w:rsidR="002D25EA" w:rsidRDefault="002D25EA" w:rsidP="002D25EA">
      <w:pPr>
        <w:pStyle w:val="ListParagraph"/>
        <w:numPr>
          <w:ilvl w:val="0"/>
          <w:numId w:val="2"/>
        </w:numPr>
        <w:spacing w:after="70"/>
      </w:pPr>
      <w:r>
        <w:t>Placement: decide which workspace owns the API, based on the business domain (Claims, Policy Admin, Finance, or Partner and Broker). The owning domain team, not the platform team, drives the rest of the process within that workspace.</w:t>
      </w:r>
    </w:p>
    <w:p w14:paraId="115CB5FD" w14:textId="77777777" w:rsidR="002D25EA" w:rsidRDefault="002D25EA" w:rsidP="002D25EA">
      <w:pPr>
        <w:pStyle w:val="ListParagraph"/>
        <w:numPr>
          <w:ilvl w:val="0"/>
          <w:numId w:val="2"/>
        </w:numPr>
        <w:spacing w:after="70"/>
      </w:pPr>
      <w:r>
        <w:t>Naming: apply the naming convention from section 11.1, so the API's path follows /api/{domain}/{version}/{resource} with plural, lowercase, kebab-case resources. Consistent naming is what makes the estate navigable and routable.</w:t>
      </w:r>
    </w:p>
    <w:p w14:paraId="2CBE6AFA" w14:textId="77777777" w:rsidR="002D25EA" w:rsidRDefault="002D25EA" w:rsidP="002D25EA">
      <w:pPr>
        <w:pStyle w:val="ListParagraph"/>
        <w:numPr>
          <w:ilvl w:val="0"/>
          <w:numId w:val="2"/>
        </w:numPr>
        <w:spacing w:after="70"/>
      </w:pPr>
      <w:r>
        <w:t>Definition: import or author the API (typically from an OpenAPI specification), which brings its operations and request and response schemas into APIM.</w:t>
      </w:r>
    </w:p>
    <w:p w14:paraId="201AB7EA" w14:textId="77777777" w:rsidR="002D25EA" w:rsidRDefault="002D25EA" w:rsidP="002D25EA">
      <w:pPr>
        <w:pStyle w:val="ListParagraph"/>
        <w:numPr>
          <w:ilvl w:val="0"/>
          <w:numId w:val="2"/>
        </w:numPr>
        <w:spacing w:after="70"/>
      </w:pPr>
      <w:r>
        <w:t>Policy: attach the standard policy set at the right scope, JWT validation and rate limits at product level, managed-identity backend auth at API level, referencing Key Vault-backed named values rather than inline secrets.</w:t>
      </w:r>
    </w:p>
    <w:p w14:paraId="3C0E3D3C" w14:textId="77777777" w:rsidR="002D25EA" w:rsidRDefault="002D25EA" w:rsidP="002D25EA">
      <w:pPr>
        <w:pStyle w:val="ListParagraph"/>
        <w:numPr>
          <w:ilvl w:val="0"/>
          <w:numId w:val="2"/>
        </w:numPr>
        <w:spacing w:after="70"/>
      </w:pPr>
      <w:r>
        <w:t>Product assignment: add the API to the appropriate product (for example Internal Core Systems or External Broker), which determines its access rules and which consumers can subscribe.</w:t>
      </w:r>
    </w:p>
    <w:p w14:paraId="09500D9A" w14:textId="77777777" w:rsidR="002D25EA" w:rsidRDefault="002D25EA" w:rsidP="002D25EA">
      <w:pPr>
        <w:pStyle w:val="ListParagraph"/>
        <w:numPr>
          <w:ilvl w:val="0"/>
          <w:numId w:val="2"/>
        </w:numPr>
        <w:spacing w:after="70"/>
      </w:pPr>
      <w:r>
        <w:t>Group visibility: confirm the product's visibility is set to the correct Entra ID groups, so only the intended audience sees it in the developer portal.</w:t>
      </w:r>
    </w:p>
    <w:p w14:paraId="5F268883" w14:textId="77777777" w:rsidR="002D25EA" w:rsidRDefault="002D25EA" w:rsidP="002D25EA">
      <w:pPr>
        <w:pStyle w:val="ListParagraph"/>
        <w:numPr>
          <w:ilvl w:val="0"/>
          <w:numId w:val="2"/>
        </w:numPr>
        <w:spacing w:after="70"/>
      </w:pPr>
      <w:r>
        <w:t>Tagging: apply the agreed tags, business domain, audience, lifecycle status and any sensitivity flag, so the API is discoverable and reportable from the moment it is published.</w:t>
      </w:r>
    </w:p>
    <w:p w14:paraId="644FF2F0" w14:textId="77777777" w:rsidR="002D25EA" w:rsidRDefault="002D25EA" w:rsidP="002D25EA">
      <w:pPr>
        <w:pStyle w:val="ListParagraph"/>
        <w:numPr>
          <w:ilvl w:val="0"/>
          <w:numId w:val="2"/>
        </w:numPr>
        <w:spacing w:after="70"/>
      </w:pPr>
      <w:r>
        <w:t>Versioning: publish under an explicit version (for example /v1/) using the strategy in section 12, so future breaking changes can be introduced as /v2/ without disruption.</w:t>
      </w:r>
    </w:p>
    <w:p w14:paraId="6A27C9DC" w14:textId="77777777" w:rsidR="002D25EA" w:rsidRDefault="002D25EA" w:rsidP="002D25EA">
      <w:pPr>
        <w:pStyle w:val="ListParagraph"/>
        <w:numPr>
          <w:ilvl w:val="0"/>
          <w:numId w:val="2"/>
        </w:numPr>
        <w:spacing w:after="70"/>
      </w:pPr>
      <w:r>
        <w:lastRenderedPageBreak/>
        <w:t>Promotion: move the API through Dev, UAT and Production via the APIOps pipeline, reviewed and deployed as code, never hand-configured in Production.</w:t>
      </w:r>
    </w:p>
    <w:p w14:paraId="1377F39D" w14:textId="77777777" w:rsidR="002D25EA" w:rsidRDefault="002D25EA" w:rsidP="002D25EA">
      <w:pPr>
        <w:pStyle w:val="ListParagraph"/>
        <w:numPr>
          <w:ilvl w:val="0"/>
          <w:numId w:val="2"/>
        </w:numPr>
        <w:spacing w:after="70"/>
      </w:pPr>
      <w:r>
        <w:t>Publication and governance: pass the design and security gates from section 11.2, then publish to the developer portal. The API is now live under an owner, in a product, visible to the right groups, tagged, versioned and monitored.</w:t>
      </w:r>
    </w:p>
    <w:p w14:paraId="7BC976B8" w14:textId="77777777" w:rsidR="002D25EA" w:rsidRPr="00614651" w:rsidRDefault="002D25EA" w:rsidP="00614651">
      <w:pPr>
        <w:rPr>
          <w:b/>
          <w:bCs/>
        </w:rPr>
      </w:pPr>
      <w:r>
        <w:rPr>
          <w:b/>
          <w:bCs/>
        </w:rPr>
        <w:t>Onboarding checklist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1EE94E3E" w14:textId="77777777" w:rsidTr="00D9409F">
        <w:trPr>
          <w:tblHeader/>
        </w:trPr>
        <w:tc>
          <w:tcPr>
            <w:tcW w:w="3100" w:type="dxa"/>
            <w:shd w:val="clear" w:color="auto" w:fill="1E2761"/>
            <w:tcMar>
              <w:top w:w="70" w:type="dxa"/>
              <w:left w:w="100" w:type="dxa"/>
              <w:bottom w:w="70" w:type="dxa"/>
              <w:right w:w="100" w:type="dxa"/>
            </w:tcMar>
            <w:vAlign w:val="center"/>
          </w:tcPr>
          <w:p w14:paraId="7ADC62E2" w14:textId="77777777" w:rsidR="002D25EA" w:rsidRDefault="002D25EA" w:rsidP="00D9409F">
            <w:r>
              <w:rPr>
                <w:b/>
                <w:bCs/>
                <w:color w:val="FFFFFF"/>
                <w:sz w:val="18"/>
                <w:szCs w:val="18"/>
              </w:rPr>
              <w:t>Step</w:t>
            </w:r>
          </w:p>
        </w:tc>
        <w:tc>
          <w:tcPr>
            <w:tcW w:w="3100" w:type="dxa"/>
            <w:shd w:val="clear" w:color="auto" w:fill="1E2761"/>
            <w:tcMar>
              <w:top w:w="70" w:type="dxa"/>
              <w:left w:w="100" w:type="dxa"/>
              <w:bottom w:w="70" w:type="dxa"/>
              <w:right w:w="100" w:type="dxa"/>
            </w:tcMar>
            <w:vAlign w:val="center"/>
          </w:tcPr>
          <w:p w14:paraId="73CA639F" w14:textId="77777777" w:rsidR="002D25EA" w:rsidRDefault="002D25EA" w:rsidP="00D9409F">
            <w:r>
              <w:rPr>
                <w:b/>
                <w:bCs/>
                <w:color w:val="FFFFFF"/>
                <w:sz w:val="18"/>
                <w:szCs w:val="18"/>
              </w:rPr>
              <w:t>Governance construct</w:t>
            </w:r>
          </w:p>
        </w:tc>
        <w:tc>
          <w:tcPr>
            <w:tcW w:w="3100" w:type="dxa"/>
            <w:shd w:val="clear" w:color="auto" w:fill="1E2761"/>
            <w:tcMar>
              <w:top w:w="70" w:type="dxa"/>
              <w:left w:w="100" w:type="dxa"/>
              <w:bottom w:w="70" w:type="dxa"/>
              <w:right w:w="100" w:type="dxa"/>
            </w:tcMar>
            <w:vAlign w:val="center"/>
          </w:tcPr>
          <w:p w14:paraId="365CBDC7" w14:textId="77777777" w:rsidR="002D25EA" w:rsidRDefault="002D25EA" w:rsidP="00D9409F">
            <w:r>
              <w:rPr>
                <w:b/>
                <w:bCs/>
                <w:color w:val="FFFFFF"/>
                <w:sz w:val="18"/>
                <w:szCs w:val="18"/>
              </w:rPr>
              <w:t>Outcome</w:t>
            </w:r>
          </w:p>
        </w:tc>
      </w:tr>
      <w:tr w:rsidR="002D25EA" w14:paraId="4188F774" w14:textId="77777777" w:rsidTr="00D9409F">
        <w:tc>
          <w:tcPr>
            <w:tcW w:w="3100" w:type="dxa"/>
            <w:tcMar>
              <w:top w:w="70" w:type="dxa"/>
              <w:left w:w="100" w:type="dxa"/>
              <w:bottom w:w="70" w:type="dxa"/>
              <w:right w:w="100" w:type="dxa"/>
            </w:tcMar>
            <w:vAlign w:val="center"/>
          </w:tcPr>
          <w:p w14:paraId="776B56EB" w14:textId="77777777" w:rsidR="002D25EA" w:rsidRDefault="002D25EA" w:rsidP="00D9409F">
            <w:r>
              <w:rPr>
                <w:sz w:val="18"/>
                <w:szCs w:val="18"/>
              </w:rPr>
              <w:t>Assign to workspace</w:t>
            </w:r>
          </w:p>
        </w:tc>
        <w:tc>
          <w:tcPr>
            <w:tcW w:w="3100" w:type="dxa"/>
            <w:tcMar>
              <w:top w:w="70" w:type="dxa"/>
              <w:left w:w="100" w:type="dxa"/>
              <w:bottom w:w="70" w:type="dxa"/>
              <w:right w:w="100" w:type="dxa"/>
            </w:tcMar>
            <w:vAlign w:val="center"/>
          </w:tcPr>
          <w:p w14:paraId="6BF270A0" w14:textId="77777777" w:rsidR="002D25EA" w:rsidRDefault="002D25EA" w:rsidP="00D9409F">
            <w:r>
              <w:rPr>
                <w:sz w:val="18"/>
                <w:szCs w:val="18"/>
              </w:rPr>
              <w:t>Workspace</w:t>
            </w:r>
          </w:p>
        </w:tc>
        <w:tc>
          <w:tcPr>
            <w:tcW w:w="3100" w:type="dxa"/>
            <w:tcMar>
              <w:top w:w="70" w:type="dxa"/>
              <w:left w:w="100" w:type="dxa"/>
              <w:bottom w:w="70" w:type="dxa"/>
              <w:right w:w="100" w:type="dxa"/>
            </w:tcMar>
            <w:vAlign w:val="center"/>
          </w:tcPr>
          <w:p w14:paraId="4ED7A2AF" w14:textId="77777777" w:rsidR="002D25EA" w:rsidRDefault="002D25EA" w:rsidP="00D9409F">
            <w:r>
              <w:rPr>
                <w:sz w:val="18"/>
                <w:szCs w:val="18"/>
              </w:rPr>
              <w:t>Clear domain ownership</w:t>
            </w:r>
          </w:p>
        </w:tc>
      </w:tr>
      <w:tr w:rsidR="002D25EA" w14:paraId="031483B0" w14:textId="77777777" w:rsidTr="00D9409F">
        <w:tc>
          <w:tcPr>
            <w:tcW w:w="3100" w:type="dxa"/>
            <w:tcMar>
              <w:top w:w="70" w:type="dxa"/>
              <w:left w:w="100" w:type="dxa"/>
              <w:bottom w:w="70" w:type="dxa"/>
              <w:right w:w="100" w:type="dxa"/>
            </w:tcMar>
            <w:vAlign w:val="center"/>
          </w:tcPr>
          <w:p w14:paraId="3E89FBDA" w14:textId="77777777" w:rsidR="002D25EA" w:rsidRDefault="002D25EA" w:rsidP="00D9409F">
            <w:r>
              <w:rPr>
                <w:sz w:val="18"/>
                <w:szCs w:val="18"/>
              </w:rPr>
              <w:t>Apply naming convention</w:t>
            </w:r>
          </w:p>
        </w:tc>
        <w:tc>
          <w:tcPr>
            <w:tcW w:w="3100" w:type="dxa"/>
            <w:tcMar>
              <w:top w:w="70" w:type="dxa"/>
              <w:left w:w="100" w:type="dxa"/>
              <w:bottom w:w="70" w:type="dxa"/>
              <w:right w:w="100" w:type="dxa"/>
            </w:tcMar>
            <w:vAlign w:val="center"/>
          </w:tcPr>
          <w:p w14:paraId="4E8FA473" w14:textId="77777777" w:rsidR="002D25EA" w:rsidRDefault="002D25EA" w:rsidP="00D9409F">
            <w:r>
              <w:rPr>
                <w:sz w:val="18"/>
                <w:szCs w:val="18"/>
              </w:rPr>
              <w:t>Design standard</w:t>
            </w:r>
          </w:p>
        </w:tc>
        <w:tc>
          <w:tcPr>
            <w:tcW w:w="3100" w:type="dxa"/>
            <w:tcMar>
              <w:top w:w="70" w:type="dxa"/>
              <w:left w:w="100" w:type="dxa"/>
              <w:bottom w:w="70" w:type="dxa"/>
              <w:right w:w="100" w:type="dxa"/>
            </w:tcMar>
            <w:vAlign w:val="center"/>
          </w:tcPr>
          <w:p w14:paraId="77A4A9D7" w14:textId="77777777" w:rsidR="002D25EA" w:rsidRDefault="002D25EA" w:rsidP="00D9409F">
            <w:r>
              <w:rPr>
                <w:sz w:val="18"/>
                <w:szCs w:val="18"/>
              </w:rPr>
              <w:t>Consistent, routable path</w:t>
            </w:r>
          </w:p>
        </w:tc>
      </w:tr>
      <w:tr w:rsidR="002D25EA" w14:paraId="54B2957F" w14:textId="77777777" w:rsidTr="00D9409F">
        <w:tc>
          <w:tcPr>
            <w:tcW w:w="3100" w:type="dxa"/>
            <w:tcMar>
              <w:top w:w="70" w:type="dxa"/>
              <w:left w:w="100" w:type="dxa"/>
              <w:bottom w:w="70" w:type="dxa"/>
              <w:right w:w="100" w:type="dxa"/>
            </w:tcMar>
            <w:vAlign w:val="center"/>
          </w:tcPr>
          <w:p w14:paraId="450C9DAD" w14:textId="77777777" w:rsidR="002D25EA" w:rsidRDefault="002D25EA" w:rsidP="00D9409F">
            <w:r>
              <w:rPr>
                <w:sz w:val="18"/>
                <w:szCs w:val="18"/>
              </w:rPr>
              <w:t>Attach standard policies</w:t>
            </w:r>
          </w:p>
        </w:tc>
        <w:tc>
          <w:tcPr>
            <w:tcW w:w="3100" w:type="dxa"/>
            <w:tcMar>
              <w:top w:w="70" w:type="dxa"/>
              <w:left w:w="100" w:type="dxa"/>
              <w:bottom w:w="70" w:type="dxa"/>
              <w:right w:w="100" w:type="dxa"/>
            </w:tcMar>
            <w:vAlign w:val="center"/>
          </w:tcPr>
          <w:p w14:paraId="1009CC2C" w14:textId="77777777" w:rsidR="002D25EA" w:rsidRDefault="002D25EA" w:rsidP="00D9409F">
            <w:r>
              <w:rPr>
                <w:sz w:val="18"/>
                <w:szCs w:val="18"/>
              </w:rPr>
              <w:t>Named values, policy scope</w:t>
            </w:r>
          </w:p>
        </w:tc>
        <w:tc>
          <w:tcPr>
            <w:tcW w:w="3100" w:type="dxa"/>
            <w:tcMar>
              <w:top w:w="70" w:type="dxa"/>
              <w:left w:w="100" w:type="dxa"/>
              <w:bottom w:w="70" w:type="dxa"/>
              <w:right w:w="100" w:type="dxa"/>
            </w:tcMar>
            <w:vAlign w:val="center"/>
          </w:tcPr>
          <w:p w14:paraId="62EA61B0" w14:textId="77777777" w:rsidR="002D25EA" w:rsidRDefault="002D25EA" w:rsidP="00D9409F">
            <w:r>
              <w:rPr>
                <w:sz w:val="18"/>
                <w:szCs w:val="18"/>
              </w:rPr>
              <w:t>Secured with no inline secrets</w:t>
            </w:r>
          </w:p>
        </w:tc>
      </w:tr>
      <w:tr w:rsidR="002D25EA" w14:paraId="15CA4574" w14:textId="77777777" w:rsidTr="00D9409F">
        <w:tc>
          <w:tcPr>
            <w:tcW w:w="3100" w:type="dxa"/>
            <w:tcMar>
              <w:top w:w="70" w:type="dxa"/>
              <w:left w:w="100" w:type="dxa"/>
              <w:bottom w:w="70" w:type="dxa"/>
              <w:right w:w="100" w:type="dxa"/>
            </w:tcMar>
            <w:vAlign w:val="center"/>
          </w:tcPr>
          <w:p w14:paraId="621E0CF0" w14:textId="77777777" w:rsidR="002D25EA" w:rsidRDefault="002D25EA" w:rsidP="00D9409F">
            <w:r>
              <w:rPr>
                <w:sz w:val="18"/>
                <w:szCs w:val="18"/>
              </w:rPr>
              <w:t>Add to product</w:t>
            </w:r>
          </w:p>
        </w:tc>
        <w:tc>
          <w:tcPr>
            <w:tcW w:w="3100" w:type="dxa"/>
            <w:tcMar>
              <w:top w:w="70" w:type="dxa"/>
              <w:left w:w="100" w:type="dxa"/>
              <w:bottom w:w="70" w:type="dxa"/>
              <w:right w:w="100" w:type="dxa"/>
            </w:tcMar>
            <w:vAlign w:val="center"/>
          </w:tcPr>
          <w:p w14:paraId="35E3514B" w14:textId="77777777" w:rsidR="002D25EA" w:rsidRDefault="002D25EA" w:rsidP="00D9409F">
            <w:r>
              <w:rPr>
                <w:sz w:val="18"/>
                <w:szCs w:val="18"/>
              </w:rPr>
              <w:t>Product</w:t>
            </w:r>
          </w:p>
        </w:tc>
        <w:tc>
          <w:tcPr>
            <w:tcW w:w="3100" w:type="dxa"/>
            <w:tcMar>
              <w:top w:w="70" w:type="dxa"/>
              <w:left w:w="100" w:type="dxa"/>
              <w:bottom w:w="70" w:type="dxa"/>
              <w:right w:w="100" w:type="dxa"/>
            </w:tcMar>
            <w:vAlign w:val="center"/>
          </w:tcPr>
          <w:p w14:paraId="6CB2789E" w14:textId="77777777" w:rsidR="002D25EA" w:rsidRDefault="002D25EA" w:rsidP="00D9409F">
            <w:r>
              <w:rPr>
                <w:sz w:val="18"/>
                <w:szCs w:val="18"/>
              </w:rPr>
              <w:t>Access rules and subscribers defined</w:t>
            </w:r>
          </w:p>
        </w:tc>
      </w:tr>
      <w:tr w:rsidR="002D25EA" w14:paraId="32C2B8E4" w14:textId="77777777" w:rsidTr="00D9409F">
        <w:tc>
          <w:tcPr>
            <w:tcW w:w="3100" w:type="dxa"/>
            <w:tcMar>
              <w:top w:w="70" w:type="dxa"/>
              <w:left w:w="100" w:type="dxa"/>
              <w:bottom w:w="70" w:type="dxa"/>
              <w:right w:w="100" w:type="dxa"/>
            </w:tcMar>
            <w:vAlign w:val="center"/>
          </w:tcPr>
          <w:p w14:paraId="0BD736F4" w14:textId="77777777" w:rsidR="002D25EA" w:rsidRDefault="002D25EA" w:rsidP="00D9409F">
            <w:r>
              <w:rPr>
                <w:sz w:val="18"/>
                <w:szCs w:val="18"/>
              </w:rPr>
              <w:t>Set product visibility</w:t>
            </w:r>
          </w:p>
        </w:tc>
        <w:tc>
          <w:tcPr>
            <w:tcW w:w="3100" w:type="dxa"/>
            <w:tcMar>
              <w:top w:w="70" w:type="dxa"/>
              <w:left w:w="100" w:type="dxa"/>
              <w:bottom w:w="70" w:type="dxa"/>
              <w:right w:w="100" w:type="dxa"/>
            </w:tcMar>
            <w:vAlign w:val="center"/>
          </w:tcPr>
          <w:p w14:paraId="5A63F0E0" w14:textId="77777777" w:rsidR="002D25EA" w:rsidRDefault="002D25EA" w:rsidP="00D9409F">
            <w:r>
              <w:rPr>
                <w:sz w:val="18"/>
                <w:szCs w:val="18"/>
              </w:rPr>
              <w:t>Groups (Entra ID)</w:t>
            </w:r>
          </w:p>
        </w:tc>
        <w:tc>
          <w:tcPr>
            <w:tcW w:w="3100" w:type="dxa"/>
            <w:tcMar>
              <w:top w:w="70" w:type="dxa"/>
              <w:left w:w="100" w:type="dxa"/>
              <w:bottom w:w="70" w:type="dxa"/>
              <w:right w:w="100" w:type="dxa"/>
            </w:tcMar>
            <w:vAlign w:val="center"/>
          </w:tcPr>
          <w:p w14:paraId="471CB118" w14:textId="77777777" w:rsidR="002D25EA" w:rsidRDefault="002D25EA" w:rsidP="00D9409F">
            <w:r>
              <w:rPr>
                <w:sz w:val="18"/>
                <w:szCs w:val="18"/>
              </w:rPr>
              <w:t>Only the intended audience sees it</w:t>
            </w:r>
          </w:p>
        </w:tc>
      </w:tr>
      <w:tr w:rsidR="002D25EA" w14:paraId="3FDA5B9B" w14:textId="77777777" w:rsidTr="00D9409F">
        <w:tc>
          <w:tcPr>
            <w:tcW w:w="3100" w:type="dxa"/>
            <w:tcMar>
              <w:top w:w="70" w:type="dxa"/>
              <w:left w:w="100" w:type="dxa"/>
              <w:bottom w:w="70" w:type="dxa"/>
              <w:right w:w="100" w:type="dxa"/>
            </w:tcMar>
            <w:vAlign w:val="center"/>
          </w:tcPr>
          <w:p w14:paraId="733BCE21" w14:textId="77777777" w:rsidR="002D25EA" w:rsidRDefault="002D25EA" w:rsidP="00D9409F">
            <w:r>
              <w:rPr>
                <w:sz w:val="18"/>
                <w:szCs w:val="18"/>
              </w:rPr>
              <w:t>Apply tags</w:t>
            </w:r>
          </w:p>
        </w:tc>
        <w:tc>
          <w:tcPr>
            <w:tcW w:w="3100" w:type="dxa"/>
            <w:tcMar>
              <w:top w:w="70" w:type="dxa"/>
              <w:left w:w="100" w:type="dxa"/>
              <w:bottom w:w="70" w:type="dxa"/>
              <w:right w:w="100" w:type="dxa"/>
            </w:tcMar>
            <w:vAlign w:val="center"/>
          </w:tcPr>
          <w:p w14:paraId="585FB6E2" w14:textId="77777777" w:rsidR="002D25EA" w:rsidRDefault="002D25EA" w:rsidP="00D9409F">
            <w:r>
              <w:rPr>
                <w:sz w:val="18"/>
                <w:szCs w:val="18"/>
              </w:rPr>
              <w:t>Tags</w:t>
            </w:r>
          </w:p>
        </w:tc>
        <w:tc>
          <w:tcPr>
            <w:tcW w:w="3100" w:type="dxa"/>
            <w:tcMar>
              <w:top w:w="70" w:type="dxa"/>
              <w:left w:w="100" w:type="dxa"/>
              <w:bottom w:w="70" w:type="dxa"/>
              <w:right w:w="100" w:type="dxa"/>
            </w:tcMar>
            <w:vAlign w:val="center"/>
          </w:tcPr>
          <w:p w14:paraId="6AF7CF58" w14:textId="77777777" w:rsidR="002D25EA" w:rsidRDefault="002D25EA" w:rsidP="00D9409F">
            <w:r>
              <w:rPr>
                <w:sz w:val="18"/>
                <w:szCs w:val="18"/>
              </w:rPr>
              <w:t>Discoverable and reportable</w:t>
            </w:r>
          </w:p>
        </w:tc>
      </w:tr>
      <w:tr w:rsidR="002D25EA" w14:paraId="2429A1C2" w14:textId="77777777" w:rsidTr="00D9409F">
        <w:tc>
          <w:tcPr>
            <w:tcW w:w="3100" w:type="dxa"/>
            <w:tcMar>
              <w:top w:w="70" w:type="dxa"/>
              <w:left w:w="100" w:type="dxa"/>
              <w:bottom w:w="70" w:type="dxa"/>
              <w:right w:w="100" w:type="dxa"/>
            </w:tcMar>
            <w:vAlign w:val="center"/>
          </w:tcPr>
          <w:p w14:paraId="36F90DDE" w14:textId="77777777" w:rsidR="002D25EA" w:rsidRDefault="002D25EA" w:rsidP="00D9409F">
            <w:r>
              <w:rPr>
                <w:sz w:val="18"/>
                <w:szCs w:val="18"/>
              </w:rPr>
              <w:t>Publish under a version</w:t>
            </w:r>
          </w:p>
        </w:tc>
        <w:tc>
          <w:tcPr>
            <w:tcW w:w="3100" w:type="dxa"/>
            <w:tcMar>
              <w:top w:w="70" w:type="dxa"/>
              <w:left w:w="100" w:type="dxa"/>
              <w:bottom w:w="70" w:type="dxa"/>
              <w:right w:w="100" w:type="dxa"/>
            </w:tcMar>
            <w:vAlign w:val="center"/>
          </w:tcPr>
          <w:p w14:paraId="0B95DF35" w14:textId="77777777" w:rsidR="002D25EA" w:rsidRDefault="002D25EA" w:rsidP="00D9409F">
            <w:r>
              <w:rPr>
                <w:sz w:val="18"/>
                <w:szCs w:val="18"/>
              </w:rPr>
              <w:t>Versioning</w:t>
            </w:r>
          </w:p>
        </w:tc>
        <w:tc>
          <w:tcPr>
            <w:tcW w:w="3100" w:type="dxa"/>
            <w:tcMar>
              <w:top w:w="70" w:type="dxa"/>
              <w:left w:w="100" w:type="dxa"/>
              <w:bottom w:w="70" w:type="dxa"/>
              <w:right w:w="100" w:type="dxa"/>
            </w:tcMar>
            <w:vAlign w:val="center"/>
          </w:tcPr>
          <w:p w14:paraId="0FA0BAC4" w14:textId="77777777" w:rsidR="002D25EA" w:rsidRDefault="002D25EA" w:rsidP="00D9409F">
            <w:r>
              <w:rPr>
                <w:sz w:val="18"/>
                <w:szCs w:val="18"/>
              </w:rPr>
              <w:t>Future changes are non-breaking</w:t>
            </w:r>
          </w:p>
        </w:tc>
      </w:tr>
      <w:tr w:rsidR="002D25EA" w14:paraId="21DAB32E" w14:textId="77777777" w:rsidTr="00D9409F">
        <w:tc>
          <w:tcPr>
            <w:tcW w:w="3100" w:type="dxa"/>
            <w:tcMar>
              <w:top w:w="70" w:type="dxa"/>
              <w:left w:w="100" w:type="dxa"/>
              <w:bottom w:w="70" w:type="dxa"/>
              <w:right w:w="100" w:type="dxa"/>
            </w:tcMar>
            <w:vAlign w:val="center"/>
          </w:tcPr>
          <w:p w14:paraId="6C2F5DED" w14:textId="77777777" w:rsidR="002D25EA" w:rsidRDefault="002D25EA" w:rsidP="00D9409F">
            <w:r>
              <w:rPr>
                <w:sz w:val="18"/>
                <w:szCs w:val="18"/>
              </w:rPr>
              <w:t>Promote via APIOps</w:t>
            </w:r>
          </w:p>
        </w:tc>
        <w:tc>
          <w:tcPr>
            <w:tcW w:w="3100" w:type="dxa"/>
            <w:tcMar>
              <w:top w:w="70" w:type="dxa"/>
              <w:left w:w="100" w:type="dxa"/>
              <w:bottom w:w="70" w:type="dxa"/>
              <w:right w:w="100" w:type="dxa"/>
            </w:tcMar>
            <w:vAlign w:val="center"/>
          </w:tcPr>
          <w:p w14:paraId="70332DC1" w14:textId="77777777" w:rsidR="002D25EA" w:rsidRDefault="002D25EA" w:rsidP="00D9409F">
            <w:r>
              <w:rPr>
                <w:sz w:val="18"/>
                <w:szCs w:val="18"/>
              </w:rPr>
              <w:t>Environments</w:t>
            </w:r>
          </w:p>
        </w:tc>
        <w:tc>
          <w:tcPr>
            <w:tcW w:w="3100" w:type="dxa"/>
            <w:tcMar>
              <w:top w:w="70" w:type="dxa"/>
              <w:left w:w="100" w:type="dxa"/>
              <w:bottom w:w="70" w:type="dxa"/>
              <w:right w:w="100" w:type="dxa"/>
            </w:tcMar>
            <w:vAlign w:val="center"/>
          </w:tcPr>
          <w:p w14:paraId="766F2B3D" w14:textId="77777777" w:rsidR="002D25EA" w:rsidRDefault="002D25EA" w:rsidP="00D9409F">
            <w:r>
              <w:rPr>
                <w:sz w:val="18"/>
                <w:szCs w:val="18"/>
              </w:rPr>
              <w:t>Consistent across Dev, UAT, Prod</w:t>
            </w:r>
          </w:p>
        </w:tc>
      </w:tr>
    </w:tbl>
    <w:p w14:paraId="5E18B477" w14:textId="77777777" w:rsidR="002D25EA" w:rsidRDefault="002D25EA" w:rsidP="002D25EA">
      <w:pPr>
        <w:spacing w:after="140"/>
      </w:pPr>
    </w:p>
    <w:p w14:paraId="74D02161" w14:textId="77777777" w:rsidR="002D25EA" w:rsidRDefault="002D25EA" w:rsidP="002D25EA">
      <w:pPr>
        <w:spacing w:after="140"/>
      </w:pPr>
      <w:r>
        <w:t>Followed each time, this process means growth does not erode governance: the hundredth API onto the platform is organised exactly like the first.</w:t>
      </w:r>
    </w:p>
    <w:p w14:paraId="6F9D7282" w14:textId="77777777" w:rsidR="002D25EA" w:rsidRPr="00614651" w:rsidRDefault="002D25EA" w:rsidP="00614651">
      <w:pPr>
        <w:rPr>
          <w:b/>
          <w:bCs/>
        </w:rPr>
      </w:pPr>
      <w:r>
        <w:rPr>
          <w:b/>
          <w:bCs/>
        </w:rPr>
        <w:t>Onboarding service levels (time-to-first-API)</w:t>
      </w:r>
    </w:p>
    <w:p w14:paraId="063ED134" w14:textId="77777777" w:rsidR="002D25EA" w:rsidRDefault="002D25EA" w:rsidP="002D25EA">
      <w:pPr>
        <w:spacing w:after="140"/>
      </w:pPr>
      <w:r>
        <w:t>The onboarding steps above have owners and target cycle times so “time-to-first-API” is a committed number rather than an open-ended process. The targets below are for a straightforward API on the happy path; complex or high-sensitivity APIs will take longer and that is expected.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2D25EA" w14:paraId="42660A14" w14:textId="77777777" w:rsidTr="00D9409F">
        <w:trPr>
          <w:tblHeader/>
        </w:trPr>
        <w:tc>
          <w:tcPr>
            <w:tcW w:w="4500" w:type="dxa"/>
            <w:shd w:val="clear" w:color="auto" w:fill="1E2761"/>
            <w:tcMar>
              <w:top w:w="70" w:type="dxa"/>
              <w:left w:w="100" w:type="dxa"/>
              <w:bottom w:w="70" w:type="dxa"/>
              <w:right w:w="100" w:type="dxa"/>
            </w:tcMar>
          </w:tcPr>
          <w:p w14:paraId="32EC61A0" w14:textId="77777777" w:rsidR="002D25EA" w:rsidRDefault="002D25EA" w:rsidP="00D9409F">
            <w:r>
              <w:rPr>
                <w:b/>
                <w:bCs/>
                <w:color w:val="FFFFFF"/>
                <w:sz w:val="18"/>
                <w:szCs w:val="18"/>
              </w:rPr>
              <w:t>Stage</w:t>
            </w:r>
          </w:p>
        </w:tc>
        <w:tc>
          <w:tcPr>
            <w:tcW w:w="2400" w:type="dxa"/>
            <w:shd w:val="clear" w:color="auto" w:fill="1E2761"/>
            <w:tcMar>
              <w:top w:w="70" w:type="dxa"/>
              <w:left w:w="100" w:type="dxa"/>
              <w:bottom w:w="70" w:type="dxa"/>
              <w:right w:w="100" w:type="dxa"/>
            </w:tcMar>
          </w:tcPr>
          <w:p w14:paraId="316A17A2" w14:textId="77777777" w:rsidR="002D25EA" w:rsidRDefault="002D25EA" w:rsidP="00D9409F">
            <w:r>
              <w:rPr>
                <w:b/>
                <w:bCs/>
                <w:color w:val="FFFFFF"/>
                <w:sz w:val="18"/>
                <w:szCs w:val="18"/>
              </w:rPr>
              <w:t>Owner</w:t>
            </w:r>
          </w:p>
        </w:tc>
        <w:tc>
          <w:tcPr>
            <w:tcW w:w="2400" w:type="dxa"/>
            <w:shd w:val="clear" w:color="auto" w:fill="1E2761"/>
            <w:tcMar>
              <w:top w:w="70" w:type="dxa"/>
              <w:left w:w="100" w:type="dxa"/>
              <w:bottom w:w="70" w:type="dxa"/>
              <w:right w:w="100" w:type="dxa"/>
            </w:tcMar>
          </w:tcPr>
          <w:p w14:paraId="4E1979E4" w14:textId="77777777" w:rsidR="002D25EA" w:rsidRDefault="002D25EA" w:rsidP="00D9409F">
            <w:r>
              <w:rPr>
                <w:b/>
                <w:bCs/>
                <w:color w:val="FFFFFF"/>
                <w:sz w:val="18"/>
                <w:szCs w:val="18"/>
              </w:rPr>
              <w:t>Target cycle time</w:t>
            </w:r>
          </w:p>
        </w:tc>
      </w:tr>
      <w:tr w:rsidR="002D25EA" w14:paraId="1B812E1E" w14:textId="77777777" w:rsidTr="00D9409F">
        <w:tc>
          <w:tcPr>
            <w:tcW w:w="4500" w:type="dxa"/>
            <w:tcMar>
              <w:top w:w="70" w:type="dxa"/>
              <w:left w:w="100" w:type="dxa"/>
              <w:bottom w:w="70" w:type="dxa"/>
              <w:right w:w="100" w:type="dxa"/>
            </w:tcMar>
          </w:tcPr>
          <w:p w14:paraId="5F9D6A78" w14:textId="77777777" w:rsidR="002D25EA" w:rsidRDefault="002D25EA" w:rsidP="00D9409F">
            <w:r>
              <w:rPr>
                <w:sz w:val="18"/>
                <w:szCs w:val="18"/>
              </w:rPr>
              <w:t>Intake &amp; placement (workspace, ownership)</w:t>
            </w:r>
          </w:p>
        </w:tc>
        <w:tc>
          <w:tcPr>
            <w:tcW w:w="2400" w:type="dxa"/>
            <w:tcMar>
              <w:top w:w="70" w:type="dxa"/>
              <w:left w:w="100" w:type="dxa"/>
              <w:bottom w:w="70" w:type="dxa"/>
              <w:right w:w="100" w:type="dxa"/>
            </w:tcMar>
          </w:tcPr>
          <w:p w14:paraId="350A6931" w14:textId="77777777" w:rsidR="002D25EA" w:rsidRDefault="002D25EA" w:rsidP="00D9409F">
            <w:r>
              <w:rPr>
                <w:sz w:val="18"/>
                <w:szCs w:val="18"/>
              </w:rPr>
              <w:t>Platform</w:t>
            </w:r>
          </w:p>
        </w:tc>
        <w:tc>
          <w:tcPr>
            <w:tcW w:w="2400" w:type="dxa"/>
            <w:tcMar>
              <w:top w:w="70" w:type="dxa"/>
              <w:left w:w="100" w:type="dxa"/>
              <w:bottom w:w="70" w:type="dxa"/>
              <w:right w:w="100" w:type="dxa"/>
            </w:tcMar>
          </w:tcPr>
          <w:p w14:paraId="6B725058" w14:textId="77777777" w:rsidR="002D25EA" w:rsidRDefault="002D25EA" w:rsidP="00D9409F">
            <w:r>
              <w:rPr>
                <w:sz w:val="18"/>
                <w:szCs w:val="18"/>
              </w:rPr>
              <w:t>2 business days</w:t>
            </w:r>
          </w:p>
        </w:tc>
      </w:tr>
      <w:tr w:rsidR="002D25EA" w14:paraId="1A59471A" w14:textId="77777777" w:rsidTr="00D9409F">
        <w:tc>
          <w:tcPr>
            <w:tcW w:w="4500" w:type="dxa"/>
            <w:tcMar>
              <w:top w:w="70" w:type="dxa"/>
              <w:left w:w="100" w:type="dxa"/>
              <w:bottom w:w="70" w:type="dxa"/>
              <w:right w:w="100" w:type="dxa"/>
            </w:tcMar>
          </w:tcPr>
          <w:p w14:paraId="45D2E8F9" w14:textId="77777777" w:rsidR="002D25EA" w:rsidRDefault="002D25EA" w:rsidP="00D9409F">
            <w:r>
              <w:rPr>
                <w:sz w:val="18"/>
                <w:szCs w:val="18"/>
              </w:rPr>
              <w:t>Design &amp; naming review</w:t>
            </w:r>
          </w:p>
        </w:tc>
        <w:tc>
          <w:tcPr>
            <w:tcW w:w="2400" w:type="dxa"/>
            <w:tcMar>
              <w:top w:w="70" w:type="dxa"/>
              <w:left w:w="100" w:type="dxa"/>
              <w:bottom w:w="70" w:type="dxa"/>
              <w:right w:w="100" w:type="dxa"/>
            </w:tcMar>
          </w:tcPr>
          <w:p w14:paraId="47407B83" w14:textId="77777777" w:rsidR="002D25EA" w:rsidRDefault="002D25EA" w:rsidP="00D9409F">
            <w:r>
              <w:rPr>
                <w:sz w:val="18"/>
                <w:szCs w:val="18"/>
              </w:rPr>
              <w:t>Domain + Platform</w:t>
            </w:r>
          </w:p>
        </w:tc>
        <w:tc>
          <w:tcPr>
            <w:tcW w:w="2400" w:type="dxa"/>
            <w:tcMar>
              <w:top w:w="70" w:type="dxa"/>
              <w:left w:w="100" w:type="dxa"/>
              <w:bottom w:w="70" w:type="dxa"/>
              <w:right w:w="100" w:type="dxa"/>
            </w:tcMar>
          </w:tcPr>
          <w:p w14:paraId="0FCF2F61" w14:textId="77777777" w:rsidR="002D25EA" w:rsidRDefault="002D25EA" w:rsidP="00D9409F">
            <w:r>
              <w:rPr>
                <w:sz w:val="18"/>
                <w:szCs w:val="18"/>
              </w:rPr>
              <w:t>3 business days</w:t>
            </w:r>
          </w:p>
        </w:tc>
      </w:tr>
      <w:tr w:rsidR="002D25EA" w14:paraId="1276047C" w14:textId="77777777" w:rsidTr="00D9409F">
        <w:tc>
          <w:tcPr>
            <w:tcW w:w="4500" w:type="dxa"/>
            <w:tcMar>
              <w:top w:w="70" w:type="dxa"/>
              <w:left w:w="100" w:type="dxa"/>
              <w:bottom w:w="70" w:type="dxa"/>
              <w:right w:w="100" w:type="dxa"/>
            </w:tcMar>
          </w:tcPr>
          <w:p w14:paraId="6E096006" w14:textId="77777777" w:rsidR="002D25EA" w:rsidRDefault="002D25EA" w:rsidP="00D9409F">
            <w:r>
              <w:rPr>
                <w:sz w:val="18"/>
                <w:szCs w:val="18"/>
              </w:rPr>
              <w:t>Security review (classification, auth, policy)</w:t>
            </w:r>
          </w:p>
        </w:tc>
        <w:tc>
          <w:tcPr>
            <w:tcW w:w="2400" w:type="dxa"/>
            <w:tcMar>
              <w:top w:w="70" w:type="dxa"/>
              <w:left w:w="100" w:type="dxa"/>
              <w:bottom w:w="70" w:type="dxa"/>
              <w:right w:w="100" w:type="dxa"/>
            </w:tcMar>
          </w:tcPr>
          <w:p w14:paraId="78B5AD21" w14:textId="77777777" w:rsidR="002D25EA" w:rsidRDefault="002D25EA" w:rsidP="00D9409F">
            <w:r>
              <w:rPr>
                <w:sz w:val="18"/>
                <w:szCs w:val="18"/>
              </w:rPr>
              <w:t>Security</w:t>
            </w:r>
          </w:p>
        </w:tc>
        <w:tc>
          <w:tcPr>
            <w:tcW w:w="2400" w:type="dxa"/>
            <w:tcMar>
              <w:top w:w="70" w:type="dxa"/>
              <w:left w:w="100" w:type="dxa"/>
              <w:bottom w:w="70" w:type="dxa"/>
              <w:right w:w="100" w:type="dxa"/>
            </w:tcMar>
          </w:tcPr>
          <w:p w14:paraId="6CBFBB01" w14:textId="77777777" w:rsidR="002D25EA" w:rsidRDefault="002D25EA" w:rsidP="00D9409F">
            <w:r>
              <w:rPr>
                <w:sz w:val="18"/>
                <w:szCs w:val="18"/>
              </w:rPr>
              <w:t>3 business days</w:t>
            </w:r>
          </w:p>
        </w:tc>
      </w:tr>
      <w:tr w:rsidR="002D25EA" w14:paraId="6415C126" w14:textId="77777777" w:rsidTr="00D9409F">
        <w:tc>
          <w:tcPr>
            <w:tcW w:w="4500" w:type="dxa"/>
            <w:tcMar>
              <w:top w:w="70" w:type="dxa"/>
              <w:left w:w="100" w:type="dxa"/>
              <w:bottom w:w="70" w:type="dxa"/>
              <w:right w:w="100" w:type="dxa"/>
            </w:tcMar>
          </w:tcPr>
          <w:p w14:paraId="5496CAE8" w14:textId="77777777" w:rsidR="002D25EA" w:rsidRDefault="002D25EA" w:rsidP="00D9409F">
            <w:r>
              <w:rPr>
                <w:sz w:val="18"/>
                <w:szCs w:val="18"/>
              </w:rPr>
              <w:t>Build &amp; policy in Dev</w:t>
            </w:r>
          </w:p>
        </w:tc>
        <w:tc>
          <w:tcPr>
            <w:tcW w:w="2400" w:type="dxa"/>
            <w:tcMar>
              <w:top w:w="70" w:type="dxa"/>
              <w:left w:w="100" w:type="dxa"/>
              <w:bottom w:w="70" w:type="dxa"/>
              <w:right w:w="100" w:type="dxa"/>
            </w:tcMar>
          </w:tcPr>
          <w:p w14:paraId="37F31986" w14:textId="77777777" w:rsidR="002D25EA" w:rsidRDefault="002D25EA" w:rsidP="00D9409F">
            <w:r>
              <w:rPr>
                <w:sz w:val="18"/>
                <w:szCs w:val="18"/>
              </w:rPr>
              <w:t>Domain</w:t>
            </w:r>
          </w:p>
        </w:tc>
        <w:tc>
          <w:tcPr>
            <w:tcW w:w="2400" w:type="dxa"/>
            <w:tcMar>
              <w:top w:w="70" w:type="dxa"/>
              <w:left w:w="100" w:type="dxa"/>
              <w:bottom w:w="70" w:type="dxa"/>
              <w:right w:w="100" w:type="dxa"/>
            </w:tcMar>
          </w:tcPr>
          <w:p w14:paraId="0426EB19" w14:textId="77777777" w:rsidR="002D25EA" w:rsidRDefault="002D25EA" w:rsidP="00D9409F">
            <w:r>
              <w:rPr>
                <w:sz w:val="18"/>
                <w:szCs w:val="18"/>
              </w:rPr>
              <w:t>Domain-dependent</w:t>
            </w:r>
          </w:p>
        </w:tc>
      </w:tr>
      <w:tr w:rsidR="002D25EA" w14:paraId="533CAFA2" w14:textId="77777777" w:rsidTr="00D9409F">
        <w:tc>
          <w:tcPr>
            <w:tcW w:w="4500" w:type="dxa"/>
            <w:tcMar>
              <w:top w:w="70" w:type="dxa"/>
              <w:left w:w="100" w:type="dxa"/>
              <w:bottom w:w="70" w:type="dxa"/>
              <w:right w:w="100" w:type="dxa"/>
            </w:tcMar>
          </w:tcPr>
          <w:p w14:paraId="319FA8F2" w14:textId="77777777" w:rsidR="002D25EA" w:rsidRDefault="002D25EA" w:rsidP="00D9409F">
            <w:r>
              <w:rPr>
                <w:sz w:val="18"/>
                <w:szCs w:val="18"/>
              </w:rPr>
              <w:t>Promotion through gates to Production</w:t>
            </w:r>
          </w:p>
        </w:tc>
        <w:tc>
          <w:tcPr>
            <w:tcW w:w="2400" w:type="dxa"/>
            <w:tcMar>
              <w:top w:w="70" w:type="dxa"/>
              <w:left w:w="100" w:type="dxa"/>
              <w:bottom w:w="70" w:type="dxa"/>
              <w:right w:w="100" w:type="dxa"/>
            </w:tcMar>
          </w:tcPr>
          <w:p w14:paraId="55211318" w14:textId="77777777" w:rsidR="002D25EA" w:rsidRDefault="002D25EA" w:rsidP="00D9409F">
            <w:r>
              <w:rPr>
                <w:sz w:val="18"/>
                <w:szCs w:val="18"/>
              </w:rPr>
              <w:t>Platform</w:t>
            </w:r>
          </w:p>
        </w:tc>
        <w:tc>
          <w:tcPr>
            <w:tcW w:w="2400" w:type="dxa"/>
            <w:tcMar>
              <w:top w:w="70" w:type="dxa"/>
              <w:left w:w="100" w:type="dxa"/>
              <w:bottom w:w="70" w:type="dxa"/>
              <w:right w:w="100" w:type="dxa"/>
            </w:tcMar>
          </w:tcPr>
          <w:p w14:paraId="70E66EFC" w14:textId="77777777" w:rsidR="002D25EA" w:rsidRDefault="002D25EA" w:rsidP="00D9409F">
            <w:r>
              <w:rPr>
                <w:sz w:val="18"/>
                <w:szCs w:val="18"/>
              </w:rPr>
              <w:t>1 business day per gate</w:t>
            </w:r>
          </w:p>
        </w:tc>
      </w:tr>
      <w:tr w:rsidR="002D25EA" w14:paraId="1CD2A1A3" w14:textId="77777777" w:rsidTr="00D9409F">
        <w:tc>
          <w:tcPr>
            <w:tcW w:w="4500" w:type="dxa"/>
            <w:tcMar>
              <w:top w:w="70" w:type="dxa"/>
              <w:left w:w="100" w:type="dxa"/>
              <w:bottom w:w="70" w:type="dxa"/>
              <w:right w:w="100" w:type="dxa"/>
            </w:tcMar>
          </w:tcPr>
          <w:p w14:paraId="5A2ABDE1" w14:textId="77777777" w:rsidR="002D25EA" w:rsidRDefault="002D25EA" w:rsidP="00D9409F">
            <w:r>
              <w:rPr>
                <w:sz w:val="18"/>
                <w:szCs w:val="18"/>
              </w:rPr>
              <w:t>Overall time-to-first-API (simple API, happy path)</w:t>
            </w:r>
          </w:p>
        </w:tc>
        <w:tc>
          <w:tcPr>
            <w:tcW w:w="2400" w:type="dxa"/>
            <w:tcMar>
              <w:top w:w="70" w:type="dxa"/>
              <w:left w:w="100" w:type="dxa"/>
              <w:bottom w:w="70" w:type="dxa"/>
              <w:right w:w="100" w:type="dxa"/>
            </w:tcMar>
          </w:tcPr>
          <w:p w14:paraId="34C34D63" w14:textId="77777777" w:rsidR="002D25EA" w:rsidRDefault="002D25EA" w:rsidP="00D9409F">
            <w:r>
              <w:rPr>
                <w:sz w:val="18"/>
                <w:szCs w:val="18"/>
              </w:rPr>
              <w:t>:</w:t>
            </w:r>
          </w:p>
        </w:tc>
        <w:tc>
          <w:tcPr>
            <w:tcW w:w="2400" w:type="dxa"/>
            <w:tcMar>
              <w:top w:w="70" w:type="dxa"/>
              <w:left w:w="100" w:type="dxa"/>
              <w:bottom w:w="70" w:type="dxa"/>
              <w:right w:w="100" w:type="dxa"/>
            </w:tcMar>
          </w:tcPr>
          <w:p w14:paraId="437C90FA" w14:textId="77777777" w:rsidR="002D25EA" w:rsidRDefault="002D25EA" w:rsidP="00D9409F">
            <w:r>
              <w:rPr>
                <w:sz w:val="18"/>
                <w:szCs w:val="18"/>
              </w:rPr>
              <w:t>~10 business days</w:t>
            </w:r>
          </w:p>
        </w:tc>
      </w:tr>
    </w:tbl>
    <w:p w14:paraId="578FA362" w14:textId="77777777" w:rsidR="002D25EA" w:rsidRDefault="002D25EA" w:rsidP="002D25EA">
      <w:pPr>
        <w:spacing w:after="140"/>
      </w:pPr>
      <w:r>
        <w:t>These targets should be tracked as an operational metric; persistent breaches are a signal to simplify a gate, not to skip it.</w:t>
      </w:r>
    </w:p>
    <w:p w14:paraId="3C7BD725" w14:textId="77777777" w:rsidR="002D25EA" w:rsidRDefault="002D25EA" w:rsidP="002D25EA">
      <w:pPr>
        <w:spacing w:after="60"/>
      </w:pPr>
    </w:p>
    <w:p w14:paraId="75F97989"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8" w:name="_Toc240539752"/>
      <w:r>
        <w:rPr>
          <w:rFonts w:asciiTheme="minorHAnsi" w:eastAsia="Times New Roman" w:hAnsiTheme="minorHAnsi" w:cs="Times New Roman"/>
          <w:b w:val="0"/>
          <w:color w:val="132040" w:themeColor="accent1" w:themeShade="BF"/>
          <w:sz w:val="24"/>
          <w:szCs w:val="26"/>
          <w:lang w:eastAsia="en-US"/>
        </w:rPr>
        <w:t>API Lifecycle and Versioning Strategy</w:t>
      </w:r>
      <w:bookmarkEnd w:id="28"/>
    </w:p>
    <w:p w14:paraId="7EB86777" w14:textId="77777777" w:rsidR="002D25EA" w:rsidRDefault="002D25EA" w:rsidP="002D25EA">
      <w:pPr>
        <w:spacing w:after="140"/>
      </w:pPr>
      <w:r>
        <w:t>Versioning exists so that the Organization can improve an API without breaking the systems already calling it. The design uses two distinct APIM mechanisms for two distinct situations, and it is worth being precise about which is which, because they are often confused.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2CF7BF9" w14:textId="77777777" w:rsidTr="00D9409F">
        <w:trPr>
          <w:tblHeader/>
        </w:trPr>
        <w:tc>
          <w:tcPr>
            <w:tcW w:w="3100" w:type="dxa"/>
            <w:shd w:val="clear" w:color="auto" w:fill="1E2761"/>
            <w:tcMar>
              <w:top w:w="70" w:type="dxa"/>
              <w:left w:w="100" w:type="dxa"/>
              <w:bottom w:w="70" w:type="dxa"/>
              <w:right w:w="100" w:type="dxa"/>
            </w:tcMar>
            <w:vAlign w:val="center"/>
          </w:tcPr>
          <w:p w14:paraId="03663340" w14:textId="77777777" w:rsidR="002D25EA" w:rsidRDefault="002D25EA" w:rsidP="00D9409F">
            <w:r>
              <w:rPr>
                <w:b/>
                <w:bCs/>
                <w:color w:val="FFFFFF"/>
                <w:sz w:val="18"/>
                <w:szCs w:val="18"/>
              </w:rPr>
              <w:t>Mechanism</w:t>
            </w:r>
          </w:p>
        </w:tc>
        <w:tc>
          <w:tcPr>
            <w:tcW w:w="3100" w:type="dxa"/>
            <w:shd w:val="clear" w:color="auto" w:fill="1E2761"/>
            <w:tcMar>
              <w:top w:w="70" w:type="dxa"/>
              <w:left w:w="100" w:type="dxa"/>
              <w:bottom w:w="70" w:type="dxa"/>
              <w:right w:w="100" w:type="dxa"/>
            </w:tcMar>
            <w:vAlign w:val="center"/>
          </w:tcPr>
          <w:p w14:paraId="02C8CAD6" w14:textId="77777777" w:rsidR="002D25EA" w:rsidRDefault="002D25EA" w:rsidP="00D9409F">
            <w:r>
              <w:rPr>
                <w:b/>
                <w:bCs/>
                <w:color w:val="FFFFFF"/>
                <w:sz w:val="18"/>
                <w:szCs w:val="18"/>
              </w:rPr>
              <w:t>When it is used</w:t>
            </w:r>
          </w:p>
        </w:tc>
        <w:tc>
          <w:tcPr>
            <w:tcW w:w="3100" w:type="dxa"/>
            <w:shd w:val="clear" w:color="auto" w:fill="1E2761"/>
            <w:tcMar>
              <w:top w:w="70" w:type="dxa"/>
              <w:left w:w="100" w:type="dxa"/>
              <w:bottom w:w="70" w:type="dxa"/>
              <w:right w:w="100" w:type="dxa"/>
            </w:tcMar>
            <w:vAlign w:val="center"/>
          </w:tcPr>
          <w:p w14:paraId="6C1A2A23" w14:textId="77777777" w:rsidR="002D25EA" w:rsidRDefault="002D25EA" w:rsidP="00D9409F">
            <w:r>
              <w:rPr>
                <w:b/>
                <w:bCs/>
                <w:color w:val="FFFFFF"/>
                <w:sz w:val="18"/>
                <w:szCs w:val="18"/>
              </w:rPr>
              <w:t>Consumer effect</w:t>
            </w:r>
          </w:p>
        </w:tc>
      </w:tr>
      <w:tr w:rsidR="002D25EA" w14:paraId="0287C374" w14:textId="77777777" w:rsidTr="00D9409F">
        <w:tc>
          <w:tcPr>
            <w:tcW w:w="3100" w:type="dxa"/>
            <w:tcMar>
              <w:top w:w="70" w:type="dxa"/>
              <w:left w:w="100" w:type="dxa"/>
              <w:bottom w:w="70" w:type="dxa"/>
              <w:right w:w="100" w:type="dxa"/>
            </w:tcMar>
            <w:vAlign w:val="center"/>
          </w:tcPr>
          <w:p w14:paraId="2CD3E895" w14:textId="77777777" w:rsidR="002D25EA" w:rsidRDefault="002D25EA" w:rsidP="00D9409F">
            <w:r>
              <w:rPr>
                <w:sz w:val="18"/>
                <w:szCs w:val="18"/>
              </w:rPr>
              <w:t>Revision</w:t>
            </w:r>
          </w:p>
        </w:tc>
        <w:tc>
          <w:tcPr>
            <w:tcW w:w="3100" w:type="dxa"/>
            <w:tcMar>
              <w:top w:w="70" w:type="dxa"/>
              <w:left w:w="100" w:type="dxa"/>
              <w:bottom w:w="70" w:type="dxa"/>
              <w:right w:w="100" w:type="dxa"/>
            </w:tcMar>
            <w:vAlign w:val="center"/>
          </w:tcPr>
          <w:p w14:paraId="588E6FE6" w14:textId="77777777" w:rsidR="002D25EA" w:rsidRDefault="002D25EA" w:rsidP="00D9409F">
            <w:r>
              <w:rPr>
                <w:sz w:val="18"/>
                <w:szCs w:val="18"/>
              </w:rPr>
              <w:t>A change that does not break the contract, for example adding an optional field or fixing a bug</w:t>
            </w:r>
          </w:p>
        </w:tc>
        <w:tc>
          <w:tcPr>
            <w:tcW w:w="3100" w:type="dxa"/>
            <w:tcMar>
              <w:top w:w="70" w:type="dxa"/>
              <w:left w:w="100" w:type="dxa"/>
              <w:bottom w:w="70" w:type="dxa"/>
              <w:right w:w="100" w:type="dxa"/>
            </w:tcMar>
            <w:vAlign w:val="center"/>
          </w:tcPr>
          <w:p w14:paraId="6B67A73D" w14:textId="77777777" w:rsidR="002D25EA" w:rsidRDefault="002D25EA" w:rsidP="00D9409F">
            <w:r>
              <w:rPr>
                <w:sz w:val="18"/>
                <w:szCs w:val="18"/>
              </w:rPr>
              <w:t>Consumers keep calling the same URL; the new revision can be tested online, then made current</w:t>
            </w:r>
          </w:p>
        </w:tc>
      </w:tr>
      <w:tr w:rsidR="002D25EA" w14:paraId="0D4FB941" w14:textId="77777777" w:rsidTr="00D9409F">
        <w:tc>
          <w:tcPr>
            <w:tcW w:w="3100" w:type="dxa"/>
            <w:tcMar>
              <w:top w:w="70" w:type="dxa"/>
              <w:left w:w="100" w:type="dxa"/>
              <w:bottom w:w="70" w:type="dxa"/>
              <w:right w:w="100" w:type="dxa"/>
            </w:tcMar>
            <w:vAlign w:val="center"/>
          </w:tcPr>
          <w:p w14:paraId="2D61E905" w14:textId="77777777" w:rsidR="002D25EA" w:rsidRDefault="002D25EA" w:rsidP="00D9409F">
            <w:r>
              <w:rPr>
                <w:sz w:val="18"/>
                <w:szCs w:val="18"/>
              </w:rPr>
              <w:t>Version</w:t>
            </w:r>
          </w:p>
        </w:tc>
        <w:tc>
          <w:tcPr>
            <w:tcW w:w="3100" w:type="dxa"/>
            <w:tcMar>
              <w:top w:w="70" w:type="dxa"/>
              <w:left w:w="100" w:type="dxa"/>
              <w:bottom w:w="70" w:type="dxa"/>
              <w:right w:w="100" w:type="dxa"/>
            </w:tcMar>
            <w:vAlign w:val="center"/>
          </w:tcPr>
          <w:p w14:paraId="20354148" w14:textId="77777777" w:rsidR="002D25EA" w:rsidRDefault="002D25EA" w:rsidP="00D9409F">
            <w:r>
              <w:rPr>
                <w:sz w:val="18"/>
                <w:szCs w:val="18"/>
              </w:rPr>
              <w:t>A change that breaks the contract, for example removing a field or changing a type</w:t>
            </w:r>
          </w:p>
        </w:tc>
        <w:tc>
          <w:tcPr>
            <w:tcW w:w="3100" w:type="dxa"/>
            <w:tcMar>
              <w:top w:w="70" w:type="dxa"/>
              <w:left w:w="100" w:type="dxa"/>
              <w:bottom w:w="70" w:type="dxa"/>
              <w:right w:w="100" w:type="dxa"/>
            </w:tcMar>
            <w:vAlign w:val="center"/>
          </w:tcPr>
          <w:p w14:paraId="3616372E" w14:textId="77777777" w:rsidR="002D25EA" w:rsidRDefault="002D25EA" w:rsidP="00D9409F">
            <w:r>
              <w:rPr>
                <w:sz w:val="18"/>
                <w:szCs w:val="18"/>
              </w:rPr>
              <w:t>A new version (v2) is published alongside v1; consumers move when they are ready</w:t>
            </w:r>
          </w:p>
        </w:tc>
      </w:tr>
    </w:tbl>
    <w:p w14:paraId="4682A869" w14:textId="77777777" w:rsidR="002D25EA" w:rsidRDefault="002D25EA" w:rsidP="002D25EA">
      <w:pPr>
        <w:spacing w:after="140"/>
      </w:pPr>
    </w:p>
    <w:p w14:paraId="1D83AE05" w14:textId="77777777" w:rsidR="002D25EA" w:rsidRDefault="002D25EA" w:rsidP="002D25EA">
      <w:pPr>
        <w:spacing w:after="140"/>
      </w:pPr>
      <w:r>
        <w:t>Versions are expressed in the URL path (for example /api/claims/v1/ and /api/claims/v2/), which is the clearest scheme for partners to read and the easiest to route on at the gateway. APIM also supports header-based and query-string versioning; path-based is the house standard here, with the others available only where a specific partner integration requires them.</w:t>
      </w:r>
    </w:p>
    <w:p w14:paraId="5FB7C28B" w14:textId="77777777" w:rsidR="002D25EA" w:rsidRDefault="002D25EA" w:rsidP="002D25EA">
      <w:pPr>
        <w:spacing w:after="140"/>
      </w:pPr>
      <w:r>
        <w:t>The table below sets out how each kind of change is handled and what the consumer experiences.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3AFE3548" w14:textId="77777777" w:rsidTr="00D9409F">
        <w:trPr>
          <w:tblHeader/>
        </w:trPr>
        <w:tc>
          <w:tcPr>
            <w:tcW w:w="3100" w:type="dxa"/>
            <w:shd w:val="clear" w:color="auto" w:fill="1E2761"/>
            <w:tcMar>
              <w:top w:w="70" w:type="dxa"/>
              <w:left w:w="100" w:type="dxa"/>
              <w:bottom w:w="70" w:type="dxa"/>
              <w:right w:w="100" w:type="dxa"/>
            </w:tcMar>
            <w:vAlign w:val="center"/>
          </w:tcPr>
          <w:p w14:paraId="27AF2856" w14:textId="77777777" w:rsidR="002D25EA" w:rsidRDefault="002D25EA" w:rsidP="00D9409F">
            <w:r>
              <w:rPr>
                <w:b/>
                <w:bCs/>
                <w:color w:val="FFFFFF"/>
                <w:sz w:val="18"/>
                <w:szCs w:val="18"/>
              </w:rPr>
              <w:t>Change type</w:t>
            </w:r>
          </w:p>
        </w:tc>
        <w:tc>
          <w:tcPr>
            <w:tcW w:w="3100" w:type="dxa"/>
            <w:shd w:val="clear" w:color="auto" w:fill="1E2761"/>
            <w:tcMar>
              <w:top w:w="70" w:type="dxa"/>
              <w:left w:w="100" w:type="dxa"/>
              <w:bottom w:w="70" w:type="dxa"/>
              <w:right w:w="100" w:type="dxa"/>
            </w:tcMar>
            <w:vAlign w:val="center"/>
          </w:tcPr>
          <w:p w14:paraId="05AB3CEB" w14:textId="77777777" w:rsidR="002D25EA" w:rsidRDefault="002D25EA" w:rsidP="00D9409F">
            <w:r>
              <w:rPr>
                <w:b/>
                <w:bCs/>
                <w:color w:val="FFFFFF"/>
                <w:sz w:val="18"/>
                <w:szCs w:val="18"/>
              </w:rPr>
              <w:t>Versioning approach</w:t>
            </w:r>
          </w:p>
        </w:tc>
        <w:tc>
          <w:tcPr>
            <w:tcW w:w="3100" w:type="dxa"/>
            <w:shd w:val="clear" w:color="auto" w:fill="1E2761"/>
            <w:tcMar>
              <w:top w:w="70" w:type="dxa"/>
              <w:left w:w="100" w:type="dxa"/>
              <w:bottom w:w="70" w:type="dxa"/>
              <w:right w:w="100" w:type="dxa"/>
            </w:tcMar>
            <w:vAlign w:val="center"/>
          </w:tcPr>
          <w:p w14:paraId="154CB666" w14:textId="77777777" w:rsidR="002D25EA" w:rsidRDefault="002D25EA" w:rsidP="00D9409F">
            <w:r>
              <w:rPr>
                <w:b/>
                <w:bCs/>
                <w:color w:val="FFFFFF"/>
                <w:sz w:val="18"/>
                <w:szCs w:val="18"/>
              </w:rPr>
              <w:t>Consumer impact</w:t>
            </w:r>
          </w:p>
        </w:tc>
      </w:tr>
      <w:tr w:rsidR="002D25EA" w14:paraId="19C1068A" w14:textId="77777777" w:rsidTr="00D9409F">
        <w:tc>
          <w:tcPr>
            <w:tcW w:w="3100" w:type="dxa"/>
            <w:tcMar>
              <w:top w:w="70" w:type="dxa"/>
              <w:left w:w="100" w:type="dxa"/>
              <w:bottom w:w="70" w:type="dxa"/>
              <w:right w:w="100" w:type="dxa"/>
            </w:tcMar>
            <w:vAlign w:val="center"/>
          </w:tcPr>
          <w:p w14:paraId="454ED6E9" w14:textId="77777777" w:rsidR="002D25EA" w:rsidRDefault="002D25EA" w:rsidP="00D9409F">
            <w:r>
              <w:rPr>
                <w:sz w:val="18"/>
                <w:szCs w:val="18"/>
              </w:rPr>
              <w:t>Breaking change</w:t>
            </w:r>
          </w:p>
        </w:tc>
        <w:tc>
          <w:tcPr>
            <w:tcW w:w="3100" w:type="dxa"/>
            <w:tcMar>
              <w:top w:w="70" w:type="dxa"/>
              <w:left w:w="100" w:type="dxa"/>
              <w:bottom w:w="70" w:type="dxa"/>
              <w:right w:w="100" w:type="dxa"/>
            </w:tcMar>
            <w:vAlign w:val="center"/>
          </w:tcPr>
          <w:p w14:paraId="7C97749E" w14:textId="77777777" w:rsidR="002D25EA" w:rsidRDefault="002D25EA" w:rsidP="00D9409F">
            <w:r>
              <w:rPr>
                <w:sz w:val="18"/>
                <w:szCs w:val="18"/>
              </w:rPr>
              <w:t>New major version, for example /v2/, published alongside /v1/</w:t>
            </w:r>
          </w:p>
        </w:tc>
        <w:tc>
          <w:tcPr>
            <w:tcW w:w="3100" w:type="dxa"/>
            <w:tcMar>
              <w:top w:w="70" w:type="dxa"/>
              <w:left w:w="100" w:type="dxa"/>
              <w:bottom w:w="70" w:type="dxa"/>
              <w:right w:w="100" w:type="dxa"/>
            </w:tcMar>
            <w:vAlign w:val="center"/>
          </w:tcPr>
          <w:p w14:paraId="5961D8A5" w14:textId="77777777" w:rsidR="002D25EA" w:rsidRDefault="002D25EA" w:rsidP="00D9409F">
            <w:r>
              <w:rPr>
                <w:sz w:val="18"/>
                <w:szCs w:val="18"/>
              </w:rPr>
              <w:t>None until the consumer opts in</w:t>
            </w:r>
          </w:p>
        </w:tc>
      </w:tr>
      <w:tr w:rsidR="002D25EA" w14:paraId="1FB18127" w14:textId="77777777" w:rsidTr="00D9409F">
        <w:tc>
          <w:tcPr>
            <w:tcW w:w="3100" w:type="dxa"/>
            <w:tcMar>
              <w:top w:w="70" w:type="dxa"/>
              <w:left w:w="100" w:type="dxa"/>
              <w:bottom w:w="70" w:type="dxa"/>
              <w:right w:w="100" w:type="dxa"/>
            </w:tcMar>
            <w:vAlign w:val="center"/>
          </w:tcPr>
          <w:p w14:paraId="1D249262" w14:textId="77777777" w:rsidR="002D25EA" w:rsidRDefault="002D25EA" w:rsidP="00D9409F">
            <w:r>
              <w:rPr>
                <w:sz w:val="18"/>
                <w:szCs w:val="18"/>
              </w:rPr>
              <w:t>Non-breaking addition</w:t>
            </w:r>
          </w:p>
        </w:tc>
        <w:tc>
          <w:tcPr>
            <w:tcW w:w="3100" w:type="dxa"/>
            <w:tcMar>
              <w:top w:w="70" w:type="dxa"/>
              <w:left w:w="100" w:type="dxa"/>
              <w:bottom w:w="70" w:type="dxa"/>
              <w:right w:w="100" w:type="dxa"/>
            </w:tcMar>
            <w:vAlign w:val="center"/>
          </w:tcPr>
          <w:p w14:paraId="1F108090" w14:textId="77777777" w:rsidR="002D25EA" w:rsidRDefault="002D25EA" w:rsidP="00D9409F">
            <w:r>
              <w:rPr>
                <w:sz w:val="18"/>
                <w:szCs w:val="18"/>
              </w:rPr>
              <w:t>Same version, new revision, additive fields only</w:t>
            </w:r>
          </w:p>
        </w:tc>
        <w:tc>
          <w:tcPr>
            <w:tcW w:w="3100" w:type="dxa"/>
            <w:tcMar>
              <w:top w:w="70" w:type="dxa"/>
              <w:left w:w="100" w:type="dxa"/>
              <w:bottom w:w="70" w:type="dxa"/>
              <w:right w:w="100" w:type="dxa"/>
            </w:tcMar>
            <w:vAlign w:val="center"/>
          </w:tcPr>
          <w:p w14:paraId="5720C850" w14:textId="77777777" w:rsidR="002D25EA" w:rsidRDefault="002D25EA" w:rsidP="00D9409F">
            <w:r>
              <w:rPr>
                <w:sz w:val="18"/>
                <w:szCs w:val="18"/>
              </w:rPr>
              <w:t>Zero impact, backward compatible</w:t>
            </w:r>
          </w:p>
        </w:tc>
      </w:tr>
      <w:tr w:rsidR="002D25EA" w14:paraId="2987F73B" w14:textId="77777777" w:rsidTr="00D9409F">
        <w:tc>
          <w:tcPr>
            <w:tcW w:w="3100" w:type="dxa"/>
            <w:tcMar>
              <w:top w:w="70" w:type="dxa"/>
              <w:left w:w="100" w:type="dxa"/>
              <w:bottom w:w="70" w:type="dxa"/>
              <w:right w:w="100" w:type="dxa"/>
            </w:tcMar>
            <w:vAlign w:val="center"/>
          </w:tcPr>
          <w:p w14:paraId="77B471B5" w14:textId="77777777" w:rsidR="002D25EA" w:rsidRDefault="002D25EA" w:rsidP="00D9409F">
            <w:r>
              <w:rPr>
                <w:sz w:val="18"/>
                <w:szCs w:val="18"/>
              </w:rPr>
              <w:t>Deprecated version</w:t>
            </w:r>
          </w:p>
        </w:tc>
        <w:tc>
          <w:tcPr>
            <w:tcW w:w="3100" w:type="dxa"/>
            <w:tcMar>
              <w:top w:w="70" w:type="dxa"/>
              <w:left w:w="100" w:type="dxa"/>
              <w:bottom w:w="70" w:type="dxa"/>
              <w:right w:w="100" w:type="dxa"/>
            </w:tcMar>
            <w:vAlign w:val="center"/>
          </w:tcPr>
          <w:p w14:paraId="607B23F7" w14:textId="77777777" w:rsidR="002D25EA" w:rsidRDefault="002D25EA" w:rsidP="00D9409F">
            <w:r>
              <w:rPr>
                <w:sz w:val="18"/>
                <w:szCs w:val="18"/>
              </w:rPr>
              <w:t>Marked deprecated in the Developer Portal; a Sunset response header advertises the retirement date</w:t>
            </w:r>
          </w:p>
        </w:tc>
        <w:tc>
          <w:tcPr>
            <w:tcW w:w="3100" w:type="dxa"/>
            <w:tcMar>
              <w:top w:w="70" w:type="dxa"/>
              <w:left w:w="100" w:type="dxa"/>
              <w:bottom w:w="70" w:type="dxa"/>
              <w:right w:w="100" w:type="dxa"/>
            </w:tcMar>
            <w:vAlign w:val="center"/>
          </w:tcPr>
          <w:p w14:paraId="6F1F9444" w14:textId="77777777" w:rsidR="002D25EA" w:rsidRDefault="002D25EA" w:rsidP="00D9409F">
            <w:r>
              <w:rPr>
                <w:sz w:val="18"/>
                <w:szCs w:val="18"/>
              </w:rPr>
              <w:t>90-day minimum notice period</w:t>
            </w:r>
          </w:p>
        </w:tc>
      </w:tr>
      <w:tr w:rsidR="002D25EA" w14:paraId="60EF4D06" w14:textId="77777777" w:rsidTr="00D9409F">
        <w:tc>
          <w:tcPr>
            <w:tcW w:w="3100" w:type="dxa"/>
            <w:tcMar>
              <w:top w:w="70" w:type="dxa"/>
              <w:left w:w="100" w:type="dxa"/>
              <w:bottom w:w="70" w:type="dxa"/>
              <w:right w:w="100" w:type="dxa"/>
            </w:tcMar>
            <w:vAlign w:val="center"/>
          </w:tcPr>
          <w:p w14:paraId="60245618" w14:textId="77777777" w:rsidR="002D25EA" w:rsidRDefault="002D25EA" w:rsidP="00D9409F">
            <w:r>
              <w:rPr>
                <w:sz w:val="18"/>
                <w:szCs w:val="18"/>
              </w:rPr>
              <w:t>Retired version</w:t>
            </w:r>
          </w:p>
        </w:tc>
        <w:tc>
          <w:tcPr>
            <w:tcW w:w="3100" w:type="dxa"/>
            <w:tcMar>
              <w:top w:w="70" w:type="dxa"/>
              <w:left w:w="100" w:type="dxa"/>
              <w:bottom w:w="70" w:type="dxa"/>
              <w:right w:w="100" w:type="dxa"/>
            </w:tcMar>
            <w:vAlign w:val="center"/>
          </w:tcPr>
          <w:p w14:paraId="6D07B161" w14:textId="77777777" w:rsidR="002D25EA" w:rsidRDefault="002D25EA" w:rsidP="00D9409F">
            <w:r>
              <w:rPr>
                <w:sz w:val="18"/>
                <w:szCs w:val="18"/>
              </w:rPr>
              <w:t>Removed after the sunset window; the gateway returns 410 Gone</w:t>
            </w:r>
          </w:p>
        </w:tc>
        <w:tc>
          <w:tcPr>
            <w:tcW w:w="3100" w:type="dxa"/>
            <w:tcMar>
              <w:top w:w="70" w:type="dxa"/>
              <w:left w:w="100" w:type="dxa"/>
              <w:bottom w:w="70" w:type="dxa"/>
              <w:right w:w="100" w:type="dxa"/>
            </w:tcMar>
            <w:vAlign w:val="center"/>
          </w:tcPr>
          <w:p w14:paraId="5B2CCE32" w14:textId="77777777" w:rsidR="002D25EA" w:rsidRDefault="002D25EA" w:rsidP="00D9409F">
            <w:r>
              <w:rPr>
                <w:sz w:val="18"/>
                <w:szCs w:val="18"/>
              </w:rPr>
              <w:t>Enforced by APIM policy, never a silent removal</w:t>
            </w:r>
          </w:p>
        </w:tc>
      </w:tr>
    </w:tbl>
    <w:p w14:paraId="576AB87E" w14:textId="77777777" w:rsidR="002D25EA" w:rsidRDefault="002D25EA" w:rsidP="002D25EA">
      <w:pPr>
        <w:spacing w:after="140"/>
      </w:pPr>
    </w:p>
    <w:p w14:paraId="3434A765" w14:textId="77777777" w:rsidR="002D25EA" w:rsidRDefault="002D25EA" w:rsidP="002D25EA">
      <w:pPr>
        <w:spacing w:after="140"/>
      </w:pPr>
      <w:r>
        <w:t>The diagram below shows how a version transition plays out over time. A new version can be published as a preview while the current version is still live, the current version then enters a deprecation window of at least 90 days during which a Sunset header warns callers, and only after that window and confirmed consumer migration is it retired.</w:t>
      </w:r>
    </w:p>
    <w:p w14:paraId="63069D90" w14:textId="77777777" w:rsidR="002D25EA" w:rsidRDefault="002D25EA" w:rsidP="002D25EA">
      <w:pPr>
        <w:spacing w:before="80" w:after="120"/>
        <w:jc w:val="center"/>
      </w:pPr>
      <w:r>
        <w:rPr>
          <w:noProof/>
        </w:rPr>
        <w:drawing>
          <wp:inline distT="0" distB="0" distL="0" distR="0" wp14:anchorId="4F76DF90" wp14:editId="1E6B7E31">
            <wp:extent cx="5486400" cy="1495425"/>
            <wp:effectExtent l="0" t="0" r="0" b="0"/>
            <wp:docPr id="277033783" name="Picture 27703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1495425"/>
                    </a:xfrm>
                    <a:prstGeom prst="rect">
                      <a:avLst/>
                    </a:prstGeom>
                  </pic:spPr>
                </pic:pic>
              </a:graphicData>
            </a:graphic>
          </wp:inline>
        </w:drawing>
      </w:r>
    </w:p>
    <w:p w14:paraId="0FD78F48" w14:textId="77777777" w:rsidR="002D25EA" w:rsidRDefault="002D25EA" w:rsidP="002D25EA">
      <w:pPr>
        <w:spacing w:after="180"/>
        <w:jc w:val="center"/>
      </w:pPr>
      <w:r>
        <w:rPr>
          <w:i/>
          <w:iCs/>
          <w:color w:val="666666"/>
          <w:sz w:val="18"/>
          <w:szCs w:val="18"/>
        </w:rPr>
        <w:t>Figure 23: API version lifecycle over time</w:t>
      </w:r>
    </w:p>
    <w:p w14:paraId="5BA07B32" w14:textId="77777777" w:rsidR="002D25EA" w:rsidRDefault="002D25EA" w:rsidP="002D25EA">
      <w:pPr>
        <w:spacing w:after="140"/>
      </w:pPr>
      <w:r>
        <w:t>Deprecation is signalled in-band, not just in documentation: while a version is deprecated the gateway attaches a standard Sunset header (and, where useful, a Deprecation header) to every response, so a consumer's own tooling can flag the coming retirement automatically. This is what makes 'never a silent removal' enforceable rather than a promise.</w:t>
      </w:r>
    </w:p>
    <w:p w14:paraId="36A3164A" w14:textId="77777777" w:rsidR="002D25EA" w:rsidRPr="00614651" w:rsidRDefault="002D25EA" w:rsidP="00614651">
      <w:pPr>
        <w:rPr>
          <w:b/>
          <w:bCs/>
        </w:rPr>
      </w:pPr>
      <w:r>
        <w:rPr>
          <w:b/>
          <w:bCs/>
        </w:rPr>
        <w:t>Maintaining the lifecycle: deprecation, Sunset and retirement</w:t>
      </w:r>
    </w:p>
    <w:p w14:paraId="299AE8A8" w14:textId="77777777" w:rsidR="002D25EA" w:rsidRDefault="002D25EA" w:rsidP="002D25EA">
      <w:pPr>
        <w:spacing w:after="140"/>
      </w:pPr>
      <w:r>
        <w:t>Every published API is treated as having a full lifecycle, not just a launch. The mechanics below make each transition explicit and machine-readable, so consumers are never surprised and retirement is always a planned event.</w:t>
      </w:r>
    </w:p>
    <w:p w14:paraId="36DC2B5B" w14:textId="77777777" w:rsidR="002D25EA" w:rsidRDefault="002D25EA" w:rsidP="002D25EA">
      <w:pPr>
        <w:spacing w:after="140"/>
      </w:pPr>
      <w:r>
        <w:t>Publish and run. A new version is published under an explicit path segment (/v1/, /v2/) and made visible in the Developer Portal under the product that governs it. While a version is current it is monitored through the same observability stack (section 13), and non-breaking changes are shipped as revisions against the same version so consumers keep calling the same URL.</w:t>
      </w:r>
    </w:p>
    <w:p w14:paraId="37780FFC" w14:textId="77777777" w:rsidR="002D25EA" w:rsidRDefault="002D25EA" w:rsidP="002D25EA">
      <w:pPr>
        <w:spacing w:after="140"/>
      </w:pPr>
      <w:r>
        <w:t xml:space="preserve">Deprecate. When a breaking change requires a new version, the outgoing version enters a deprecation window of at least 90 days. During this window the gateway attaches a standard Sunset HTTP header (RFC 8594) to every response, giving the exact date the version will stop being served, and, where useful, a Deprecation header marking it as deprecated. Because these are response headers rather than documentation, a consumer’s own tooling can detect the coming retirement </w:t>
        <w:lastRenderedPageBreak/>
        <w:t>automatically. A policy fragment applied at the version scope adds the headers, so no per-API work is needed.</w:t>
      </w:r>
    </w:p>
    <w:p w14:paraId="140A0CCB" w14:textId="77777777" w:rsidR="002D25EA" w:rsidRDefault="002D25EA" w:rsidP="002D25EA">
      <w:pPr>
        <w:spacing w:after="140"/>
      </w:pPr>
      <w:r>
        <w:t>Notify and track. Deprecation is announced in the portal and, for external products, to the named technical contact on each subscription. The platform team tracks which subscriptions are still calling the deprecated version through per-consumer telemetry, so migration can be confirmed by data rather than assumed.</w:t>
      </w:r>
    </w:p>
    <w:p w14:paraId="60997DD8" w14:textId="77777777" w:rsidR="002D25EA" w:rsidRDefault="002D25EA" w:rsidP="002D25EA">
      <w:pPr>
        <w:spacing w:after="140"/>
      </w:pPr>
      <w:r>
        <w:t>Retire. The version is removed only after the window has elapsed and telemetry confirms consumers have migrated. Retirement is a deliberate, logged step: never a silent removal: and the version’s routes return a clear gone/redirect response thereafter. All of this is driven from Git through APIOps, so a retired version is removed as reviewed code, not by a manual portal edit.</w:t>
      </w:r>
    </w:p>
    <w:p w14:paraId="7B7DA6D9" w14:textId="77777777" w:rsidR="002D25EA" w:rsidRDefault="002D25EA" w:rsidP="002D25EA">
      <w:pPr>
        <w:spacing w:after="140"/>
      </w:pPr>
      <w:r>
        <w:t>Operational ownership of deprecation. The headers and window make deprecation enforceable, but a person still owns the conversation. For every deprecation, the owning Domain team is responsible for the migration relationship with affected consumers, and the Platform team is accountable for the process being followed. For external partners this means: identify affected subscriptions from telemetry, contact the named technical and business contacts on each subscription, agree a migration date within the window, track progress, and escalate to the partner’s relationship owner if a consumer is not moving with the deadline approaching. Retirement proceeds only when telemetry confirms migration; if a critical partner genuinely cannot meet the date, an extension is a logged, approved decision, not a slipped deadline.</w:t>
      </w:r>
    </w:p>
    <w:p w14:paraId="1E76DBCE" w14:textId="77777777" w:rsidR="002D25EA" w:rsidRDefault="002D25EA" w:rsidP="002D25EA">
      <w:pPr>
        <w:spacing w:after="140"/>
      </w:pPr>
      <w:r>
        <w:t>The headers attached during the deprecation window: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600"/>
      </w:tblGrid>
      <w:tr w:rsidR="002D25EA" w14:paraId="1361A639" w14:textId="77777777" w:rsidTr="00D9409F">
        <w:trPr>
          <w:tblHeader/>
        </w:trPr>
        <w:tc>
          <w:tcPr>
            <w:tcW w:w="1500" w:type="dxa"/>
            <w:shd w:val="clear" w:color="auto" w:fill="1E2761"/>
            <w:tcMar>
              <w:top w:w="70" w:type="dxa"/>
              <w:left w:w="100" w:type="dxa"/>
              <w:bottom w:w="70" w:type="dxa"/>
              <w:right w:w="100" w:type="dxa"/>
            </w:tcMar>
          </w:tcPr>
          <w:p w14:paraId="50DB22CF" w14:textId="77777777" w:rsidR="002D25EA" w:rsidRDefault="002D25EA" w:rsidP="00D9409F">
            <w:r>
              <w:rPr>
                <w:b/>
                <w:bCs/>
                <w:color w:val="FFFFFF"/>
                <w:sz w:val="18"/>
                <w:szCs w:val="18"/>
              </w:rPr>
              <w:t>Header</w:t>
            </w:r>
          </w:p>
        </w:tc>
        <w:tc>
          <w:tcPr>
            <w:tcW w:w="4200" w:type="dxa"/>
            <w:shd w:val="clear" w:color="auto" w:fill="1E2761"/>
            <w:tcMar>
              <w:top w:w="70" w:type="dxa"/>
              <w:left w:w="100" w:type="dxa"/>
              <w:bottom w:w="70" w:type="dxa"/>
              <w:right w:w="100" w:type="dxa"/>
            </w:tcMar>
          </w:tcPr>
          <w:p w14:paraId="01D34927" w14:textId="77777777" w:rsidR="002D25EA" w:rsidRDefault="002D25EA" w:rsidP="00D9409F">
            <w:r>
              <w:rPr>
                <w:b/>
                <w:bCs/>
                <w:color w:val="FFFFFF"/>
                <w:sz w:val="18"/>
                <w:szCs w:val="18"/>
              </w:rPr>
              <w:t>Example value</w:t>
            </w:r>
          </w:p>
        </w:tc>
        <w:tc>
          <w:tcPr>
            <w:tcW w:w="3600" w:type="dxa"/>
            <w:shd w:val="clear" w:color="auto" w:fill="1E2761"/>
            <w:tcMar>
              <w:top w:w="70" w:type="dxa"/>
              <w:left w:w="100" w:type="dxa"/>
              <w:bottom w:w="70" w:type="dxa"/>
              <w:right w:w="100" w:type="dxa"/>
            </w:tcMar>
          </w:tcPr>
          <w:p w14:paraId="21AA0A80" w14:textId="77777777" w:rsidR="002D25EA" w:rsidRDefault="002D25EA" w:rsidP="00D9409F">
            <w:r>
              <w:rPr>
                <w:b/>
                <w:bCs/>
                <w:color w:val="FFFFFF"/>
                <w:sz w:val="18"/>
                <w:szCs w:val="18"/>
              </w:rPr>
              <w:t>What it tells the consumer</w:t>
            </w:r>
          </w:p>
        </w:tc>
      </w:tr>
      <w:tr w:rsidR="002D25EA" w14:paraId="64EF49AE" w14:textId="77777777" w:rsidTr="00D9409F">
        <w:tc>
          <w:tcPr>
            <w:tcW w:w="1500" w:type="dxa"/>
            <w:tcMar>
              <w:top w:w="70" w:type="dxa"/>
              <w:left w:w="100" w:type="dxa"/>
              <w:bottom w:w="70" w:type="dxa"/>
              <w:right w:w="100" w:type="dxa"/>
            </w:tcMar>
          </w:tcPr>
          <w:p w14:paraId="24329B65" w14:textId="77777777" w:rsidR="002D25EA" w:rsidRDefault="002D25EA" w:rsidP="00D9409F">
            <w:r>
              <w:rPr>
                <w:sz w:val="18"/>
                <w:szCs w:val="18"/>
              </w:rPr>
              <w:t>Sunset</w:t>
            </w:r>
          </w:p>
        </w:tc>
        <w:tc>
          <w:tcPr>
            <w:tcW w:w="4200" w:type="dxa"/>
            <w:tcMar>
              <w:top w:w="70" w:type="dxa"/>
              <w:left w:w="100" w:type="dxa"/>
              <w:bottom w:w="70" w:type="dxa"/>
              <w:right w:w="100" w:type="dxa"/>
            </w:tcMar>
          </w:tcPr>
          <w:p w14:paraId="44803E7E" w14:textId="77777777" w:rsidR="002D25EA" w:rsidRDefault="002D25EA" w:rsidP="00D9409F">
            <w:r>
              <w:rPr>
                <w:sz w:val="18"/>
                <w:szCs w:val="18"/>
              </w:rPr>
              <w:t>Sunset: Sat, 30 Nov 2026 23:59:59 GMT</w:t>
            </w:r>
          </w:p>
        </w:tc>
        <w:tc>
          <w:tcPr>
            <w:tcW w:w="3600" w:type="dxa"/>
            <w:tcMar>
              <w:top w:w="70" w:type="dxa"/>
              <w:left w:w="100" w:type="dxa"/>
              <w:bottom w:w="70" w:type="dxa"/>
              <w:right w:w="100" w:type="dxa"/>
            </w:tcMar>
          </w:tcPr>
          <w:p w14:paraId="06EA4896" w14:textId="77777777" w:rsidR="002D25EA" w:rsidRDefault="002D25EA" w:rsidP="00D9409F">
            <w:r>
              <w:rPr>
                <w:sz w:val="18"/>
                <w:szCs w:val="18"/>
              </w:rPr>
              <w:t>States the exact date/time the version stops being served (RFC 8594)</w:t>
            </w:r>
          </w:p>
        </w:tc>
      </w:tr>
      <w:tr w:rsidR="002D25EA" w14:paraId="0F464DA8" w14:textId="77777777" w:rsidTr="00D9409F">
        <w:tc>
          <w:tcPr>
            <w:tcW w:w="1500" w:type="dxa"/>
            <w:tcMar>
              <w:top w:w="70" w:type="dxa"/>
              <w:left w:w="100" w:type="dxa"/>
              <w:bottom w:w="70" w:type="dxa"/>
              <w:right w:w="100" w:type="dxa"/>
            </w:tcMar>
          </w:tcPr>
          <w:p w14:paraId="4AEA71FA" w14:textId="77777777" w:rsidR="002D25EA" w:rsidRDefault="002D25EA" w:rsidP="00D9409F">
            <w:r>
              <w:rPr>
                <w:sz w:val="18"/>
                <w:szCs w:val="18"/>
              </w:rPr>
              <w:t>Deprecation</w:t>
            </w:r>
          </w:p>
        </w:tc>
        <w:tc>
          <w:tcPr>
            <w:tcW w:w="4200" w:type="dxa"/>
            <w:tcMar>
              <w:top w:w="70" w:type="dxa"/>
              <w:left w:w="100" w:type="dxa"/>
              <w:bottom w:w="70" w:type="dxa"/>
              <w:right w:w="100" w:type="dxa"/>
            </w:tcMar>
          </w:tcPr>
          <w:p w14:paraId="1F234E87" w14:textId="77777777" w:rsidR="002D25EA" w:rsidRDefault="002D25EA" w:rsidP="00D9409F">
            <w:r>
              <w:rPr>
                <w:sz w:val="18"/>
                <w:szCs w:val="18"/>
              </w:rPr>
              <w:t>Deprecation: true</w:t>
            </w:r>
          </w:p>
        </w:tc>
        <w:tc>
          <w:tcPr>
            <w:tcW w:w="3600" w:type="dxa"/>
            <w:tcMar>
              <w:top w:w="70" w:type="dxa"/>
              <w:left w:w="100" w:type="dxa"/>
              <w:bottom w:w="70" w:type="dxa"/>
              <w:right w:w="100" w:type="dxa"/>
            </w:tcMar>
          </w:tcPr>
          <w:p w14:paraId="28884831" w14:textId="77777777" w:rsidR="002D25EA" w:rsidRDefault="002D25EA" w:rsidP="00D9409F">
            <w:r>
              <w:rPr>
                <w:sz w:val="18"/>
                <w:szCs w:val="18"/>
              </w:rPr>
              <w:t>Marks the version as deprecated so tooling can flag it</w:t>
            </w:r>
          </w:p>
        </w:tc>
      </w:tr>
      <w:tr w:rsidR="002D25EA" w14:paraId="28CDDE8D" w14:textId="77777777" w:rsidTr="00D9409F">
        <w:tc>
          <w:tcPr>
            <w:tcW w:w="1500" w:type="dxa"/>
            <w:tcMar>
              <w:top w:w="70" w:type="dxa"/>
              <w:left w:w="100" w:type="dxa"/>
              <w:bottom w:w="70" w:type="dxa"/>
              <w:right w:w="100" w:type="dxa"/>
            </w:tcMar>
          </w:tcPr>
          <w:p w14:paraId="171DCEF2" w14:textId="77777777" w:rsidR="002D25EA" w:rsidRDefault="002D25EA" w:rsidP="00D9409F">
            <w:r>
              <w:rPr>
                <w:sz w:val="18"/>
                <w:szCs w:val="18"/>
              </w:rPr>
              <w:t>Link (optional)</w:t>
            </w:r>
          </w:p>
        </w:tc>
        <w:tc>
          <w:tcPr>
            <w:tcW w:w="4200" w:type="dxa"/>
            <w:tcMar>
              <w:top w:w="70" w:type="dxa"/>
              <w:left w:w="100" w:type="dxa"/>
              <w:bottom w:w="70" w:type="dxa"/>
              <w:right w:w="100" w:type="dxa"/>
            </w:tcMar>
          </w:tcPr>
          <w:p w14:paraId="6D98D422" w14:textId="77777777" w:rsidR="002D25EA" w:rsidRDefault="002D25EA" w:rsidP="00D9409F">
            <w:r>
              <w:rPr>
                <w:sz w:val="18"/>
                <w:szCs w:val="18"/>
              </w:rPr>
              <w:t>Link: &lt;https://developer.organization.example/…/v2&gt;; rel="successor-version"</w:t>
            </w:r>
          </w:p>
        </w:tc>
        <w:tc>
          <w:tcPr>
            <w:tcW w:w="3600" w:type="dxa"/>
            <w:tcMar>
              <w:top w:w="70" w:type="dxa"/>
              <w:left w:w="100" w:type="dxa"/>
              <w:bottom w:w="70" w:type="dxa"/>
              <w:right w:w="100" w:type="dxa"/>
            </w:tcMar>
          </w:tcPr>
          <w:p w14:paraId="1B0EFB5D" w14:textId="77777777" w:rsidR="002D25EA" w:rsidRDefault="002D25EA" w:rsidP="00D9409F">
            <w:r>
              <w:rPr>
                <w:sz w:val="18"/>
                <w:szCs w:val="18"/>
              </w:rPr>
              <w:t>Points callers at the version they should move to</w:t>
            </w:r>
          </w:p>
        </w:tc>
      </w:tr>
    </w:tbl>
    <w:p w14:paraId="7CDF90CD" w14:textId="77777777" w:rsidR="002D25EA" w:rsidRDefault="002D25EA" w:rsidP="002D25EA">
      <w:pPr>
        <w:spacing w:after="60"/>
      </w:pPr>
    </w:p>
    <w:p w14:paraId="27C2F08D"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29" w:name="_Toc240539753"/>
      <w:r>
        <w:rPr>
          <w:rFonts w:asciiTheme="minorHAnsi" w:eastAsia="Times New Roman" w:hAnsiTheme="minorHAnsi" w:cs="Times New Roman"/>
          <w:b w:val="0"/>
          <w:color w:val="132040" w:themeColor="accent1" w:themeShade="BF"/>
          <w:sz w:val="24"/>
          <w:szCs w:val="26"/>
          <w:lang w:eastAsia="en-US"/>
        </w:rPr>
        <w:t>Observability and Operations</w:t>
      </w:r>
      <w:bookmarkEnd w:id="29"/>
    </w:p>
    <w:p w14:paraId="7C93103C" w14:textId="77777777" w:rsidR="002D25EA" w:rsidRDefault="002D25EA" w:rsidP="002D25EA">
      <w:pPr>
        <w:spacing w:after="140"/>
      </w:pPr>
      <w:r>
        <w:t>Every gateway, policy, and backend call feeds into a single Azure Monitor view, so there are no blind spots between environments. Application Insights carries end-to-end tracing; Log Analytics holds the raw diagnostic logs; dashboards give operations, integration, security, and executive audiences the view each of them needs.</w:t>
      </w:r>
    </w:p>
    <w:p w14:paraId="30E2C4C9" w14:textId="77777777" w:rsidR="002D25EA" w:rsidRDefault="002D25EA" w:rsidP="002D25EA">
      <w:pPr>
        <w:spacing w:before="80" w:after="120"/>
        <w:jc w:val="center"/>
      </w:pPr>
      <w:r>
        <w:rPr>
          <w:noProof/>
        </w:rPr>
        <w:drawing>
          <wp:inline distT="0" distB="0" distL="0" distR="0" wp14:anchorId="1CD4E057" wp14:editId="2DAF2879">
            <wp:extent cx="5486400" cy="1828800"/>
            <wp:effectExtent l="0" t="0" r="0" b="0"/>
            <wp:docPr id="1609810852" name="Picture 160981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1828800"/>
                    </a:xfrm>
                    <a:prstGeom prst="rect">
                      <a:avLst/>
                    </a:prstGeom>
                  </pic:spPr>
                </pic:pic>
              </a:graphicData>
            </a:graphic>
          </wp:inline>
        </w:drawing>
      </w:r>
    </w:p>
    <w:p w14:paraId="06A41795" w14:textId="77777777" w:rsidR="002D25EA" w:rsidRDefault="002D25EA" w:rsidP="002D25EA">
      <w:pPr>
        <w:spacing w:after="180"/>
        <w:jc w:val="center"/>
      </w:pPr>
      <w:r>
        <w:rPr>
          <w:i/>
          <w:iCs/>
          <w:color w:val="666666"/>
          <w:sz w:val="18"/>
          <w:szCs w:val="18"/>
        </w:rPr>
        <w:t>Figure 24: Monitoring architecture</w:t>
      </w:r>
    </w:p>
    <w:p w14:paraId="60296A52" w14:textId="77777777" w:rsidR="002D25EA" w:rsidRDefault="002D25EA" w:rsidP="002D25EA">
      <w:pPr>
        <w:spacing w:after="140"/>
      </w:pPr>
      <w:r>
        <w:t xml:space="preserve">What is actually logged, and where it goes, matters as much as the diagram. Each source emits structured telemetry through APIM's diagnostic settings, every record carries the same correlation </w:t>
        <w:lastRenderedPageBreak/>
        <w:t>ID so a single request can be followed end to end, and each stream lands in the sink suited to its purpose.</w:t>
      </w:r>
    </w:p>
    <w:p w14:paraId="2FE0B8A9" w14:textId="77777777" w:rsidR="002D25EA" w:rsidRDefault="002D25EA" w:rsidP="002D25EA">
      <w:pPr>
        <w:spacing w:before="80" w:after="120"/>
        <w:jc w:val="center"/>
      </w:pPr>
      <w:r>
        <w:rPr>
          <w:noProof/>
        </w:rPr>
        <w:drawing>
          <wp:inline distT="0" distB="0" distL="0" distR="0" wp14:anchorId="33B06CA5" wp14:editId="1244C2BF">
            <wp:extent cx="5486400" cy="1476375"/>
            <wp:effectExtent l="0" t="0" r="0" b="0"/>
            <wp:docPr id="549546881" name="Picture 54954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1476375"/>
                    </a:xfrm>
                    <a:prstGeom prst="rect">
                      <a:avLst/>
                    </a:prstGeom>
                  </pic:spPr>
                </pic:pic>
              </a:graphicData>
            </a:graphic>
          </wp:inline>
        </w:drawing>
      </w:r>
    </w:p>
    <w:p w14:paraId="5B19024F" w14:textId="77777777" w:rsidR="002D25EA" w:rsidRDefault="002D25EA" w:rsidP="002D25EA">
      <w:pPr>
        <w:spacing w:after="180"/>
        <w:jc w:val="center"/>
      </w:pPr>
      <w:r>
        <w:rPr>
          <w:i/>
          <w:iCs/>
          <w:color w:val="666666"/>
          <w:sz w:val="18"/>
          <w:szCs w:val="18"/>
        </w:rPr>
        <w:t>Figure 25: What is logged and where it goes</w:t>
      </w:r>
    </w:p>
    <w:p w14:paraId="697A8583" w14:textId="77777777" w:rsidR="002D25EA" w:rsidRDefault="002D25EA" w:rsidP="002D25EA">
      <w:pPr>
        <w:spacing w:after="140"/>
      </w:pPr>
      <w:r>
        <w:t>The retention periods below are proposed starting points to be reconciled with the Organization’s actual logging and data-retention standard, not confirmed values; the 90-day figures in particular should be checked against the Organization’s SIEM and compliance retention requirements.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5691AC33" w14:textId="77777777" w:rsidTr="00D9409F">
        <w:trPr>
          <w:tblHeader/>
        </w:trPr>
        <w:tc>
          <w:tcPr>
            <w:tcW w:w="3100" w:type="dxa"/>
            <w:shd w:val="clear" w:color="auto" w:fill="1E2761"/>
            <w:tcMar>
              <w:top w:w="70" w:type="dxa"/>
              <w:left w:w="100" w:type="dxa"/>
              <w:bottom w:w="70" w:type="dxa"/>
              <w:right w:w="100" w:type="dxa"/>
            </w:tcMar>
            <w:vAlign w:val="center"/>
          </w:tcPr>
          <w:p w14:paraId="1C60D340" w14:textId="77777777" w:rsidR="002D25EA" w:rsidRDefault="002D25EA" w:rsidP="00D9409F">
            <w:r>
              <w:rPr>
                <w:b/>
                <w:bCs/>
                <w:color w:val="FFFFFF"/>
                <w:sz w:val="18"/>
                <w:szCs w:val="18"/>
              </w:rPr>
              <w:t>Telemetry</w:t>
            </w:r>
          </w:p>
        </w:tc>
        <w:tc>
          <w:tcPr>
            <w:tcW w:w="3100" w:type="dxa"/>
            <w:shd w:val="clear" w:color="auto" w:fill="1E2761"/>
            <w:tcMar>
              <w:top w:w="70" w:type="dxa"/>
              <w:left w:w="100" w:type="dxa"/>
              <w:bottom w:w="70" w:type="dxa"/>
              <w:right w:w="100" w:type="dxa"/>
            </w:tcMar>
            <w:vAlign w:val="center"/>
          </w:tcPr>
          <w:p w14:paraId="4994FDDD" w14:textId="77777777" w:rsidR="002D25EA" w:rsidRDefault="002D25EA" w:rsidP="00D9409F">
            <w:r>
              <w:rPr>
                <w:b/>
                <w:bCs/>
                <w:color w:val="FFFFFF"/>
                <w:sz w:val="18"/>
                <w:szCs w:val="18"/>
              </w:rPr>
              <w:t>Sink</w:t>
            </w:r>
          </w:p>
        </w:tc>
        <w:tc>
          <w:tcPr>
            <w:tcW w:w="3100" w:type="dxa"/>
            <w:shd w:val="clear" w:color="auto" w:fill="1E2761"/>
            <w:tcMar>
              <w:top w:w="70" w:type="dxa"/>
              <w:left w:w="100" w:type="dxa"/>
              <w:bottom w:w="70" w:type="dxa"/>
              <w:right w:w="100" w:type="dxa"/>
            </w:tcMar>
            <w:vAlign w:val="center"/>
          </w:tcPr>
          <w:p w14:paraId="73DBE94A" w14:textId="77777777" w:rsidR="002D25EA" w:rsidRDefault="002D25EA" w:rsidP="00D9409F">
            <w:r>
              <w:rPr>
                <w:b/>
                <w:bCs/>
                <w:color w:val="FFFFFF"/>
                <w:sz w:val="18"/>
                <w:szCs w:val="18"/>
              </w:rPr>
              <w:t>Retention (proposed)</w:t>
            </w:r>
          </w:p>
        </w:tc>
      </w:tr>
      <w:tr w:rsidR="002D25EA" w14:paraId="13D5ACA3" w14:textId="77777777" w:rsidTr="00D9409F">
        <w:tc>
          <w:tcPr>
            <w:tcW w:w="3100" w:type="dxa"/>
            <w:tcMar>
              <w:top w:w="70" w:type="dxa"/>
              <w:left w:w="100" w:type="dxa"/>
              <w:bottom w:w="70" w:type="dxa"/>
              <w:right w:w="100" w:type="dxa"/>
            </w:tcMar>
            <w:vAlign w:val="center"/>
          </w:tcPr>
          <w:p w14:paraId="2D880528" w14:textId="77777777" w:rsidR="002D25EA" w:rsidRDefault="002D25EA" w:rsidP="00D9409F">
            <w:r>
              <w:rPr>
                <w:sz w:val="18"/>
                <w:szCs w:val="18"/>
              </w:rPr>
              <w:t>Gateway request and response metadata</w:t>
            </w:r>
          </w:p>
        </w:tc>
        <w:tc>
          <w:tcPr>
            <w:tcW w:w="3100" w:type="dxa"/>
            <w:tcMar>
              <w:top w:w="70" w:type="dxa"/>
              <w:left w:w="100" w:type="dxa"/>
              <w:bottom w:w="70" w:type="dxa"/>
              <w:right w:w="100" w:type="dxa"/>
            </w:tcMar>
            <w:vAlign w:val="center"/>
          </w:tcPr>
          <w:p w14:paraId="563AA732" w14:textId="77777777" w:rsidR="002D25EA" w:rsidRDefault="002D25EA" w:rsidP="00D9409F">
            <w:r>
              <w:rPr>
                <w:sz w:val="18"/>
                <w:szCs w:val="18"/>
              </w:rPr>
              <w:t>Log Analytics</w:t>
            </w:r>
          </w:p>
        </w:tc>
        <w:tc>
          <w:tcPr>
            <w:tcW w:w="3100" w:type="dxa"/>
            <w:tcMar>
              <w:top w:w="70" w:type="dxa"/>
              <w:left w:w="100" w:type="dxa"/>
              <w:bottom w:w="70" w:type="dxa"/>
              <w:right w:w="100" w:type="dxa"/>
            </w:tcMar>
            <w:vAlign w:val="center"/>
          </w:tcPr>
          <w:p w14:paraId="232D16F0" w14:textId="77777777" w:rsidR="002D25EA" w:rsidRDefault="002D25EA" w:rsidP="00D9409F">
            <w:r>
              <w:rPr>
                <w:sz w:val="18"/>
                <w:szCs w:val="18"/>
              </w:rPr>
              <w:t>90 days hot, then archived per the Organization’s log policy</w:t>
            </w:r>
          </w:p>
        </w:tc>
      </w:tr>
      <w:tr w:rsidR="002D25EA" w14:paraId="022BFE0C" w14:textId="77777777" w:rsidTr="00D9409F">
        <w:tc>
          <w:tcPr>
            <w:tcW w:w="3100" w:type="dxa"/>
            <w:tcMar>
              <w:top w:w="70" w:type="dxa"/>
              <w:left w:w="100" w:type="dxa"/>
              <w:bottom w:w="70" w:type="dxa"/>
              <w:right w:w="100" w:type="dxa"/>
            </w:tcMar>
            <w:vAlign w:val="center"/>
          </w:tcPr>
          <w:p w14:paraId="074CAC94" w14:textId="77777777" w:rsidR="002D25EA" w:rsidRDefault="002D25EA" w:rsidP="00D9409F">
            <w:r>
              <w:rPr>
                <w:sz w:val="18"/>
                <w:szCs w:val="18"/>
              </w:rPr>
              <w:t>End-to-end distributed traces</w:t>
            </w:r>
          </w:p>
        </w:tc>
        <w:tc>
          <w:tcPr>
            <w:tcW w:w="3100" w:type="dxa"/>
            <w:tcMar>
              <w:top w:w="70" w:type="dxa"/>
              <w:left w:w="100" w:type="dxa"/>
              <w:bottom w:w="70" w:type="dxa"/>
              <w:right w:w="100" w:type="dxa"/>
            </w:tcMar>
            <w:vAlign w:val="center"/>
          </w:tcPr>
          <w:p w14:paraId="2385688F" w14:textId="77777777" w:rsidR="002D25EA" w:rsidRDefault="002D25EA" w:rsidP="00D9409F">
            <w:r>
              <w:rPr>
                <w:sz w:val="18"/>
                <w:szCs w:val="18"/>
              </w:rPr>
              <w:t>Application Insights</w:t>
            </w:r>
          </w:p>
        </w:tc>
        <w:tc>
          <w:tcPr>
            <w:tcW w:w="3100" w:type="dxa"/>
            <w:tcMar>
              <w:top w:w="70" w:type="dxa"/>
              <w:left w:w="100" w:type="dxa"/>
              <w:bottom w:w="70" w:type="dxa"/>
              <w:right w:w="100" w:type="dxa"/>
            </w:tcMar>
            <w:vAlign w:val="center"/>
          </w:tcPr>
          <w:p w14:paraId="5008F1AB" w14:textId="77777777" w:rsidR="002D25EA" w:rsidRDefault="002D25EA" w:rsidP="00D9409F">
            <w:r>
              <w:rPr>
                <w:sz w:val="18"/>
                <w:szCs w:val="18"/>
              </w:rPr>
              <w:t>Sampled in production to control cost</w:t>
            </w:r>
          </w:p>
        </w:tc>
      </w:tr>
      <w:tr w:rsidR="002D25EA" w14:paraId="758432CA" w14:textId="77777777" w:rsidTr="00D9409F">
        <w:tc>
          <w:tcPr>
            <w:tcW w:w="3100" w:type="dxa"/>
            <w:tcMar>
              <w:top w:w="70" w:type="dxa"/>
              <w:left w:w="100" w:type="dxa"/>
              <w:bottom w:w="70" w:type="dxa"/>
              <w:right w:w="100" w:type="dxa"/>
            </w:tcMar>
            <w:vAlign w:val="center"/>
          </w:tcPr>
          <w:p w14:paraId="6CBDCC6D" w14:textId="77777777" w:rsidR="002D25EA" w:rsidRDefault="002D25EA" w:rsidP="00D9409F">
            <w:r>
              <w:rPr>
                <w:sz w:val="18"/>
                <w:szCs w:val="18"/>
              </w:rPr>
              <w:t>Policy trace (verbose)</w:t>
            </w:r>
          </w:p>
        </w:tc>
        <w:tc>
          <w:tcPr>
            <w:tcW w:w="3100" w:type="dxa"/>
            <w:tcMar>
              <w:top w:w="70" w:type="dxa"/>
              <w:left w:w="100" w:type="dxa"/>
              <w:bottom w:w="70" w:type="dxa"/>
              <w:right w:w="100" w:type="dxa"/>
            </w:tcMar>
            <w:vAlign w:val="center"/>
          </w:tcPr>
          <w:p w14:paraId="48586909" w14:textId="77777777" w:rsidR="002D25EA" w:rsidRDefault="002D25EA" w:rsidP="00D9409F">
            <w:r>
              <w:rPr>
                <w:sz w:val="18"/>
                <w:szCs w:val="18"/>
              </w:rPr>
              <w:t>Application Insights</w:t>
            </w:r>
          </w:p>
        </w:tc>
        <w:tc>
          <w:tcPr>
            <w:tcW w:w="3100" w:type="dxa"/>
            <w:tcMar>
              <w:top w:w="70" w:type="dxa"/>
              <w:left w:w="100" w:type="dxa"/>
              <w:bottom w:w="70" w:type="dxa"/>
              <w:right w:w="100" w:type="dxa"/>
            </w:tcMar>
            <w:vAlign w:val="center"/>
          </w:tcPr>
          <w:p w14:paraId="02C25D5C" w14:textId="77777777" w:rsidR="002D25EA" w:rsidRDefault="002D25EA" w:rsidP="00D9409F">
            <w:r>
              <w:rPr>
                <w:sz w:val="18"/>
                <w:szCs w:val="18"/>
              </w:rPr>
              <w:t>Enabled in Dev only; off in production by default</w:t>
            </w:r>
          </w:p>
        </w:tc>
      </w:tr>
      <w:tr w:rsidR="002D25EA" w14:paraId="2D6E3EAF" w14:textId="77777777" w:rsidTr="00D9409F">
        <w:tc>
          <w:tcPr>
            <w:tcW w:w="3100" w:type="dxa"/>
            <w:tcMar>
              <w:top w:w="70" w:type="dxa"/>
              <w:left w:w="100" w:type="dxa"/>
              <w:bottom w:w="70" w:type="dxa"/>
              <w:right w:w="100" w:type="dxa"/>
            </w:tcMar>
            <w:vAlign w:val="center"/>
          </w:tcPr>
          <w:p w14:paraId="6B9D5B34" w14:textId="77777777" w:rsidR="002D25EA" w:rsidRDefault="002D25EA" w:rsidP="00D9409F">
            <w:r>
              <w:rPr>
                <w:sz w:val="18"/>
                <w:szCs w:val="18"/>
              </w:rPr>
              <w:t>WAF and Front Door logs</w:t>
            </w:r>
          </w:p>
        </w:tc>
        <w:tc>
          <w:tcPr>
            <w:tcW w:w="3100" w:type="dxa"/>
            <w:tcMar>
              <w:top w:w="70" w:type="dxa"/>
              <w:left w:w="100" w:type="dxa"/>
              <w:bottom w:w="70" w:type="dxa"/>
              <w:right w:w="100" w:type="dxa"/>
            </w:tcMar>
            <w:vAlign w:val="center"/>
          </w:tcPr>
          <w:p w14:paraId="0EC0D959" w14:textId="77777777" w:rsidR="002D25EA" w:rsidRDefault="002D25EA" w:rsidP="00D9409F">
            <w:r>
              <w:rPr>
                <w:sz w:val="18"/>
                <w:szCs w:val="18"/>
              </w:rPr>
              <w:t>Log Analytics</w:t>
            </w:r>
          </w:p>
        </w:tc>
        <w:tc>
          <w:tcPr>
            <w:tcW w:w="3100" w:type="dxa"/>
            <w:tcMar>
              <w:top w:w="70" w:type="dxa"/>
              <w:left w:w="100" w:type="dxa"/>
              <w:bottom w:w="70" w:type="dxa"/>
              <w:right w:w="100" w:type="dxa"/>
            </w:tcMar>
            <w:vAlign w:val="center"/>
          </w:tcPr>
          <w:p w14:paraId="175EDDC3" w14:textId="77777777" w:rsidR="002D25EA" w:rsidRDefault="002D25EA" w:rsidP="00D9409F">
            <w:r>
              <w:rPr>
                <w:sz w:val="18"/>
                <w:szCs w:val="18"/>
              </w:rPr>
              <w:t>90 days, feeding the security dashboard</w:t>
            </w:r>
          </w:p>
        </w:tc>
      </w:tr>
      <w:tr w:rsidR="002D25EA" w14:paraId="35F055B2" w14:textId="77777777" w:rsidTr="00D9409F">
        <w:tc>
          <w:tcPr>
            <w:tcW w:w="3100" w:type="dxa"/>
            <w:tcMar>
              <w:top w:w="70" w:type="dxa"/>
              <w:left w:w="100" w:type="dxa"/>
              <w:bottom w:w="70" w:type="dxa"/>
              <w:right w:w="100" w:type="dxa"/>
            </w:tcMar>
            <w:vAlign w:val="center"/>
          </w:tcPr>
          <w:p w14:paraId="796785EE" w14:textId="77777777" w:rsidR="002D25EA" w:rsidRDefault="002D25EA" w:rsidP="00D9409F">
            <w:r>
              <w:rPr>
                <w:sz w:val="18"/>
                <w:szCs w:val="18"/>
              </w:rPr>
              <w:t>Security-relevant events</w:t>
            </w:r>
          </w:p>
        </w:tc>
        <w:tc>
          <w:tcPr>
            <w:tcW w:w="3100" w:type="dxa"/>
            <w:tcMar>
              <w:top w:w="70" w:type="dxa"/>
              <w:left w:w="100" w:type="dxa"/>
              <w:bottom w:w="70" w:type="dxa"/>
              <w:right w:w="100" w:type="dxa"/>
            </w:tcMar>
            <w:vAlign w:val="center"/>
          </w:tcPr>
          <w:p w14:paraId="1389EACF" w14:textId="77777777" w:rsidR="002D25EA" w:rsidRDefault="002D25EA" w:rsidP="00D9409F">
            <w:r>
              <w:rPr>
                <w:sz w:val="18"/>
                <w:szCs w:val="18"/>
              </w:rPr>
              <w:t>the Organization’s SIEM</w:t>
            </w:r>
          </w:p>
        </w:tc>
        <w:tc>
          <w:tcPr>
            <w:tcW w:w="3100" w:type="dxa"/>
            <w:tcMar>
              <w:top w:w="70" w:type="dxa"/>
              <w:left w:w="100" w:type="dxa"/>
              <w:bottom w:w="70" w:type="dxa"/>
              <w:right w:w="100" w:type="dxa"/>
            </w:tcMar>
            <w:vAlign w:val="center"/>
          </w:tcPr>
          <w:p w14:paraId="2D01B7AE" w14:textId="77777777" w:rsidR="002D25EA" w:rsidRDefault="002D25EA" w:rsidP="00D9409F">
            <w:r>
              <w:rPr>
                <w:sz w:val="18"/>
                <w:szCs w:val="18"/>
              </w:rPr>
              <w:t>Long-term, per existing SIEM retention standard</w:t>
            </w:r>
          </w:p>
        </w:tc>
      </w:tr>
    </w:tbl>
    <w:p w14:paraId="60144C14" w14:textId="77777777" w:rsidR="002D25EA" w:rsidRDefault="002D25EA" w:rsidP="002D25EA">
      <w:pPr>
        <w:spacing w:after="140"/>
      </w:pPr>
    </w:p>
    <w:p w14:paraId="05B780DF" w14:textId="77777777" w:rsidR="002D25EA" w:rsidRDefault="002D25EA" w:rsidP="002D25EA">
      <w:pPr>
        <w:spacing w:after="140"/>
      </w:pPr>
      <w:r>
        <w:t>Correlation IDs are propagated from the gateway to the backend, so a trace does not stop at APIM; a support engineer can follow one broker request from the edge, through the policy pipeline, into the backend and back. This propagation should be validated end to end during the pilot, since a correlation ID that is dropped by an intermediate hop breaks the trace. Verbose policy tracing is deliberately restricted to Dev, because it is expensive and can capture sensitive payload detail that has no place in a production log.</w:t>
      </w:r>
    </w:p>
    <w:p w14:paraId="6BD7AA2D" w14:textId="77777777" w:rsidR="002D25EA" w:rsidRDefault="002D25EA" w:rsidP="002D25EA">
      <w:pPr>
        <w:spacing w:after="140"/>
      </w:pPr>
      <w:r>
        <w:t>Dashboards are cut by audience rather than one generic view: an operations dashboard tracks latency, error rate and throttling; an integration dashboard tracks per-API and per-consumer volumes; a security dashboard surfaces 401s, WAF blocks and anomalous spikes; and an executive view rolls up availability against the SLA. The alert thresholds below are proposed defaults to be agreed with the Organization’s operations team, not fixed commitments; they are starting points for tuning against real traffic.</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64C29B6A" w14:textId="77777777" w:rsidTr="00D9409F">
        <w:trPr>
          <w:tblHeader/>
        </w:trPr>
        <w:tc>
          <w:tcPr>
            <w:tcW w:w="4650" w:type="dxa"/>
            <w:shd w:val="clear" w:color="auto" w:fill="1E2761"/>
            <w:tcMar>
              <w:top w:w="70" w:type="dxa"/>
              <w:left w:w="100" w:type="dxa"/>
              <w:bottom w:w="70" w:type="dxa"/>
              <w:right w:w="100" w:type="dxa"/>
            </w:tcMar>
            <w:vAlign w:val="center"/>
          </w:tcPr>
          <w:p w14:paraId="4BA85EE8" w14:textId="77777777" w:rsidR="002D25EA" w:rsidRDefault="002D25EA" w:rsidP="00D9409F">
            <w:r>
              <w:rPr>
                <w:b/>
                <w:bCs/>
                <w:color w:val="FFFFFF"/>
                <w:sz w:val="18"/>
                <w:szCs w:val="18"/>
              </w:rPr>
              <w:t>Metric</w:t>
            </w:r>
          </w:p>
        </w:tc>
        <w:tc>
          <w:tcPr>
            <w:tcW w:w="4650" w:type="dxa"/>
            <w:shd w:val="clear" w:color="auto" w:fill="1E2761"/>
            <w:tcMar>
              <w:top w:w="70" w:type="dxa"/>
              <w:left w:w="100" w:type="dxa"/>
              <w:bottom w:w="70" w:type="dxa"/>
              <w:right w:w="100" w:type="dxa"/>
            </w:tcMar>
            <w:vAlign w:val="center"/>
          </w:tcPr>
          <w:p w14:paraId="154DCD1D" w14:textId="77777777" w:rsidR="002D25EA" w:rsidRDefault="002D25EA" w:rsidP="00D9409F">
            <w:r>
              <w:rPr>
                <w:b/>
                <w:bCs/>
                <w:color w:val="FFFFFF"/>
                <w:sz w:val="18"/>
                <w:szCs w:val="18"/>
              </w:rPr>
              <w:t>Alert threshold (proposed)</w:t>
            </w:r>
          </w:p>
        </w:tc>
      </w:tr>
      <w:tr w:rsidR="002D25EA" w14:paraId="657ED949" w14:textId="77777777" w:rsidTr="00D9409F">
        <w:tc>
          <w:tcPr>
            <w:tcW w:w="4650" w:type="dxa"/>
            <w:tcMar>
              <w:top w:w="70" w:type="dxa"/>
              <w:left w:w="100" w:type="dxa"/>
              <w:bottom w:w="70" w:type="dxa"/>
              <w:right w:w="100" w:type="dxa"/>
            </w:tcMar>
            <w:vAlign w:val="center"/>
          </w:tcPr>
          <w:p w14:paraId="18D10F19" w14:textId="77777777" w:rsidR="002D25EA" w:rsidRDefault="002D25EA" w:rsidP="00D9409F">
            <w:r>
              <w:rPr>
                <w:sz w:val="18"/>
                <w:szCs w:val="18"/>
              </w:rPr>
              <w:t>Failed requests, 5xx</w:t>
            </w:r>
          </w:p>
        </w:tc>
        <w:tc>
          <w:tcPr>
            <w:tcW w:w="4650" w:type="dxa"/>
            <w:tcMar>
              <w:top w:w="70" w:type="dxa"/>
              <w:left w:w="100" w:type="dxa"/>
              <w:bottom w:w="70" w:type="dxa"/>
              <w:right w:w="100" w:type="dxa"/>
            </w:tcMar>
            <w:vAlign w:val="center"/>
          </w:tcPr>
          <w:p w14:paraId="273CE08A" w14:textId="77777777" w:rsidR="002D25EA" w:rsidRDefault="002D25EA" w:rsidP="00D9409F">
            <w:r>
              <w:rPr>
                <w:sz w:val="18"/>
                <w:szCs w:val="18"/>
              </w:rPr>
              <w:t>More than 1% of total requests</w:t>
            </w:r>
          </w:p>
        </w:tc>
      </w:tr>
      <w:tr w:rsidR="002D25EA" w14:paraId="4EAFE3B8" w14:textId="77777777" w:rsidTr="00D9409F">
        <w:tc>
          <w:tcPr>
            <w:tcW w:w="4650" w:type="dxa"/>
            <w:tcMar>
              <w:top w:w="70" w:type="dxa"/>
              <w:left w:w="100" w:type="dxa"/>
              <w:bottom w:w="70" w:type="dxa"/>
              <w:right w:w="100" w:type="dxa"/>
            </w:tcMar>
            <w:vAlign w:val="center"/>
          </w:tcPr>
          <w:p w14:paraId="4E62A67A" w14:textId="77777777" w:rsidR="002D25EA" w:rsidRDefault="002D25EA" w:rsidP="00D9409F">
            <w:r>
              <w:rPr>
                <w:sz w:val="18"/>
                <w:szCs w:val="18"/>
              </w:rPr>
              <w:t>Gateway response time</w:t>
            </w:r>
          </w:p>
        </w:tc>
        <w:tc>
          <w:tcPr>
            <w:tcW w:w="4650" w:type="dxa"/>
            <w:tcMar>
              <w:top w:w="70" w:type="dxa"/>
              <w:left w:w="100" w:type="dxa"/>
              <w:bottom w:w="70" w:type="dxa"/>
              <w:right w:w="100" w:type="dxa"/>
            </w:tcMar>
            <w:vAlign w:val="center"/>
          </w:tcPr>
          <w:p w14:paraId="399971CF" w14:textId="77777777" w:rsidR="002D25EA" w:rsidRDefault="002D25EA" w:rsidP="00D9409F">
            <w:r>
              <w:rPr>
                <w:sz w:val="18"/>
                <w:szCs w:val="18"/>
              </w:rPr>
              <w:t>p95 above 500ms</w:t>
            </w:r>
          </w:p>
        </w:tc>
      </w:tr>
      <w:tr w:rsidR="002D25EA" w14:paraId="662BE149" w14:textId="77777777" w:rsidTr="00D9409F">
        <w:tc>
          <w:tcPr>
            <w:tcW w:w="4650" w:type="dxa"/>
            <w:tcMar>
              <w:top w:w="70" w:type="dxa"/>
              <w:left w:w="100" w:type="dxa"/>
              <w:bottom w:w="70" w:type="dxa"/>
              <w:right w:w="100" w:type="dxa"/>
            </w:tcMar>
            <w:vAlign w:val="center"/>
          </w:tcPr>
          <w:p w14:paraId="4CBFFBA9" w14:textId="77777777" w:rsidR="002D25EA" w:rsidRDefault="002D25EA" w:rsidP="00D9409F">
            <w:r>
              <w:rPr>
                <w:sz w:val="18"/>
                <w:szCs w:val="18"/>
              </w:rPr>
              <w:t>Unauthorised requests, 401</w:t>
            </w:r>
          </w:p>
        </w:tc>
        <w:tc>
          <w:tcPr>
            <w:tcW w:w="4650" w:type="dxa"/>
            <w:tcMar>
              <w:top w:w="70" w:type="dxa"/>
              <w:left w:w="100" w:type="dxa"/>
              <w:bottom w:w="70" w:type="dxa"/>
              <w:right w:w="100" w:type="dxa"/>
            </w:tcMar>
            <w:vAlign w:val="center"/>
          </w:tcPr>
          <w:p w14:paraId="7C2658DC" w14:textId="77777777" w:rsidR="002D25EA" w:rsidRDefault="002D25EA" w:rsidP="00D9409F">
            <w:r>
              <w:rPr>
                <w:sz w:val="18"/>
                <w:szCs w:val="18"/>
              </w:rPr>
              <w:t>More than 10 per minute</w:t>
            </w:r>
          </w:p>
        </w:tc>
      </w:tr>
      <w:tr w:rsidR="002D25EA" w14:paraId="74424DF7" w14:textId="77777777" w:rsidTr="00D9409F">
        <w:tc>
          <w:tcPr>
            <w:tcW w:w="4650" w:type="dxa"/>
            <w:tcMar>
              <w:top w:w="70" w:type="dxa"/>
              <w:left w:w="100" w:type="dxa"/>
              <w:bottom w:w="70" w:type="dxa"/>
              <w:right w:w="100" w:type="dxa"/>
            </w:tcMar>
            <w:vAlign w:val="center"/>
          </w:tcPr>
          <w:p w14:paraId="3C6EA6FB" w14:textId="77777777" w:rsidR="002D25EA" w:rsidRDefault="002D25EA" w:rsidP="00D9409F">
            <w:r>
              <w:rPr>
                <w:sz w:val="18"/>
                <w:szCs w:val="18"/>
              </w:rPr>
              <w:t>Certificate expiry</w:t>
            </w:r>
          </w:p>
        </w:tc>
        <w:tc>
          <w:tcPr>
            <w:tcW w:w="4650" w:type="dxa"/>
            <w:tcMar>
              <w:top w:w="70" w:type="dxa"/>
              <w:left w:w="100" w:type="dxa"/>
              <w:bottom w:w="70" w:type="dxa"/>
              <w:right w:w="100" w:type="dxa"/>
            </w:tcMar>
            <w:vAlign w:val="center"/>
          </w:tcPr>
          <w:p w14:paraId="7C08AF84" w14:textId="77777777" w:rsidR="002D25EA" w:rsidRDefault="002D25EA" w:rsidP="00D9409F">
            <w:r>
              <w:rPr>
                <w:sz w:val="18"/>
                <w:szCs w:val="18"/>
              </w:rPr>
              <w:t>Less than 30 days to expiry</w:t>
            </w:r>
          </w:p>
        </w:tc>
      </w:tr>
    </w:tbl>
    <w:p w14:paraId="2EB5F60A" w14:textId="77777777" w:rsidR="002D25EA" w:rsidRDefault="002D25EA" w:rsidP="002D25EA">
      <w:pPr>
        <w:spacing w:after="140"/>
      </w:pPr>
    </w:p>
    <w:p w14:paraId="15ACBA79" w14:textId="77777777" w:rsidR="002D25EA" w:rsidRPr="00DD57F4" w:rsidRDefault="002D25EA" w:rsidP="00DD57F4">
      <w:pPr>
        <w:rPr>
          <w:b/>
          <w:bCs/>
        </w:rPr>
      </w:pPr>
      <w:r>
        <w:rPr>
          <w:b/>
          <w:bCs/>
        </w:rPr>
        <w:t>Testing and non-functional assurance</w:t>
      </w:r>
    </w:p>
    <w:p w14:paraId="1E7A6975" w14:textId="77777777" w:rsidR="002D25EA" w:rsidRDefault="002D25EA" w:rsidP="002D25EA">
      <w:pPr>
        <w:spacing w:after="140"/>
      </w:pPr>
      <w:r>
        <w:lastRenderedPageBreak/>
        <w:t>Observability tells you how the platform behaves in production; testing proves it will behave before it gets there. The platform is assured across four kinds of test, and against the explicit non-functional requirements recorded in Appendix 9.5.</w:t>
      </w:r>
    </w:p>
    <w:p w14:paraId="592C7B81" w14:textId="77777777" w:rsidR="002D25EA" w:rsidRDefault="002D25EA" w:rsidP="002D25EA">
      <w:pPr>
        <w:spacing w:after="140"/>
      </w:pPr>
      <w:r>
        <w:t>Functional and contract testing catches breaking changes early: every API is validated against its published OpenAPI contract in the pipeline, so a change that would break consumers fails the build rather than reaching them. Performance and load testing sizes and proves capacity: the platform is tested against the Organization’s expected and peak requests-per-second before go-live, and the capacity metric behaviour under that load is used to set autoscale thresholds (16). Security testing is continuous and periodic: WAF and Defender for APIs run continuously, and independent penetration testing is performed before go-live and on a regular cadence thereafter, with findings tracked to closure. Resilience and chaos testing proves the DR design is real: regional failover is exercised on a schedule (Appendix 9.7) rather than assumed, including deliberately failing a region and confirming Front Door routes around it within the RTO.</w:t>
      </w:r>
    </w:p>
    <w:p w14:paraId="1A8AE114" w14:textId="77777777" w:rsidR="002D25EA" w:rsidRDefault="002D25EA" w:rsidP="002D25EA">
      <w:pPr>
        <w:spacing w:after="140"/>
      </w:pPr>
      <w:r>
        <w:t>The specific numeric targets these tests are measured against: latency, throughput, concurrency, availability, RTO/RPO and error budget: are stated as non-functional requirements in Appendix 9.5 so they are testable rather than implied.</w:t>
      </w:r>
    </w:p>
    <w:p w14:paraId="5CE96E3E" w14:textId="77777777" w:rsidR="002D25EA" w:rsidRDefault="002D25EA" w:rsidP="002D25EA">
      <w:pPr>
        <w:spacing w:after="60"/>
      </w:pPr>
    </w:p>
    <w:p w14:paraId="1030733E"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0" w:name="_Toc240539754"/>
      <w:r>
        <w:rPr>
          <w:rFonts w:asciiTheme="minorHAnsi" w:eastAsia="Times New Roman" w:hAnsiTheme="minorHAnsi" w:cs="Times New Roman"/>
          <w:b w:val="0"/>
          <w:color w:val="132040" w:themeColor="accent1" w:themeShade="BF"/>
          <w:sz w:val="24"/>
          <w:szCs w:val="26"/>
          <w:lang w:eastAsia="en-US"/>
        </w:rPr>
        <w:t>Environment and Release Strategy</w:t>
      </w:r>
      <w:bookmarkEnd w:id="30"/>
    </w:p>
    <w:p w14:paraId="5214E76B" w14:textId="77777777" w:rsidR="00F978FA" w:rsidRPr="00F978FA" w:rsidRDefault="00F978FA" w:rsidP="00F978FA">
      <w:pPr>
        <w:spacing w:after="140"/>
      </w:pPr>
      <w:r>
        <w:t>The proposed approach uses three environments: Dev, UAT, and Production. The same configuration is deployed through each environment in a consistent manner and is not edited directly in Production.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rsidRPr="00F978FA" w14:paraId="6DE12B46" w14:textId="77777777" w:rsidTr="00F978FA">
        <w:trPr>
          <w:tblHeader/>
        </w:trPr>
        <w:tc>
          <w:tcPr>
            <w:tcW w:w="2325" w:type="dxa"/>
            <w:shd w:val="clear" w:color="auto" w:fill="C1CDEC" w:themeFill="accent1" w:themeFillTint="33"/>
            <w:tcMar>
              <w:top w:w="70" w:type="dxa"/>
              <w:left w:w="100" w:type="dxa"/>
              <w:bottom w:w="70" w:type="dxa"/>
              <w:right w:w="100" w:type="dxa"/>
            </w:tcMar>
            <w:vAlign w:val="center"/>
          </w:tcPr>
          <w:p w14:paraId="7E395C76" w14:textId="77777777" w:rsidR="002D25EA" w:rsidRPr="00F978FA" w:rsidRDefault="002D25EA" w:rsidP="00D9409F">
            <w:pPr>
              <w:rPr>
                <w:color w:val="000000" w:themeColor="text1"/>
                <w:sz w:val="20"/>
                <w:szCs w:val="20"/>
              </w:rPr>
            </w:pPr>
            <w:r>
              <w:rPr>
                <w:b/>
                <w:bCs/>
                <w:color w:val="000000" w:themeColor="text1"/>
                <w:sz w:val="20"/>
                <w:szCs w:val="20"/>
              </w:rPr>
              <w:t>Environment</w:t>
            </w:r>
          </w:p>
        </w:tc>
        <w:tc>
          <w:tcPr>
            <w:tcW w:w="2325" w:type="dxa"/>
            <w:shd w:val="clear" w:color="auto" w:fill="C1CDEC" w:themeFill="accent1" w:themeFillTint="33"/>
            <w:tcMar>
              <w:top w:w="70" w:type="dxa"/>
              <w:left w:w="100" w:type="dxa"/>
              <w:bottom w:w="70" w:type="dxa"/>
              <w:right w:w="100" w:type="dxa"/>
            </w:tcMar>
            <w:vAlign w:val="center"/>
          </w:tcPr>
          <w:p w14:paraId="799D149F" w14:textId="77777777" w:rsidR="002D25EA" w:rsidRPr="00F978FA" w:rsidRDefault="002D25EA" w:rsidP="00D9409F">
            <w:pPr>
              <w:rPr>
                <w:color w:val="000000" w:themeColor="text1"/>
                <w:sz w:val="20"/>
                <w:szCs w:val="20"/>
              </w:rPr>
            </w:pPr>
            <w:r>
              <w:rPr>
                <w:b/>
                <w:bCs/>
                <w:color w:val="000000" w:themeColor="text1"/>
                <w:sz w:val="20"/>
                <w:szCs w:val="20"/>
              </w:rPr>
              <w:t>Suggested tier</w:t>
            </w:r>
          </w:p>
        </w:tc>
        <w:tc>
          <w:tcPr>
            <w:tcW w:w="2325" w:type="dxa"/>
            <w:shd w:val="clear" w:color="auto" w:fill="C1CDEC" w:themeFill="accent1" w:themeFillTint="33"/>
            <w:tcMar>
              <w:top w:w="70" w:type="dxa"/>
              <w:left w:w="100" w:type="dxa"/>
              <w:bottom w:w="70" w:type="dxa"/>
              <w:right w:w="100" w:type="dxa"/>
            </w:tcMar>
            <w:vAlign w:val="center"/>
          </w:tcPr>
          <w:p w14:paraId="1A2D1E69" w14:textId="77777777" w:rsidR="002D25EA" w:rsidRPr="00F978FA" w:rsidRDefault="002D25EA" w:rsidP="00D9409F">
            <w:pPr>
              <w:rPr>
                <w:color w:val="000000" w:themeColor="text1"/>
                <w:sz w:val="20"/>
                <w:szCs w:val="20"/>
              </w:rPr>
            </w:pPr>
            <w:r>
              <w:rPr>
                <w:b/>
                <w:bCs/>
                <w:color w:val="000000" w:themeColor="text1"/>
                <w:sz w:val="20"/>
                <w:szCs w:val="20"/>
              </w:rPr>
              <w:t>SLA</w:t>
            </w:r>
          </w:p>
        </w:tc>
        <w:tc>
          <w:tcPr>
            <w:tcW w:w="2325" w:type="dxa"/>
            <w:shd w:val="clear" w:color="auto" w:fill="C1CDEC" w:themeFill="accent1" w:themeFillTint="33"/>
            <w:tcMar>
              <w:top w:w="70" w:type="dxa"/>
              <w:left w:w="100" w:type="dxa"/>
              <w:bottom w:w="70" w:type="dxa"/>
              <w:right w:w="100" w:type="dxa"/>
            </w:tcMar>
            <w:vAlign w:val="center"/>
          </w:tcPr>
          <w:p w14:paraId="4FF4655B" w14:textId="77777777" w:rsidR="002D25EA" w:rsidRPr="00F978FA" w:rsidRDefault="002D25EA" w:rsidP="00D9409F">
            <w:pPr>
              <w:rPr>
                <w:color w:val="000000" w:themeColor="text1"/>
                <w:sz w:val="20"/>
                <w:szCs w:val="20"/>
              </w:rPr>
            </w:pPr>
            <w:r>
              <w:rPr>
                <w:b/>
                <w:bCs/>
                <w:color w:val="000000" w:themeColor="text1"/>
                <w:sz w:val="20"/>
                <w:szCs w:val="20"/>
              </w:rPr>
              <w:t>Purpose</w:t>
            </w:r>
          </w:p>
        </w:tc>
      </w:tr>
      <w:tr w:rsidR="002D25EA" w14:paraId="1873EF4E" w14:textId="77777777" w:rsidTr="00D9409F">
        <w:tc>
          <w:tcPr>
            <w:tcW w:w="2325" w:type="dxa"/>
            <w:tcMar>
              <w:top w:w="70" w:type="dxa"/>
              <w:left w:w="100" w:type="dxa"/>
              <w:bottom w:w="70" w:type="dxa"/>
              <w:right w:w="100" w:type="dxa"/>
            </w:tcMar>
            <w:vAlign w:val="center"/>
          </w:tcPr>
          <w:p w14:paraId="724606C0" w14:textId="77777777" w:rsidR="002D25EA" w:rsidRPr="00F978FA" w:rsidRDefault="002D25EA" w:rsidP="00D9409F">
            <w:pPr>
              <w:rPr>
                <w:sz w:val="20"/>
                <w:szCs w:val="20"/>
              </w:rPr>
            </w:pPr>
            <w:r>
              <w:rPr>
                <w:sz w:val="20"/>
                <w:szCs w:val="20"/>
              </w:rPr>
              <w:t>Dev</w:t>
            </w:r>
          </w:p>
        </w:tc>
        <w:tc>
          <w:tcPr>
            <w:tcW w:w="2325" w:type="dxa"/>
            <w:tcMar>
              <w:top w:w="70" w:type="dxa"/>
              <w:left w:w="100" w:type="dxa"/>
              <w:bottom w:w="70" w:type="dxa"/>
              <w:right w:w="100" w:type="dxa"/>
            </w:tcMar>
            <w:vAlign w:val="center"/>
          </w:tcPr>
          <w:p w14:paraId="037DEA5E" w14:textId="77777777" w:rsidR="002D25EA" w:rsidRPr="00F978FA" w:rsidRDefault="002D25EA" w:rsidP="00D9409F">
            <w:pPr>
              <w:rPr>
                <w:sz w:val="20"/>
                <w:szCs w:val="20"/>
              </w:rPr>
            </w:pPr>
            <w:r>
              <w:rPr>
                <w:sz w:val="20"/>
                <w:szCs w:val="20"/>
              </w:rPr>
              <w:t>Developer</w:t>
            </w:r>
          </w:p>
        </w:tc>
        <w:tc>
          <w:tcPr>
            <w:tcW w:w="2325" w:type="dxa"/>
            <w:tcMar>
              <w:top w:w="70" w:type="dxa"/>
              <w:left w:w="100" w:type="dxa"/>
              <w:bottom w:w="70" w:type="dxa"/>
              <w:right w:w="100" w:type="dxa"/>
            </w:tcMar>
            <w:vAlign w:val="center"/>
          </w:tcPr>
          <w:p w14:paraId="1094B9F2" w14:textId="77777777" w:rsidR="002D25EA" w:rsidRPr="00F978FA" w:rsidRDefault="002D25EA" w:rsidP="00D9409F">
            <w:pPr>
              <w:rPr>
                <w:sz w:val="20"/>
                <w:szCs w:val="20"/>
              </w:rPr>
            </w:pPr>
            <w:r>
              <w:rPr>
                <w:sz w:val="20"/>
                <w:szCs w:val="20"/>
              </w:rPr>
              <w:t>None (by design)</w:t>
            </w:r>
          </w:p>
        </w:tc>
        <w:tc>
          <w:tcPr>
            <w:tcW w:w="2325" w:type="dxa"/>
            <w:tcMar>
              <w:top w:w="70" w:type="dxa"/>
              <w:left w:w="100" w:type="dxa"/>
              <w:bottom w:w="70" w:type="dxa"/>
              <w:right w:w="100" w:type="dxa"/>
            </w:tcMar>
            <w:vAlign w:val="center"/>
          </w:tcPr>
          <w:p w14:paraId="34AE2952" w14:textId="77777777" w:rsidR="002D25EA" w:rsidRPr="00F978FA" w:rsidRDefault="002D25EA" w:rsidP="00D9409F">
            <w:pPr>
              <w:rPr>
                <w:sz w:val="20"/>
                <w:szCs w:val="20"/>
              </w:rPr>
            </w:pPr>
            <w:r>
              <w:rPr>
                <w:sz w:val="20"/>
                <w:szCs w:val="20"/>
              </w:rPr>
              <w:t>Build and unit test, lowest cost</w:t>
            </w:r>
          </w:p>
        </w:tc>
      </w:tr>
      <w:tr w:rsidR="002D25EA" w14:paraId="5E87D7AD" w14:textId="77777777" w:rsidTr="00D9409F">
        <w:tc>
          <w:tcPr>
            <w:tcW w:w="2325" w:type="dxa"/>
            <w:tcMar>
              <w:top w:w="70" w:type="dxa"/>
              <w:left w:w="100" w:type="dxa"/>
              <w:bottom w:w="70" w:type="dxa"/>
              <w:right w:w="100" w:type="dxa"/>
            </w:tcMar>
            <w:vAlign w:val="center"/>
          </w:tcPr>
          <w:p w14:paraId="32B045E0" w14:textId="77777777" w:rsidR="002D25EA" w:rsidRPr="00F978FA" w:rsidRDefault="002D25EA" w:rsidP="00D9409F">
            <w:pPr>
              <w:rPr>
                <w:sz w:val="20"/>
                <w:szCs w:val="20"/>
              </w:rPr>
            </w:pPr>
            <w:r>
              <w:rPr>
                <w:sz w:val="20"/>
                <w:szCs w:val="20"/>
              </w:rPr>
              <w:t>UAT</w:t>
            </w:r>
          </w:p>
        </w:tc>
        <w:tc>
          <w:tcPr>
            <w:tcW w:w="2325" w:type="dxa"/>
            <w:tcMar>
              <w:top w:w="70" w:type="dxa"/>
              <w:left w:w="100" w:type="dxa"/>
              <w:bottom w:w="70" w:type="dxa"/>
              <w:right w:w="100" w:type="dxa"/>
            </w:tcMar>
            <w:vAlign w:val="center"/>
          </w:tcPr>
          <w:p w14:paraId="2F75613E" w14:textId="77777777" w:rsidR="002D25EA" w:rsidRPr="00F978FA" w:rsidRDefault="002D25EA" w:rsidP="00D9409F">
            <w:pPr>
              <w:rPr>
                <w:sz w:val="20"/>
                <w:szCs w:val="20"/>
              </w:rPr>
            </w:pPr>
            <w:r>
              <w:rPr>
                <w:sz w:val="20"/>
                <w:szCs w:val="20"/>
              </w:rPr>
              <w:t>Standard v2</w:t>
            </w:r>
          </w:p>
        </w:tc>
        <w:tc>
          <w:tcPr>
            <w:tcW w:w="2325" w:type="dxa"/>
            <w:tcMar>
              <w:top w:w="70" w:type="dxa"/>
              <w:left w:w="100" w:type="dxa"/>
              <w:bottom w:w="70" w:type="dxa"/>
              <w:right w:w="100" w:type="dxa"/>
            </w:tcMar>
            <w:vAlign w:val="center"/>
          </w:tcPr>
          <w:p w14:paraId="45204A36" w14:textId="77777777" w:rsidR="002D25EA" w:rsidRPr="00F978FA" w:rsidRDefault="002D25EA" w:rsidP="00D9409F">
            <w:pPr>
              <w:rPr>
                <w:sz w:val="20"/>
                <w:szCs w:val="20"/>
              </w:rPr>
            </w:pPr>
            <w:r>
              <w:rPr>
                <w:sz w:val="20"/>
                <w:szCs w:val="20"/>
              </w:rPr>
              <w:t>99.95%</w:t>
            </w:r>
          </w:p>
        </w:tc>
        <w:tc>
          <w:tcPr>
            <w:tcW w:w="2325" w:type="dxa"/>
            <w:tcMar>
              <w:top w:w="70" w:type="dxa"/>
              <w:left w:w="100" w:type="dxa"/>
              <w:bottom w:w="70" w:type="dxa"/>
              <w:right w:w="100" w:type="dxa"/>
            </w:tcMar>
            <w:vAlign w:val="center"/>
          </w:tcPr>
          <w:p w14:paraId="02CBC66C" w14:textId="77777777" w:rsidR="002D25EA" w:rsidRPr="00F978FA" w:rsidRDefault="002D25EA" w:rsidP="00D9409F">
            <w:pPr>
              <w:rPr>
                <w:sz w:val="20"/>
                <w:szCs w:val="20"/>
              </w:rPr>
            </w:pPr>
            <w:r>
              <w:rPr>
                <w:sz w:val="20"/>
                <w:szCs w:val="20"/>
              </w:rPr>
              <w:t>Integration testing and business sign-off, production-like</w:t>
            </w:r>
          </w:p>
        </w:tc>
      </w:tr>
      <w:tr w:rsidR="002D25EA" w14:paraId="71BC520B" w14:textId="77777777" w:rsidTr="00D9409F">
        <w:tc>
          <w:tcPr>
            <w:tcW w:w="2325" w:type="dxa"/>
            <w:tcMar>
              <w:top w:w="70" w:type="dxa"/>
              <w:left w:w="100" w:type="dxa"/>
              <w:bottom w:w="70" w:type="dxa"/>
              <w:right w:w="100" w:type="dxa"/>
            </w:tcMar>
            <w:vAlign w:val="center"/>
          </w:tcPr>
          <w:p w14:paraId="1C69FBC4" w14:textId="77777777" w:rsidR="002D25EA" w:rsidRPr="00F978FA" w:rsidRDefault="002D25EA" w:rsidP="00D9409F">
            <w:pPr>
              <w:rPr>
                <w:sz w:val="20"/>
                <w:szCs w:val="20"/>
              </w:rPr>
            </w:pPr>
            <w:r>
              <w:rPr>
                <w:sz w:val="20"/>
                <w:szCs w:val="20"/>
              </w:rPr>
              <w:t>Production</w:t>
            </w:r>
          </w:p>
        </w:tc>
        <w:tc>
          <w:tcPr>
            <w:tcW w:w="2325" w:type="dxa"/>
            <w:tcMar>
              <w:top w:w="70" w:type="dxa"/>
              <w:left w:w="100" w:type="dxa"/>
              <w:bottom w:w="70" w:type="dxa"/>
              <w:right w:w="100" w:type="dxa"/>
            </w:tcMar>
            <w:vAlign w:val="center"/>
          </w:tcPr>
          <w:p w14:paraId="28EC589C" w14:textId="77777777" w:rsidR="002D25EA" w:rsidRPr="00F978FA" w:rsidRDefault="002D25EA" w:rsidP="00D9409F">
            <w:pPr>
              <w:rPr>
                <w:sz w:val="20"/>
                <w:szCs w:val="20"/>
              </w:rPr>
            </w:pPr>
            <w:r>
              <w:rPr>
                <w:sz w:val="20"/>
                <w:szCs w:val="20"/>
              </w:rPr>
              <w:t>Classic Premium, two regions</w:t>
            </w:r>
          </w:p>
        </w:tc>
        <w:tc>
          <w:tcPr>
            <w:tcW w:w="2325" w:type="dxa"/>
            <w:tcMar>
              <w:top w:w="70" w:type="dxa"/>
              <w:left w:w="100" w:type="dxa"/>
              <w:bottom w:w="70" w:type="dxa"/>
              <w:right w:w="100" w:type="dxa"/>
            </w:tcMar>
            <w:vAlign w:val="center"/>
          </w:tcPr>
          <w:p w14:paraId="0E101A50" w14:textId="77777777" w:rsidR="002D25EA" w:rsidRPr="00F978FA" w:rsidRDefault="002D25EA" w:rsidP="00D9409F">
            <w:pPr>
              <w:rPr>
                <w:sz w:val="20"/>
                <w:szCs w:val="20"/>
              </w:rPr>
            </w:pPr>
            <w:r>
              <w:rPr>
                <w:sz w:val="20"/>
                <w:szCs w:val="20"/>
              </w:rPr>
              <w:t>99.95%, or 99.99% across zones</w:t>
            </w:r>
          </w:p>
        </w:tc>
        <w:tc>
          <w:tcPr>
            <w:tcW w:w="2325" w:type="dxa"/>
            <w:tcMar>
              <w:top w:w="70" w:type="dxa"/>
              <w:left w:w="100" w:type="dxa"/>
              <w:bottom w:w="70" w:type="dxa"/>
              <w:right w:w="100" w:type="dxa"/>
            </w:tcMar>
            <w:vAlign w:val="center"/>
          </w:tcPr>
          <w:p w14:paraId="1ACE2709" w14:textId="77777777" w:rsidR="002D25EA" w:rsidRPr="00F978FA" w:rsidRDefault="002D25EA" w:rsidP="00D9409F">
            <w:pPr>
              <w:rPr>
                <w:sz w:val="20"/>
                <w:szCs w:val="20"/>
              </w:rPr>
            </w:pPr>
            <w:r>
              <w:rPr>
                <w:sz w:val="20"/>
                <w:szCs w:val="20"/>
              </w:rPr>
              <w:t>Live traffic, full resilience and workspaces</w:t>
            </w:r>
          </w:p>
        </w:tc>
      </w:tr>
    </w:tbl>
    <w:p w14:paraId="60A45EAA" w14:textId="77777777" w:rsidR="002D25EA" w:rsidRDefault="002D25EA" w:rsidP="002D25EA">
      <w:pPr>
        <w:spacing w:after="140"/>
      </w:pPr>
    </w:p>
    <w:p w14:paraId="0F924E33" w14:textId="77777777" w:rsidR="00AB5027" w:rsidRPr="00AB5027" w:rsidRDefault="00AB5027" w:rsidP="00AB5027">
      <w:pPr>
        <w:spacing w:after="140"/>
      </w:pPr>
      <w:r>
        <w:t>The environment strategy uses three environments: Dev, UAT, and Production. Dev is used for development and testing, so a lower-cost tier is appropriate. UAT uses a production-like tier with an SLA, ensuring business testing and sign-off take place on a supported platform. If required, UAT can be enhanced further to more closely match Production.</w:t>
      </w:r>
    </w:p>
    <w:p w14:paraId="7ACEAC94" w14:textId="77777777" w:rsidR="00AB5027" w:rsidRPr="00AB5027" w:rsidRDefault="00AB5027" w:rsidP="00AB5027">
      <w:pPr>
        <w:spacing w:after="140"/>
      </w:pPr>
      <w:r>
        <w:t>All changes, including new APIs, policy updates, and configuration changes, are managed through code and deployed using automated pipelines. Changes are reviewed before deployment, and Production is not updated directly through the portal.</w:t>
      </w:r>
    </w:p>
    <w:p w14:paraId="79995F09" w14:textId="77777777" w:rsidR="002D25EA" w:rsidRDefault="002D25EA" w:rsidP="002D25EA">
      <w:pPr>
        <w:spacing w:before="80" w:after="120"/>
        <w:jc w:val="center"/>
      </w:pPr>
      <w:r>
        <w:rPr>
          <w:noProof/>
        </w:rPr>
        <w:drawing>
          <wp:inline distT="0" distB="0" distL="0" distR="0" wp14:anchorId="45612F3E" wp14:editId="3C5E2D2C">
            <wp:extent cx="5486400" cy="1085850"/>
            <wp:effectExtent l="0" t="0" r="0" b="0"/>
            <wp:docPr id="1382943056" name="Picture 138294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1085850"/>
                    </a:xfrm>
                    <a:prstGeom prst="rect">
                      <a:avLst/>
                    </a:prstGeom>
                  </pic:spPr>
                </pic:pic>
              </a:graphicData>
            </a:graphic>
          </wp:inline>
        </w:drawing>
      </w:r>
    </w:p>
    <w:p w14:paraId="0BDFE132" w14:textId="77777777" w:rsidR="002D25EA" w:rsidRDefault="002D25EA" w:rsidP="002D25EA">
      <w:pPr>
        <w:spacing w:after="180"/>
        <w:jc w:val="center"/>
      </w:pPr>
      <w:r>
        <w:rPr>
          <w:i/>
          <w:iCs/>
          <w:color w:val="666666"/>
          <w:sz w:val="18"/>
          <w:szCs w:val="18"/>
        </w:rPr>
        <w:t>Figure 3: APIM CI/CD model, APIOps</w:t>
      </w:r>
    </w:p>
    <w:p w14:paraId="26CEF7A2" w14:textId="74C265C6" w:rsidR="002D25EA" w:rsidRPr="00007E30" w:rsidRDefault="002D25EA" w:rsidP="00007E30">
      <w:pPr>
        <w:rPr>
          <w:b/>
          <w:bCs/>
        </w:rPr>
      </w:pPr>
      <w:r>
        <w:rPr>
          <w:b/>
          <w:bCs/>
        </w:rPr>
        <w:t>APIOps tooling and pipeline (to be confirm)</w:t>
      </w:r>
    </w:p>
    <w:p w14:paraId="6CFECBBA" w14:textId="77777777" w:rsidR="002D25EA" w:rsidRDefault="002D25EA" w:rsidP="002D25EA">
      <w:pPr>
        <w:spacing w:after="140"/>
      </w:pPr>
      <w:r>
        <w:lastRenderedPageBreak/>
        <w:t>This design assumes an APIOps model but does not yet commit to specific tooling; that choice belongs to the Organization’s platform engineering standard rather than to this HLD, and should be confirmed and recorded as an architecture decision before build starts. The proposed default, consistent with a Microsoft-native Azure landing zone, is:</w:t>
      </w:r>
    </w:p>
    <w:p w14:paraId="05DAA286" w14:textId="77777777" w:rsidR="002D25EA" w:rsidRDefault="002D25EA" w:rsidP="002D25EA">
      <w:pPr>
        <w:pStyle w:val="ListParagraph"/>
        <w:numPr>
          <w:ilvl w:val="0"/>
          <w:numId w:val="2"/>
        </w:numPr>
        <w:spacing w:after="70"/>
      </w:pPr>
      <w:r>
        <w:t>Infrastructure as code: Bicep for the APIM instance, networking, Key Vault and Front Door resources, so the same templates promote unchanged through Dev, UAT and Production with only parameter files differing per environment.</w:t>
      </w:r>
    </w:p>
    <w:p w14:paraId="2F999D36" w14:textId="77777777" w:rsidR="002D25EA" w:rsidRDefault="002D25EA" w:rsidP="002D25EA">
      <w:pPr>
        <w:pStyle w:val="ListParagraph"/>
        <w:numPr>
          <w:ilvl w:val="0"/>
          <w:numId w:val="2"/>
        </w:numPr>
        <w:spacing w:after="70"/>
      </w:pPr>
      <w:r>
        <w:t>Configuration as code: the Azure API Management DevOps Resource Kit (APIOps) extractor/publisher tooling, or an equivalent, to represent APIs, products, policies and named values as files in Git rather than portal state.</w:t>
      </w:r>
    </w:p>
    <w:p w14:paraId="3330F2BD" w14:textId="77777777" w:rsidR="002D25EA" w:rsidRDefault="002D25EA" w:rsidP="002D25EA">
      <w:pPr>
        <w:pStyle w:val="ListParagraph"/>
        <w:numPr>
          <w:ilvl w:val="0"/>
          <w:numId w:val="2"/>
        </w:numPr>
        <w:spacing w:after="70"/>
      </w:pPr>
      <w:r>
        <w:t>Source control and pipeline: a Git repository per the pattern already used elsewhere in the Organization’s Azure estate (Azure Repos or GitHub, run through Azure DevOps Pipelines or GitHub Actions), with mandatory pull-request review before merge to the branch that triggers Production deployment.</w:t>
      </w:r>
    </w:p>
    <w:p w14:paraId="5177CCB0" w14:textId="34528A32" w:rsidR="00F236D1" w:rsidRDefault="002D25EA" w:rsidP="00F236D1">
      <w:pPr>
        <w:pStyle w:val="ListParagraph"/>
        <w:numPr>
          <w:ilvl w:val="0"/>
          <w:numId w:val="2"/>
        </w:numPr>
        <w:spacing w:after="70"/>
      </w:pPr>
      <w:r>
        <w:t>Environment promotion: Dev builds on every merge to the integration branch; UAT and Production promote the same reviewed artefact through a manual approval gate, never a fresh build per environment, so what was tested is what ships.</w:t>
      </w:r>
    </w:p>
    <w:p w14:paraId="0ABEECCE" w14:textId="77777777" w:rsidR="002D25EA" w:rsidRDefault="002D25EA" w:rsidP="002D25EA">
      <w:pPr>
        <w:spacing w:after="60"/>
      </w:pPr>
    </w:p>
    <w:p w14:paraId="4BC74F1D" w14:textId="77777777" w:rsidR="00DA5FAC" w:rsidRPr="00DA5FAC" w:rsidRDefault="00DA5FAC" w:rsidP="00DA5FAC">
      <w:pPr>
        <w:spacing w:after="60"/>
        <w:rPr>
          <w:b/>
          <w:bCs/>
        </w:rPr>
      </w:pPr>
      <w:r>
        <w:rPr>
          <w:b/>
          <w:bCs/>
        </w:rPr>
        <w:t>APIOps and Deployment Approach</w:t>
      </w:r>
    </w:p>
    <w:p w14:paraId="3832DC3C" w14:textId="77777777" w:rsidR="00DA5FAC" w:rsidRPr="00DA5FAC" w:rsidRDefault="00DA5FAC" w:rsidP="00DA5FAC">
      <w:pPr>
        <w:spacing w:after="60"/>
        <w:rPr>
          <w:sz w:val="20"/>
          <w:szCs w:val="20"/>
        </w:rPr>
      </w:pPr>
      <w:r>
        <w:rPr>
          <w:sz w:val="20"/>
          <w:szCs w:val="20"/>
        </w:rPr>
        <w:t>The proposed approach treats API Management configuration as code and stores it in a Git repository, which acts as the single source of truth. Changes are reviewed, approved, and deployed through automated pipelines rather than being made directly in Production.</w:t>
      </w:r>
    </w:p>
    <w:p w14:paraId="1237B554" w14:textId="77777777" w:rsidR="00DA5FAC" w:rsidRPr="00DA5FAC" w:rsidRDefault="00DA5FAC" w:rsidP="00DA5FAC">
      <w:pPr>
        <w:spacing w:after="60"/>
        <w:rPr>
          <w:sz w:val="20"/>
          <w:szCs w:val="20"/>
        </w:rPr>
      </w:pPr>
      <w:r>
        <w:rPr>
          <w:b/>
          <w:bCs/>
          <w:sz w:val="20"/>
          <w:szCs w:val="20"/>
        </w:rPr>
        <w:t>Deployment pipelines</w:t>
      </w:r>
    </w:p>
    <w:p w14:paraId="7E340E96" w14:textId="77777777" w:rsidR="00DA5FAC" w:rsidRPr="00DA5FAC" w:rsidRDefault="00DA5FAC" w:rsidP="00DA5FAC">
      <w:pPr>
        <w:numPr>
          <w:ilvl w:val="0"/>
          <w:numId w:val="3"/>
        </w:numPr>
        <w:spacing w:after="60"/>
        <w:rPr>
          <w:sz w:val="20"/>
          <w:szCs w:val="20"/>
        </w:rPr>
      </w:pPr>
      <w:r>
        <w:rPr>
          <w:sz w:val="20"/>
          <w:szCs w:val="20"/>
        </w:rPr>
        <w:t xml:space="preserve">An </w:t>
      </w:r>
      <w:r>
        <w:rPr>
          <w:b/>
          <w:bCs/>
          <w:sz w:val="20"/>
          <w:szCs w:val="20"/>
        </w:rPr>
        <w:t>extractor pipeline</w:t>
      </w:r>
      <w:r>
        <w:rPr>
          <w:sz w:val="20"/>
          <w:szCs w:val="20"/>
        </w:rPr>
        <w:t xml:space="preserve"> captures APIs, policies, products, and related APIM configuration from the development environment and stores them in the repository.</w:t>
      </w:r>
    </w:p>
    <w:p w14:paraId="2E207DBD" w14:textId="77777777" w:rsidR="00DA5FAC" w:rsidRPr="00DA5FAC" w:rsidRDefault="00DA5FAC" w:rsidP="00DA5FAC">
      <w:pPr>
        <w:numPr>
          <w:ilvl w:val="0"/>
          <w:numId w:val="3"/>
        </w:numPr>
        <w:spacing w:after="60"/>
        <w:rPr>
          <w:sz w:val="20"/>
          <w:szCs w:val="20"/>
        </w:rPr>
      </w:pPr>
      <w:r>
        <w:rPr>
          <w:sz w:val="20"/>
          <w:szCs w:val="20"/>
        </w:rPr>
        <w:t xml:space="preserve">A </w:t>
      </w:r>
      <w:r>
        <w:rPr>
          <w:b/>
          <w:bCs/>
          <w:sz w:val="20"/>
          <w:szCs w:val="20"/>
        </w:rPr>
        <w:t>publisher pipeline</w:t>
      </w:r>
      <w:r>
        <w:rPr>
          <w:sz w:val="20"/>
          <w:szCs w:val="20"/>
        </w:rPr>
        <w:t xml:space="preserve"> deploys the approved configuration from the repository to Dev, UAT, and Production.</w:t>
      </w:r>
    </w:p>
    <w:p w14:paraId="2F848F35" w14:textId="77777777" w:rsidR="00DA5FAC" w:rsidRPr="00DA5FAC" w:rsidRDefault="00DA5FAC" w:rsidP="00DA5FAC">
      <w:pPr>
        <w:numPr>
          <w:ilvl w:val="0"/>
          <w:numId w:val="3"/>
        </w:numPr>
        <w:spacing w:after="60"/>
        <w:rPr>
          <w:sz w:val="20"/>
          <w:szCs w:val="20"/>
        </w:rPr>
      </w:pPr>
      <w:r>
        <w:rPr>
          <w:sz w:val="20"/>
          <w:szCs w:val="20"/>
        </w:rPr>
        <w:t>The repository is the authoritative source. Changes are promoted through environments using the same deployment process each time.</w:t>
      </w:r>
    </w:p>
    <w:p w14:paraId="0B76AC0A" w14:textId="77777777" w:rsidR="00DA5FAC" w:rsidRPr="00DA5FAC" w:rsidRDefault="00DA5FAC" w:rsidP="00DA5FAC">
      <w:pPr>
        <w:spacing w:after="60"/>
        <w:rPr>
          <w:sz w:val="20"/>
          <w:szCs w:val="20"/>
        </w:rPr>
      </w:pPr>
      <w:r>
        <w:rPr>
          <w:b/>
          <w:bCs/>
          <w:sz w:val="20"/>
          <w:szCs w:val="20"/>
        </w:rPr>
        <w:t>Change process</w:t>
      </w:r>
    </w:p>
    <w:p w14:paraId="62B2AF8E" w14:textId="77777777" w:rsidR="00DA5FAC" w:rsidRPr="00DA5FAC" w:rsidRDefault="00DA5FAC" w:rsidP="00DA5FAC">
      <w:pPr>
        <w:numPr>
          <w:ilvl w:val="0"/>
          <w:numId w:val="4"/>
        </w:numPr>
        <w:spacing w:after="60"/>
        <w:rPr>
          <w:sz w:val="20"/>
          <w:szCs w:val="20"/>
        </w:rPr>
      </w:pPr>
      <w:r>
        <w:rPr>
          <w:sz w:val="20"/>
          <w:szCs w:val="20"/>
        </w:rPr>
        <w:t>A change is created in Development.</w:t>
      </w:r>
    </w:p>
    <w:p w14:paraId="7C05D610" w14:textId="77777777" w:rsidR="00DA5FAC" w:rsidRPr="00DA5FAC" w:rsidRDefault="00DA5FAC" w:rsidP="00DA5FAC">
      <w:pPr>
        <w:numPr>
          <w:ilvl w:val="0"/>
          <w:numId w:val="4"/>
        </w:numPr>
        <w:spacing w:after="60"/>
        <w:rPr>
          <w:sz w:val="20"/>
          <w:szCs w:val="20"/>
        </w:rPr>
      </w:pPr>
      <w:r>
        <w:rPr>
          <w:sz w:val="20"/>
          <w:szCs w:val="20"/>
        </w:rPr>
        <w:t>The change is reviewed through a pull request.</w:t>
      </w:r>
    </w:p>
    <w:p w14:paraId="06F23135" w14:textId="77777777" w:rsidR="00DA5FAC" w:rsidRPr="00DA5FAC" w:rsidRDefault="00DA5FAC" w:rsidP="00DA5FAC">
      <w:pPr>
        <w:numPr>
          <w:ilvl w:val="0"/>
          <w:numId w:val="4"/>
        </w:numPr>
        <w:spacing w:after="60"/>
        <w:rPr>
          <w:sz w:val="20"/>
          <w:szCs w:val="20"/>
        </w:rPr>
      </w:pPr>
      <w:r>
        <w:rPr>
          <w:sz w:val="20"/>
          <w:szCs w:val="20"/>
        </w:rPr>
        <w:t>Automated validation checks run as part of the review process.</w:t>
      </w:r>
    </w:p>
    <w:p w14:paraId="14566871" w14:textId="77777777" w:rsidR="00DA5FAC" w:rsidRPr="00DA5FAC" w:rsidRDefault="00DA5FAC" w:rsidP="00DA5FAC">
      <w:pPr>
        <w:numPr>
          <w:ilvl w:val="0"/>
          <w:numId w:val="4"/>
        </w:numPr>
        <w:spacing w:after="60"/>
        <w:rPr>
          <w:sz w:val="20"/>
          <w:szCs w:val="20"/>
        </w:rPr>
      </w:pPr>
      <w:r>
        <w:rPr>
          <w:sz w:val="20"/>
          <w:szCs w:val="20"/>
        </w:rPr>
        <w:t>Once approved, the change is merged.</w:t>
      </w:r>
    </w:p>
    <w:p w14:paraId="51F174A4" w14:textId="77777777" w:rsidR="00DA5FAC" w:rsidRPr="00DA5FAC" w:rsidRDefault="00DA5FAC" w:rsidP="00DA5FAC">
      <w:pPr>
        <w:numPr>
          <w:ilvl w:val="0"/>
          <w:numId w:val="4"/>
        </w:numPr>
        <w:spacing w:after="60"/>
        <w:rPr>
          <w:sz w:val="20"/>
          <w:szCs w:val="20"/>
        </w:rPr>
      </w:pPr>
      <w:r>
        <w:rPr>
          <w:sz w:val="20"/>
          <w:szCs w:val="20"/>
        </w:rPr>
        <w:t>Automated pipelines deploy the same approved configuration through Dev, UAT, and Production.</w:t>
      </w:r>
    </w:p>
    <w:p w14:paraId="37149D42" w14:textId="77777777" w:rsidR="00DA5FAC" w:rsidRPr="00DA5FAC" w:rsidRDefault="00DA5FAC" w:rsidP="00DA5FAC">
      <w:pPr>
        <w:numPr>
          <w:ilvl w:val="0"/>
          <w:numId w:val="4"/>
        </w:numPr>
        <w:spacing w:after="60"/>
        <w:rPr>
          <w:sz w:val="20"/>
          <w:szCs w:val="20"/>
        </w:rPr>
      </w:pPr>
      <w:r>
        <w:rPr>
          <w:sz w:val="20"/>
          <w:szCs w:val="20"/>
        </w:rPr>
        <w:t>Production deployment requires explicit approval.</w:t>
      </w:r>
    </w:p>
    <w:p w14:paraId="2CE1B31C" w14:textId="77777777" w:rsidR="00DA5FAC" w:rsidRPr="00DA5FAC" w:rsidRDefault="00DA5FAC" w:rsidP="00DA5FAC">
      <w:pPr>
        <w:spacing w:after="60"/>
        <w:rPr>
          <w:sz w:val="20"/>
          <w:szCs w:val="20"/>
        </w:rPr>
      </w:pPr>
      <w:r>
        <w:rPr>
          <w:b/>
          <w:bCs/>
          <w:sz w:val="20"/>
          <w:szCs w:val="20"/>
        </w:rPr>
        <w:t>Environment-specific settings</w:t>
      </w:r>
    </w:p>
    <w:p w14:paraId="69A1139C" w14:textId="77777777" w:rsidR="00DA5FAC" w:rsidRPr="00DA5FAC" w:rsidRDefault="00DA5FAC" w:rsidP="00DA5FAC">
      <w:pPr>
        <w:spacing w:after="60"/>
        <w:rPr>
          <w:sz w:val="20"/>
          <w:szCs w:val="20"/>
        </w:rPr>
      </w:pPr>
      <w:r>
        <w:rPr>
          <w:sz w:val="20"/>
          <w:szCs w:val="20"/>
        </w:rPr>
        <w:t>Some settings, such as backend URLs and timeouts, differ between environments. These are managed through environment-specific configuration files, while API definitions and policies remain the same across environments.</w:t>
      </w:r>
    </w:p>
    <w:p w14:paraId="637A2ABA" w14:textId="77777777" w:rsidR="00DA5FAC" w:rsidRPr="00DA5FAC" w:rsidRDefault="00DA5FAC" w:rsidP="00DA5FAC">
      <w:pPr>
        <w:spacing w:after="60"/>
        <w:rPr>
          <w:sz w:val="20"/>
          <w:szCs w:val="20"/>
        </w:rPr>
      </w:pPr>
      <w:r>
        <w:rPr>
          <w:b/>
          <w:bCs/>
          <w:sz w:val="20"/>
          <w:szCs w:val="20"/>
        </w:rPr>
        <w:t>Security</w:t>
      </w:r>
    </w:p>
    <w:p w14:paraId="60C6005A" w14:textId="77777777" w:rsidR="00DA5FAC" w:rsidRPr="00DA5FAC" w:rsidRDefault="00DA5FAC" w:rsidP="00DA5FAC">
      <w:pPr>
        <w:numPr>
          <w:ilvl w:val="0"/>
          <w:numId w:val="5"/>
        </w:numPr>
        <w:spacing w:after="60"/>
        <w:rPr>
          <w:sz w:val="20"/>
          <w:szCs w:val="20"/>
        </w:rPr>
      </w:pPr>
      <w:r>
        <w:rPr>
          <w:sz w:val="20"/>
          <w:szCs w:val="20"/>
        </w:rPr>
        <w:t>Secrets are stored securely and are not committed to source control.</w:t>
      </w:r>
    </w:p>
    <w:p w14:paraId="27087448" w14:textId="77777777" w:rsidR="00DA5FAC" w:rsidRPr="00DA5FAC" w:rsidRDefault="00DA5FAC" w:rsidP="00DA5FAC">
      <w:pPr>
        <w:numPr>
          <w:ilvl w:val="0"/>
          <w:numId w:val="5"/>
        </w:numPr>
        <w:spacing w:after="60"/>
        <w:rPr>
          <w:sz w:val="20"/>
          <w:szCs w:val="20"/>
        </w:rPr>
      </w:pPr>
      <w:r>
        <w:rPr>
          <w:sz w:val="20"/>
          <w:szCs w:val="20"/>
        </w:rPr>
        <w:t>Pipeline identities follow least-privilege access principles.</w:t>
      </w:r>
    </w:p>
    <w:p w14:paraId="0A61C41A" w14:textId="77777777" w:rsidR="00DA5FAC" w:rsidRPr="00DA5FAC" w:rsidRDefault="00DA5FAC" w:rsidP="00DA5FAC">
      <w:pPr>
        <w:numPr>
          <w:ilvl w:val="0"/>
          <w:numId w:val="5"/>
        </w:numPr>
        <w:spacing w:after="60"/>
        <w:rPr>
          <w:sz w:val="20"/>
          <w:szCs w:val="20"/>
        </w:rPr>
      </w:pPr>
      <w:r>
        <w:rPr>
          <w:sz w:val="20"/>
          <w:szCs w:val="20"/>
        </w:rPr>
        <w:t>Production changes are made only through approved deployment pipelines.</w:t>
      </w:r>
    </w:p>
    <w:p w14:paraId="63ACDA08" w14:textId="77777777" w:rsidR="00DA5FAC" w:rsidRPr="00DA5FAC" w:rsidRDefault="00DA5FAC" w:rsidP="00DA5FAC">
      <w:pPr>
        <w:numPr>
          <w:ilvl w:val="0"/>
          <w:numId w:val="5"/>
        </w:numPr>
        <w:spacing w:after="60"/>
        <w:rPr>
          <w:sz w:val="20"/>
          <w:szCs w:val="20"/>
        </w:rPr>
      </w:pPr>
      <w:r>
        <w:rPr>
          <w:sz w:val="20"/>
          <w:szCs w:val="20"/>
        </w:rPr>
        <w:t>Direct Production access is restricted to authorised break-glass users.</w:t>
      </w:r>
    </w:p>
    <w:p w14:paraId="793554C5" w14:textId="77777777" w:rsidR="00DA5FAC" w:rsidRPr="00DA5FAC" w:rsidRDefault="00DA5FAC" w:rsidP="00DA5FAC">
      <w:pPr>
        <w:spacing w:after="60"/>
        <w:rPr>
          <w:sz w:val="20"/>
          <w:szCs w:val="20"/>
        </w:rPr>
      </w:pPr>
      <w:r>
        <w:rPr>
          <w:b/>
          <w:bCs/>
          <w:sz w:val="20"/>
          <w:szCs w:val="20"/>
        </w:rPr>
        <w:t>Repository structure</w:t>
      </w:r>
    </w:p>
    <w:p w14:paraId="0E02110A" w14:textId="77777777" w:rsidR="00DA5FAC" w:rsidRPr="00DA5FAC" w:rsidRDefault="00DA5FAC" w:rsidP="00DA5FAC">
      <w:pPr>
        <w:spacing w:after="60"/>
        <w:rPr>
          <w:sz w:val="20"/>
          <w:szCs w:val="20"/>
        </w:rPr>
      </w:pPr>
      <w:r>
        <w:rPr>
          <w:sz w:val="20"/>
          <w:szCs w:val="20"/>
        </w:rPr>
        <w:t>The repository contains:</w:t>
      </w:r>
    </w:p>
    <w:p w14:paraId="00546FB3" w14:textId="77777777" w:rsidR="00DA5FAC" w:rsidRPr="00DA5FAC" w:rsidRDefault="00DA5FAC" w:rsidP="00DA5FAC">
      <w:pPr>
        <w:numPr>
          <w:ilvl w:val="0"/>
          <w:numId w:val="6"/>
        </w:numPr>
        <w:spacing w:after="60"/>
        <w:rPr>
          <w:sz w:val="20"/>
          <w:szCs w:val="20"/>
        </w:rPr>
      </w:pPr>
      <w:r>
        <w:rPr>
          <w:sz w:val="20"/>
          <w:szCs w:val="20"/>
        </w:rPr>
        <w:t>APIs</w:t>
      </w:r>
    </w:p>
    <w:p w14:paraId="424DC8F2" w14:textId="77777777" w:rsidR="00DA5FAC" w:rsidRPr="00DA5FAC" w:rsidRDefault="00DA5FAC" w:rsidP="00DA5FAC">
      <w:pPr>
        <w:numPr>
          <w:ilvl w:val="0"/>
          <w:numId w:val="6"/>
        </w:numPr>
        <w:spacing w:after="60"/>
        <w:rPr>
          <w:sz w:val="20"/>
          <w:szCs w:val="20"/>
        </w:rPr>
      </w:pPr>
      <w:r>
        <w:rPr>
          <w:sz w:val="20"/>
          <w:szCs w:val="20"/>
        </w:rPr>
        <w:t>Policies</w:t>
      </w:r>
    </w:p>
    <w:p w14:paraId="3D22B81E" w14:textId="77777777" w:rsidR="00DA5FAC" w:rsidRPr="00DA5FAC" w:rsidRDefault="00DA5FAC" w:rsidP="00DA5FAC">
      <w:pPr>
        <w:numPr>
          <w:ilvl w:val="0"/>
          <w:numId w:val="6"/>
        </w:numPr>
        <w:spacing w:after="60"/>
        <w:rPr>
          <w:sz w:val="20"/>
          <w:szCs w:val="20"/>
        </w:rPr>
      </w:pPr>
      <w:r>
        <w:rPr>
          <w:sz w:val="20"/>
          <w:szCs w:val="20"/>
        </w:rPr>
        <w:lastRenderedPageBreak/>
        <w:t>Products</w:t>
      </w:r>
    </w:p>
    <w:p w14:paraId="77FE34B5" w14:textId="77777777" w:rsidR="00DA5FAC" w:rsidRPr="00DA5FAC" w:rsidRDefault="00DA5FAC" w:rsidP="00DA5FAC">
      <w:pPr>
        <w:numPr>
          <w:ilvl w:val="0"/>
          <w:numId w:val="6"/>
        </w:numPr>
        <w:spacing w:after="60"/>
        <w:rPr>
          <w:sz w:val="20"/>
          <w:szCs w:val="20"/>
        </w:rPr>
      </w:pPr>
      <w:r>
        <w:rPr>
          <w:sz w:val="20"/>
          <w:szCs w:val="20"/>
        </w:rPr>
        <w:t>Named values</w:t>
      </w:r>
    </w:p>
    <w:p w14:paraId="6E38ED7A" w14:textId="77777777" w:rsidR="00DA5FAC" w:rsidRPr="00DA5FAC" w:rsidRDefault="00DA5FAC" w:rsidP="00DA5FAC">
      <w:pPr>
        <w:numPr>
          <w:ilvl w:val="0"/>
          <w:numId w:val="6"/>
        </w:numPr>
        <w:spacing w:after="60"/>
        <w:rPr>
          <w:sz w:val="20"/>
          <w:szCs w:val="20"/>
        </w:rPr>
      </w:pPr>
      <w:r>
        <w:rPr>
          <w:sz w:val="20"/>
          <w:szCs w:val="20"/>
        </w:rPr>
        <w:t>Backends</w:t>
      </w:r>
    </w:p>
    <w:p w14:paraId="18FB468D" w14:textId="77777777" w:rsidR="00DA5FAC" w:rsidRPr="00DA5FAC" w:rsidRDefault="00DA5FAC" w:rsidP="00DA5FAC">
      <w:pPr>
        <w:numPr>
          <w:ilvl w:val="0"/>
          <w:numId w:val="6"/>
        </w:numPr>
        <w:spacing w:after="60"/>
        <w:rPr>
          <w:sz w:val="20"/>
          <w:szCs w:val="20"/>
        </w:rPr>
      </w:pPr>
      <w:r>
        <w:rPr>
          <w:sz w:val="20"/>
          <w:szCs w:val="20"/>
        </w:rPr>
        <w:t>Environment-specific configuration</w:t>
      </w:r>
    </w:p>
    <w:p w14:paraId="7ACE51FB" w14:textId="77777777" w:rsidR="00DA5FAC" w:rsidRPr="00DA5FAC" w:rsidRDefault="00DA5FAC" w:rsidP="00DA5FAC">
      <w:pPr>
        <w:numPr>
          <w:ilvl w:val="0"/>
          <w:numId w:val="6"/>
        </w:numPr>
        <w:spacing w:after="60"/>
        <w:rPr>
          <w:sz w:val="20"/>
          <w:szCs w:val="20"/>
        </w:rPr>
      </w:pPr>
      <w:r>
        <w:rPr>
          <w:sz w:val="20"/>
          <w:szCs w:val="20"/>
        </w:rPr>
        <w:t>Deployment pipeline definitions</w:t>
      </w:r>
    </w:p>
    <w:p w14:paraId="6934B9D4" w14:textId="77777777" w:rsidR="00DA5FAC" w:rsidRDefault="00DA5FAC" w:rsidP="002D25EA">
      <w:pPr>
        <w:spacing w:after="60"/>
      </w:pPr>
    </w:p>
    <w:p w14:paraId="598F55CE" w14:textId="77777777" w:rsidR="002D25EA" w:rsidRDefault="002D25EA" w:rsidP="002D25EA">
      <w:pPr>
        <w:spacing w:after="140"/>
      </w:pPr>
      <w:r>
        <w:t>Configuration is promoted the same way through every environment; no environment is treated as a special case.</w:t>
      </w:r>
    </w:p>
    <w:p w14:paraId="6ADB97CD" w14:textId="77777777" w:rsidR="002D25EA" w:rsidRDefault="002D25EA" w:rsidP="002D25EA">
      <w:pPr>
        <w:spacing w:before="80" w:after="120"/>
        <w:jc w:val="center"/>
      </w:pPr>
      <w:r>
        <w:rPr>
          <w:noProof/>
        </w:rPr>
        <w:drawing>
          <wp:inline distT="0" distB="0" distL="0" distR="0" wp14:anchorId="03F7CE0D" wp14:editId="54A86CC3">
            <wp:extent cx="5486400" cy="571500"/>
            <wp:effectExtent l="0" t="0" r="0" b="0"/>
            <wp:docPr id="1883006287" name="Picture 188300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571500"/>
                    </a:xfrm>
                    <a:prstGeom prst="rect">
                      <a:avLst/>
                    </a:prstGeom>
                  </pic:spPr>
                </pic:pic>
              </a:graphicData>
            </a:graphic>
          </wp:inline>
        </w:drawing>
      </w:r>
    </w:p>
    <w:p w14:paraId="055B76C2" w14:textId="77777777" w:rsidR="002D25EA" w:rsidRDefault="002D25EA" w:rsidP="002D25EA">
      <w:pPr>
        <w:spacing w:after="180"/>
        <w:jc w:val="center"/>
      </w:pPr>
      <w:r>
        <w:rPr>
          <w:i/>
          <w:iCs/>
          <w:color w:val="666666"/>
          <w:sz w:val="18"/>
          <w:szCs w:val="18"/>
        </w:rPr>
        <w:t>Figure 4: Environment promotion strategy</w:t>
      </w:r>
    </w:p>
    <w:p w14:paraId="02372049"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1" w:name="_Toc240539755"/>
      <w:r>
        <w:rPr>
          <w:rFonts w:asciiTheme="minorHAnsi" w:eastAsia="Times New Roman" w:hAnsiTheme="minorHAnsi" w:cs="Times New Roman"/>
          <w:b w:val="0"/>
          <w:color w:val="132040" w:themeColor="accent1" w:themeShade="BF"/>
          <w:sz w:val="24"/>
          <w:szCs w:val="26"/>
          <w:lang w:eastAsia="en-US"/>
        </w:rPr>
        <w:t>High Availability and Disaster Recovery Design</w:t>
      </w:r>
      <w:bookmarkEnd w:id="31"/>
    </w:p>
    <w:p w14:paraId="17DE493E" w14:textId="77777777" w:rsidR="002D25EA" w:rsidRDefault="002D25EA" w:rsidP="00DD57F4">
      <w:r>
        <w:t>High availability is about surviving a failure inside one Azure region without anyone outside noticing. Azure Availability Zones are physically separate datacentres with independent power and cooling; when APIM is deployed across zones, the edge layer only sends traffic to zones that are healthy.</w:t>
      </w:r>
    </w:p>
    <w:p w14:paraId="45AC9642" w14:textId="77777777" w:rsidR="002D25EA" w:rsidRDefault="002D25EA" w:rsidP="002D25EA">
      <w:pPr>
        <w:spacing w:before="80" w:after="120"/>
        <w:jc w:val="center"/>
      </w:pPr>
      <w:r>
        <w:rPr>
          <w:noProof/>
        </w:rPr>
        <w:drawing>
          <wp:inline distT="0" distB="0" distL="0" distR="0" wp14:anchorId="72EFD3D4" wp14:editId="759E5FED">
            <wp:extent cx="5486400" cy="1857375"/>
            <wp:effectExtent l="0" t="0" r="0" b="0"/>
            <wp:docPr id="1849290333" name="Picture 184929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1857375"/>
                    </a:xfrm>
                    <a:prstGeom prst="rect">
                      <a:avLst/>
                    </a:prstGeom>
                  </pic:spPr>
                </pic:pic>
              </a:graphicData>
            </a:graphic>
          </wp:inline>
        </w:drawing>
      </w:r>
    </w:p>
    <w:p w14:paraId="090D3E71" w14:textId="77777777" w:rsidR="002D25EA" w:rsidRDefault="002D25EA" w:rsidP="002D25EA">
      <w:pPr>
        <w:spacing w:after="180"/>
        <w:jc w:val="center"/>
      </w:pPr>
      <w:r>
        <w:rPr>
          <w:i/>
          <w:iCs/>
          <w:color w:val="666666"/>
          <w:sz w:val="18"/>
          <w:szCs w:val="18"/>
        </w:rPr>
        <w:t>Figure 26: High availability architecture</w:t>
      </w:r>
    </w:p>
    <w:p w14:paraId="5C212E12" w14:textId="77777777" w:rsidR="002D25EA" w:rsidRDefault="002D25EA" w:rsidP="002D25EA">
      <w:pPr>
        <w:spacing w:after="140"/>
      </w:pPr>
      <w:r>
        <w:t>Backend services should also be zone-redundant; a zone-resilient gateway in front of a single-zone backend only moves the weak point, it does not remove it. Zone redundancy carries no separate line-item cost on Premium or Standard v2; it is a configuration choice, not an add-on.</w:t>
      </w:r>
    </w:p>
    <w:p w14:paraId="7FF14B24" w14:textId="77777777" w:rsidR="002D25EA" w:rsidRPr="00C8018D" w:rsidRDefault="002D25EA" w:rsidP="00C8018D">
      <w:pPr>
        <w:rPr>
          <w:b/>
          <w:bCs/>
        </w:rPr>
      </w:pPr>
      <w:r>
        <w:rPr>
          <w:b/>
          <w:bCs/>
        </w:rPr>
        <w:t>The whole chain is only as resilient as its weakest link</w:t>
      </w:r>
    </w:p>
    <w:p w14:paraId="66DCA5C7" w14:textId="77777777" w:rsidR="002D25EA" w:rsidRDefault="002D25EA" w:rsidP="002D25EA">
      <w:pPr>
        <w:spacing w:after="140"/>
      </w:pPr>
      <w:r>
        <w:t>A highly available gateway does not make the transaction highly available on its own. The complete path, consumer to Front Door to WAF to APIM to the network to the backend integration services, is only as resilient as its least-resilient hop. Each component's resilience should be assessed and owned explicitly rather than assumed from APIM's own SLA.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30695EF4" w14:textId="77777777" w:rsidTr="00D9409F">
        <w:trPr>
          <w:tblHeader/>
        </w:trPr>
        <w:tc>
          <w:tcPr>
            <w:tcW w:w="4650" w:type="dxa"/>
            <w:shd w:val="clear" w:color="auto" w:fill="1E2761"/>
            <w:tcMar>
              <w:top w:w="70" w:type="dxa"/>
              <w:left w:w="100" w:type="dxa"/>
              <w:bottom w:w="70" w:type="dxa"/>
              <w:right w:w="100" w:type="dxa"/>
            </w:tcMar>
            <w:vAlign w:val="center"/>
          </w:tcPr>
          <w:p w14:paraId="39D0AD51" w14:textId="77777777" w:rsidR="002D25EA" w:rsidRDefault="002D25EA" w:rsidP="00D9409F">
            <w:r>
              <w:rPr>
                <w:b/>
                <w:bCs/>
                <w:color w:val="FFFFFF"/>
                <w:sz w:val="18"/>
                <w:szCs w:val="18"/>
              </w:rPr>
              <w:t>Component</w:t>
            </w:r>
          </w:p>
        </w:tc>
        <w:tc>
          <w:tcPr>
            <w:tcW w:w="4650" w:type="dxa"/>
            <w:shd w:val="clear" w:color="auto" w:fill="1E2761"/>
            <w:tcMar>
              <w:top w:w="70" w:type="dxa"/>
              <w:left w:w="100" w:type="dxa"/>
              <w:bottom w:w="70" w:type="dxa"/>
              <w:right w:w="100" w:type="dxa"/>
            </w:tcMar>
            <w:vAlign w:val="center"/>
          </w:tcPr>
          <w:p w14:paraId="1595D718" w14:textId="77777777" w:rsidR="002D25EA" w:rsidRDefault="002D25EA" w:rsidP="00D9409F">
            <w:r>
              <w:rPr>
                <w:b/>
                <w:bCs/>
                <w:color w:val="FFFFFF"/>
                <w:sz w:val="18"/>
                <w:szCs w:val="18"/>
              </w:rPr>
              <w:t>Resilience to confirm</w:t>
            </w:r>
          </w:p>
        </w:tc>
      </w:tr>
      <w:tr w:rsidR="002D25EA" w14:paraId="1C46D946" w14:textId="77777777" w:rsidTr="00D9409F">
        <w:tc>
          <w:tcPr>
            <w:tcW w:w="4650" w:type="dxa"/>
            <w:tcMar>
              <w:top w:w="70" w:type="dxa"/>
              <w:left w:w="100" w:type="dxa"/>
              <w:bottom w:w="70" w:type="dxa"/>
              <w:right w:w="100" w:type="dxa"/>
            </w:tcMar>
            <w:vAlign w:val="center"/>
          </w:tcPr>
          <w:p w14:paraId="556C8910" w14:textId="77777777" w:rsidR="002D25EA" w:rsidRDefault="002D25EA" w:rsidP="00D9409F">
            <w:r>
              <w:rPr>
                <w:sz w:val="18"/>
                <w:szCs w:val="18"/>
              </w:rPr>
              <w:t>Front Door + WAF</w:t>
            </w:r>
          </w:p>
        </w:tc>
        <w:tc>
          <w:tcPr>
            <w:tcW w:w="4650" w:type="dxa"/>
            <w:tcMar>
              <w:top w:w="70" w:type="dxa"/>
              <w:left w:w="100" w:type="dxa"/>
              <w:bottom w:w="70" w:type="dxa"/>
              <w:right w:w="100" w:type="dxa"/>
            </w:tcMar>
            <w:vAlign w:val="center"/>
          </w:tcPr>
          <w:p w14:paraId="3FD2FD29" w14:textId="77777777" w:rsidR="002D25EA" w:rsidRDefault="002D25EA" w:rsidP="00D9409F">
            <w:r>
              <w:rPr>
                <w:sz w:val="18"/>
                <w:szCs w:val="18"/>
              </w:rPr>
              <w:t>Global service; confirm health-probe paths touch a real dependency, not a static page</w:t>
            </w:r>
          </w:p>
        </w:tc>
      </w:tr>
      <w:tr w:rsidR="002D25EA" w14:paraId="1C062B24" w14:textId="77777777" w:rsidTr="00D9409F">
        <w:tc>
          <w:tcPr>
            <w:tcW w:w="4650" w:type="dxa"/>
            <w:tcMar>
              <w:top w:w="70" w:type="dxa"/>
              <w:left w:w="100" w:type="dxa"/>
              <w:bottom w:w="70" w:type="dxa"/>
              <w:right w:w="100" w:type="dxa"/>
            </w:tcMar>
            <w:vAlign w:val="center"/>
          </w:tcPr>
          <w:p w14:paraId="650A21ED" w14:textId="77777777" w:rsidR="002D25EA" w:rsidRDefault="002D25EA" w:rsidP="00D9409F">
            <w:r>
              <w:rPr>
                <w:sz w:val="18"/>
                <w:szCs w:val="18"/>
              </w:rPr>
              <w:t>APIM</w:t>
            </w:r>
          </w:p>
        </w:tc>
        <w:tc>
          <w:tcPr>
            <w:tcW w:w="4650" w:type="dxa"/>
            <w:tcMar>
              <w:top w:w="70" w:type="dxa"/>
              <w:left w:w="100" w:type="dxa"/>
              <w:bottom w:w="70" w:type="dxa"/>
              <w:right w:w="100" w:type="dxa"/>
            </w:tcMar>
            <w:vAlign w:val="center"/>
          </w:tcPr>
          <w:p w14:paraId="50C47696" w14:textId="77777777" w:rsidR="002D25EA" w:rsidRDefault="002D25EA" w:rsidP="00D9409F">
            <w:r>
              <w:rPr>
                <w:sz w:val="18"/>
                <w:szCs w:val="18"/>
              </w:rPr>
              <w:t>Zone-redundant; multi-region for regional failure</w:t>
            </w:r>
          </w:p>
        </w:tc>
      </w:tr>
      <w:tr w:rsidR="002D25EA" w14:paraId="750F8BCB" w14:textId="77777777" w:rsidTr="00D9409F">
        <w:tc>
          <w:tcPr>
            <w:tcW w:w="4650" w:type="dxa"/>
            <w:tcMar>
              <w:top w:w="70" w:type="dxa"/>
              <w:left w:w="100" w:type="dxa"/>
              <w:bottom w:w="70" w:type="dxa"/>
              <w:right w:w="100" w:type="dxa"/>
            </w:tcMar>
            <w:vAlign w:val="center"/>
          </w:tcPr>
          <w:p w14:paraId="33B1C4F8" w14:textId="77777777" w:rsidR="002D25EA" w:rsidRDefault="002D25EA" w:rsidP="00D9409F">
            <w:r>
              <w:rPr>
                <w:sz w:val="18"/>
                <w:szCs w:val="18"/>
              </w:rPr>
              <w:t>Network (Firewall / NVA / DNS)</w:t>
            </w:r>
          </w:p>
        </w:tc>
        <w:tc>
          <w:tcPr>
            <w:tcW w:w="4650" w:type="dxa"/>
            <w:tcMar>
              <w:top w:w="70" w:type="dxa"/>
              <w:left w:w="100" w:type="dxa"/>
              <w:bottom w:w="70" w:type="dxa"/>
              <w:right w:w="100" w:type="dxa"/>
            </w:tcMar>
            <w:vAlign w:val="center"/>
          </w:tcPr>
          <w:p w14:paraId="45DE1D1C" w14:textId="77777777" w:rsidR="002D25EA" w:rsidRDefault="002D25EA" w:rsidP="00D9409F">
            <w:r>
              <w:rPr>
                <w:sz w:val="18"/>
                <w:szCs w:val="18"/>
              </w:rPr>
              <w:t>Confirm the egress and DNS path is itself resilient, not a single point of failure</w:t>
            </w:r>
          </w:p>
        </w:tc>
      </w:tr>
      <w:tr w:rsidR="002D25EA" w14:paraId="2BB6D3AA" w14:textId="77777777" w:rsidTr="00D9409F">
        <w:tc>
          <w:tcPr>
            <w:tcW w:w="4650" w:type="dxa"/>
            <w:tcMar>
              <w:top w:w="70" w:type="dxa"/>
              <w:left w:w="100" w:type="dxa"/>
              <w:bottom w:w="70" w:type="dxa"/>
              <w:right w:w="100" w:type="dxa"/>
            </w:tcMar>
            <w:vAlign w:val="center"/>
          </w:tcPr>
          <w:p w14:paraId="7072D5AB" w14:textId="77777777" w:rsidR="002D25EA" w:rsidRDefault="002D25EA" w:rsidP="00D9409F">
            <w:r>
              <w:rPr>
                <w:sz w:val="18"/>
                <w:szCs w:val="18"/>
              </w:rPr>
              <w:t>integration services</w:t>
            </w:r>
          </w:p>
        </w:tc>
        <w:tc>
          <w:tcPr>
            <w:tcW w:w="4650" w:type="dxa"/>
            <w:tcMar>
              <w:top w:w="70" w:type="dxa"/>
              <w:left w:w="100" w:type="dxa"/>
              <w:bottom w:w="70" w:type="dxa"/>
              <w:right w:w="100" w:type="dxa"/>
            </w:tcMar>
            <w:vAlign w:val="center"/>
          </w:tcPr>
          <w:p w14:paraId="007BE2C2" w14:textId="77777777" w:rsidR="002D25EA" w:rsidRDefault="002D25EA" w:rsidP="00D9409F">
            <w:r>
              <w:rPr>
                <w:sz w:val="18"/>
                <w:szCs w:val="18"/>
              </w:rPr>
              <w:t>Confirm the hosting plan is zone-redundant to match the gateway</w:t>
            </w:r>
          </w:p>
        </w:tc>
      </w:tr>
      <w:tr w:rsidR="002D25EA" w14:paraId="7AA81642" w14:textId="77777777" w:rsidTr="00D9409F">
        <w:tc>
          <w:tcPr>
            <w:tcW w:w="4650" w:type="dxa"/>
            <w:tcMar>
              <w:top w:w="70" w:type="dxa"/>
              <w:left w:w="100" w:type="dxa"/>
              <w:bottom w:w="70" w:type="dxa"/>
              <w:right w:w="100" w:type="dxa"/>
            </w:tcMar>
            <w:vAlign w:val="center"/>
          </w:tcPr>
          <w:p w14:paraId="1FE2FA86" w14:textId="77777777" w:rsidR="002D25EA" w:rsidRDefault="002D25EA" w:rsidP="00D9409F">
            <w:r>
              <w:rPr>
                <w:sz w:val="18"/>
                <w:szCs w:val="18"/>
              </w:rPr>
              <w:lastRenderedPageBreak/>
              <w:t>Backend data stores</w:t>
            </w:r>
          </w:p>
        </w:tc>
        <w:tc>
          <w:tcPr>
            <w:tcW w:w="4650" w:type="dxa"/>
            <w:tcMar>
              <w:top w:w="70" w:type="dxa"/>
              <w:left w:w="100" w:type="dxa"/>
              <w:bottom w:w="70" w:type="dxa"/>
              <w:right w:w="100" w:type="dxa"/>
            </w:tcMar>
            <w:vAlign w:val="center"/>
          </w:tcPr>
          <w:p w14:paraId="61B1BCE2" w14:textId="77777777" w:rsidR="002D25EA" w:rsidRDefault="002D25EA" w:rsidP="00D9409F">
            <w:r>
              <w:rPr>
                <w:sz w:val="18"/>
                <w:szCs w:val="18"/>
              </w:rPr>
              <w:t>Each has its own replication and RPO; the worst one sets the real data RPO</w:t>
            </w:r>
          </w:p>
        </w:tc>
      </w:tr>
      <w:tr w:rsidR="002D25EA" w14:paraId="396BFBF0" w14:textId="77777777" w:rsidTr="00D9409F">
        <w:tc>
          <w:tcPr>
            <w:tcW w:w="4650" w:type="dxa"/>
            <w:tcMar>
              <w:top w:w="70" w:type="dxa"/>
              <w:left w:w="100" w:type="dxa"/>
              <w:bottom w:w="70" w:type="dxa"/>
              <w:right w:w="100" w:type="dxa"/>
            </w:tcMar>
            <w:vAlign w:val="center"/>
          </w:tcPr>
          <w:p w14:paraId="1D6AD691" w14:textId="77777777" w:rsidR="002D25EA" w:rsidRDefault="002D25EA" w:rsidP="00D9409F">
            <w:r>
              <w:rPr>
                <w:sz w:val="18"/>
                <w:szCs w:val="18"/>
              </w:rPr>
              <w:t>Entra ID</w:t>
            </w:r>
          </w:p>
        </w:tc>
        <w:tc>
          <w:tcPr>
            <w:tcW w:w="4650" w:type="dxa"/>
            <w:tcMar>
              <w:top w:w="70" w:type="dxa"/>
              <w:left w:w="100" w:type="dxa"/>
              <w:bottom w:w="70" w:type="dxa"/>
              <w:right w:w="100" w:type="dxa"/>
            </w:tcMar>
            <w:vAlign w:val="center"/>
          </w:tcPr>
          <w:p w14:paraId="26B6446E" w14:textId="77777777" w:rsidR="002D25EA" w:rsidRDefault="002D25EA" w:rsidP="00D9409F">
            <w:r>
              <w:rPr>
                <w:sz w:val="18"/>
                <w:szCs w:val="18"/>
              </w:rPr>
              <w:t>Identity outage needs a break-glass path (section 9)</w:t>
            </w:r>
          </w:p>
        </w:tc>
      </w:tr>
    </w:tbl>
    <w:p w14:paraId="7EAD0711" w14:textId="77777777" w:rsidR="002D25EA" w:rsidRDefault="002D25EA" w:rsidP="002D25EA">
      <w:pPr>
        <w:spacing w:after="140"/>
      </w:pPr>
    </w:p>
    <w:p w14:paraId="4EF5120F" w14:textId="77777777" w:rsidR="002D25EA" w:rsidRDefault="002D25EA" w:rsidP="002D25EA">
      <w:pPr>
        <w:spacing w:after="140"/>
      </w:pPr>
      <w:r>
        <w:t>The single most important item to confirm here is whether integration services is configured for the same zone and regional resilience as the gateway; if it is not, the platform's real availability is set by the backend integration services, not by APIM.</w:t>
      </w:r>
    </w:p>
    <w:p w14:paraId="2AC29F18" w14:textId="77777777" w:rsidR="002D25EA" w:rsidRDefault="002D25EA" w:rsidP="002D25EA">
      <w:pPr>
        <w:spacing w:after="140"/>
      </w:pPr>
      <w:r>
        <w:t>Disaster recovery covers the rarer case: an entire Azure region becomes unavailable, not just one zone. For an insurance platform handling claims and policy data, this has to be planned for rather than hoped against.</w:t>
      </w:r>
    </w:p>
    <w:p w14:paraId="075E26CD" w14:textId="77777777" w:rsidR="002D25EA" w:rsidRDefault="002D25EA" w:rsidP="002D25EA">
      <w:pPr>
        <w:spacing w:before="80" w:after="120"/>
        <w:jc w:val="center"/>
      </w:pPr>
      <w:r>
        <w:rPr>
          <w:noProof/>
        </w:rPr>
        <w:drawing>
          <wp:inline distT="0" distB="0" distL="0" distR="0" wp14:anchorId="57D3074D" wp14:editId="55CBE6B8">
            <wp:extent cx="5486400" cy="2085975"/>
            <wp:effectExtent l="0" t="0" r="0" b="0"/>
            <wp:docPr id="445621351" name="Picture 44562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2085975"/>
                    </a:xfrm>
                    <a:prstGeom prst="rect">
                      <a:avLst/>
                    </a:prstGeom>
                  </pic:spPr>
                </pic:pic>
              </a:graphicData>
            </a:graphic>
          </wp:inline>
        </w:drawing>
      </w:r>
    </w:p>
    <w:p w14:paraId="42033A19" w14:textId="77777777" w:rsidR="002D25EA" w:rsidRDefault="002D25EA" w:rsidP="002D25EA">
      <w:pPr>
        <w:spacing w:after="180"/>
        <w:jc w:val="center"/>
      </w:pPr>
      <w:r>
        <w:rPr>
          <w:i/>
          <w:iCs/>
          <w:color w:val="666666"/>
          <w:sz w:val="18"/>
          <w:szCs w:val="18"/>
        </w:rPr>
        <w:t>Figure 27: Disaster recovery architecture</w:t>
      </w:r>
    </w:p>
    <w:p w14:paraId="10D8B0B2" w14:textId="77777777" w:rsidR="002D25EA" w:rsidRDefault="002D25EA" w:rsidP="002D25EA">
      <w:pPr>
        <w:spacing w:after="140"/>
      </w:pPr>
      <w:r>
        <w:t>Recommendation: run APIM Premium active in both UK South and UK West behind the same Front Door entry point. Front Door already health-checks both regions, so a UK South failure moves traffic to UK West automatically. All configuration lives in Git through APIOps, so a region can be rebuilt from nothing if it ever has to be.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7FDD94C7" w14:textId="77777777" w:rsidTr="00D9409F">
        <w:trPr>
          <w:tblHeader/>
        </w:trPr>
        <w:tc>
          <w:tcPr>
            <w:tcW w:w="3100" w:type="dxa"/>
            <w:shd w:val="clear" w:color="auto" w:fill="1E2761"/>
            <w:tcMar>
              <w:top w:w="70" w:type="dxa"/>
              <w:left w:w="100" w:type="dxa"/>
              <w:bottom w:w="70" w:type="dxa"/>
              <w:right w:w="100" w:type="dxa"/>
            </w:tcMar>
            <w:vAlign w:val="center"/>
          </w:tcPr>
          <w:p w14:paraId="63FF4772" w14:textId="77777777" w:rsidR="002D25EA" w:rsidRDefault="002D25EA" w:rsidP="00D9409F">
            <w:r>
              <w:rPr>
                <w:b/>
                <w:bCs/>
                <w:color w:val="FFFFFF"/>
                <w:sz w:val="18"/>
                <w:szCs w:val="18"/>
              </w:rPr>
              <w:t>Metric</w:t>
            </w:r>
          </w:p>
        </w:tc>
        <w:tc>
          <w:tcPr>
            <w:tcW w:w="3100" w:type="dxa"/>
            <w:shd w:val="clear" w:color="auto" w:fill="1E2761"/>
            <w:tcMar>
              <w:top w:w="70" w:type="dxa"/>
              <w:left w:w="100" w:type="dxa"/>
              <w:bottom w:w="70" w:type="dxa"/>
              <w:right w:w="100" w:type="dxa"/>
            </w:tcMar>
            <w:vAlign w:val="center"/>
          </w:tcPr>
          <w:p w14:paraId="5364D5C0" w14:textId="77777777" w:rsidR="002D25EA" w:rsidRDefault="002D25EA" w:rsidP="00D9409F">
            <w:r>
              <w:rPr>
                <w:b/>
                <w:bCs/>
                <w:color w:val="FFFFFF"/>
                <w:sz w:val="18"/>
                <w:szCs w:val="18"/>
              </w:rPr>
              <w:t>Target</w:t>
            </w:r>
          </w:p>
        </w:tc>
        <w:tc>
          <w:tcPr>
            <w:tcW w:w="3100" w:type="dxa"/>
            <w:shd w:val="clear" w:color="auto" w:fill="1E2761"/>
            <w:tcMar>
              <w:top w:w="70" w:type="dxa"/>
              <w:left w:w="100" w:type="dxa"/>
              <w:bottom w:w="70" w:type="dxa"/>
              <w:right w:w="100" w:type="dxa"/>
            </w:tcMar>
            <w:vAlign w:val="center"/>
          </w:tcPr>
          <w:p w14:paraId="5E6911D2" w14:textId="77777777" w:rsidR="002D25EA" w:rsidRDefault="002D25EA" w:rsidP="00D9409F">
            <w:r>
              <w:rPr>
                <w:b/>
                <w:bCs/>
                <w:color w:val="FFFFFF"/>
                <w:sz w:val="18"/>
                <w:szCs w:val="18"/>
              </w:rPr>
              <w:t>What it means</w:t>
            </w:r>
          </w:p>
        </w:tc>
      </w:tr>
      <w:tr w:rsidR="002D25EA" w14:paraId="18CBCB0B" w14:textId="77777777" w:rsidTr="00D9409F">
        <w:tc>
          <w:tcPr>
            <w:tcW w:w="3100" w:type="dxa"/>
            <w:tcMar>
              <w:top w:w="70" w:type="dxa"/>
              <w:left w:w="100" w:type="dxa"/>
              <w:bottom w:w="70" w:type="dxa"/>
              <w:right w:w="100" w:type="dxa"/>
            </w:tcMar>
            <w:vAlign w:val="center"/>
          </w:tcPr>
          <w:p w14:paraId="72A1A148" w14:textId="77777777" w:rsidR="002D25EA" w:rsidRDefault="002D25EA" w:rsidP="00D9409F">
            <w:r>
              <w:rPr>
                <w:sz w:val="18"/>
                <w:szCs w:val="18"/>
              </w:rPr>
              <w:t>Recovery Time Objective</w:t>
            </w:r>
          </w:p>
        </w:tc>
        <w:tc>
          <w:tcPr>
            <w:tcW w:w="3100" w:type="dxa"/>
            <w:tcMar>
              <w:top w:w="70" w:type="dxa"/>
              <w:left w:w="100" w:type="dxa"/>
              <w:bottom w:w="70" w:type="dxa"/>
              <w:right w:w="100" w:type="dxa"/>
            </w:tcMar>
            <w:vAlign w:val="center"/>
          </w:tcPr>
          <w:p w14:paraId="3DB54543" w14:textId="77777777" w:rsidR="002D25EA" w:rsidRDefault="002D25EA" w:rsidP="00D9409F">
            <w:r>
              <w:rPr>
                <w:sz w:val="18"/>
                <w:szCs w:val="18"/>
              </w:rPr>
              <w:t>Under 30 minutes, often seconds with active-active</w:t>
            </w:r>
          </w:p>
        </w:tc>
        <w:tc>
          <w:tcPr>
            <w:tcW w:w="3100" w:type="dxa"/>
            <w:tcMar>
              <w:top w:w="70" w:type="dxa"/>
              <w:left w:w="100" w:type="dxa"/>
              <w:bottom w:w="70" w:type="dxa"/>
              <w:right w:w="100" w:type="dxa"/>
            </w:tcMar>
            <w:vAlign w:val="center"/>
          </w:tcPr>
          <w:p w14:paraId="6E2EE9CA" w14:textId="77777777" w:rsidR="002D25EA" w:rsidRDefault="002D25EA" w:rsidP="00D9409F">
            <w:r>
              <w:rPr>
                <w:sz w:val="18"/>
                <w:szCs w:val="18"/>
              </w:rPr>
              <w:t>How long the API layer is unavailable after a regional failure</w:t>
            </w:r>
          </w:p>
        </w:tc>
      </w:tr>
      <w:tr w:rsidR="002D25EA" w14:paraId="38079F4B" w14:textId="77777777" w:rsidTr="00D9409F">
        <w:tc>
          <w:tcPr>
            <w:tcW w:w="3100" w:type="dxa"/>
            <w:tcMar>
              <w:top w:w="70" w:type="dxa"/>
              <w:left w:w="100" w:type="dxa"/>
              <w:bottom w:w="70" w:type="dxa"/>
              <w:right w:w="100" w:type="dxa"/>
            </w:tcMar>
            <w:vAlign w:val="center"/>
          </w:tcPr>
          <w:p w14:paraId="5D3924C2" w14:textId="77777777" w:rsidR="002D25EA" w:rsidRDefault="002D25EA" w:rsidP="00D9409F">
            <w:r>
              <w:rPr>
                <w:sz w:val="18"/>
                <w:szCs w:val="18"/>
              </w:rPr>
              <w:t>Recovery Point Objective, configuration</w:t>
            </w:r>
          </w:p>
        </w:tc>
        <w:tc>
          <w:tcPr>
            <w:tcW w:w="3100" w:type="dxa"/>
            <w:tcMar>
              <w:top w:w="70" w:type="dxa"/>
              <w:left w:w="100" w:type="dxa"/>
              <w:bottom w:w="70" w:type="dxa"/>
              <w:right w:w="100" w:type="dxa"/>
            </w:tcMar>
            <w:vAlign w:val="center"/>
          </w:tcPr>
          <w:p w14:paraId="7444166B" w14:textId="77777777" w:rsidR="002D25EA" w:rsidRDefault="002D25EA" w:rsidP="00D9409F">
            <w:r>
              <w:rPr>
                <w:sz w:val="18"/>
                <w:szCs w:val="18"/>
              </w:rPr>
              <w:t>Near zero</w:t>
            </w:r>
          </w:p>
        </w:tc>
        <w:tc>
          <w:tcPr>
            <w:tcW w:w="3100" w:type="dxa"/>
            <w:tcMar>
              <w:top w:w="70" w:type="dxa"/>
              <w:left w:w="100" w:type="dxa"/>
              <w:bottom w:w="70" w:type="dxa"/>
              <w:right w:w="100" w:type="dxa"/>
            </w:tcMar>
            <w:vAlign w:val="center"/>
          </w:tcPr>
          <w:p w14:paraId="731CEEF2" w14:textId="77777777" w:rsidR="002D25EA" w:rsidRDefault="002D25EA" w:rsidP="00D9409F">
            <w:r>
              <w:rPr>
                <w:sz w:val="18"/>
                <w:szCs w:val="18"/>
              </w:rPr>
              <w:t>Configuration is rebuilt from Git, nothing is lost</w:t>
            </w:r>
          </w:p>
        </w:tc>
      </w:tr>
      <w:tr w:rsidR="002D25EA" w14:paraId="5BA4754A" w14:textId="77777777" w:rsidTr="00D9409F">
        <w:tc>
          <w:tcPr>
            <w:tcW w:w="3100" w:type="dxa"/>
            <w:tcMar>
              <w:top w:w="70" w:type="dxa"/>
              <w:left w:w="100" w:type="dxa"/>
              <w:bottom w:w="70" w:type="dxa"/>
              <w:right w:w="100" w:type="dxa"/>
            </w:tcMar>
            <w:vAlign w:val="center"/>
          </w:tcPr>
          <w:p w14:paraId="1776D0F2" w14:textId="77777777" w:rsidR="002D25EA" w:rsidRDefault="002D25EA" w:rsidP="00D9409F">
            <w:r>
              <w:rPr>
                <w:sz w:val="18"/>
                <w:szCs w:val="18"/>
              </w:rPr>
              <w:t>Recovery Point Objective, data</w:t>
            </w:r>
          </w:p>
        </w:tc>
        <w:tc>
          <w:tcPr>
            <w:tcW w:w="3100" w:type="dxa"/>
            <w:tcMar>
              <w:top w:w="70" w:type="dxa"/>
              <w:left w:w="100" w:type="dxa"/>
              <w:bottom w:w="70" w:type="dxa"/>
              <w:right w:w="100" w:type="dxa"/>
            </w:tcMar>
            <w:vAlign w:val="center"/>
          </w:tcPr>
          <w:p w14:paraId="443A9F71" w14:textId="77777777" w:rsidR="002D25EA" w:rsidRDefault="002D25EA" w:rsidP="00D9409F">
            <w:r>
              <w:rPr>
                <w:sz w:val="18"/>
                <w:szCs w:val="18"/>
              </w:rPr>
              <w:t>Depends on each backend's own replication SLA</w:t>
            </w:r>
          </w:p>
        </w:tc>
        <w:tc>
          <w:tcPr>
            <w:tcW w:w="3100" w:type="dxa"/>
            <w:tcMar>
              <w:top w:w="70" w:type="dxa"/>
              <w:left w:w="100" w:type="dxa"/>
              <w:bottom w:w="70" w:type="dxa"/>
              <w:right w:w="100" w:type="dxa"/>
            </w:tcMar>
            <w:vAlign w:val="center"/>
          </w:tcPr>
          <w:p w14:paraId="18038F7D" w14:textId="77777777" w:rsidR="002D25EA" w:rsidRDefault="002D25EA" w:rsidP="00D9409F">
            <w:r>
              <w:rPr>
                <w:sz w:val="18"/>
                <w:szCs w:val="18"/>
              </w:rPr>
              <w:t>APIM does not create or remove this risk</w:t>
            </w:r>
          </w:p>
        </w:tc>
      </w:tr>
    </w:tbl>
    <w:p w14:paraId="4F3491A4" w14:textId="77777777" w:rsidR="002D25EA" w:rsidRDefault="002D25EA" w:rsidP="002D25EA">
      <w:pPr>
        <w:spacing w:after="140"/>
      </w:pPr>
    </w:p>
    <w:p w14:paraId="2EC420CA" w14:textId="77777777" w:rsidR="002D25EA" w:rsidRDefault="002D25EA" w:rsidP="002D25EA">
      <w:pPr>
        <w:spacing w:after="140"/>
      </w:pPr>
      <w:r>
        <w:t>Active-active roughly doubles the APIM unit cost, since a live Premium unit runs in each region. Active-passive saves less than expected, since standby units still bill close to full price. Given the sensitivity of claims and policy data, we recommend active-active despite the higher run cost.</w:t>
      </w:r>
    </w:p>
    <w:p>
      <w:pPr>
        <w:pStyle w:val="Heading3"/>
        <w:spacing w:after="90" w:before="160"/>
      </w:pPr>
      <w:r>
        <w:rPr>
          <w:rFonts w:ascii="Noe Text Regular" w:cs="Noe Text Regular" w:eastAsia="Noe Text Regular" w:hAnsi="Noe Text Regular"/>
        </w:rPr>
        <w:t xml:space="preserve">HA/DR options ranked by cost, so the trade-off is explicit</w:t>
      </w:r>
    </w:p>
    <w:p>
      <w:pPr>
        <w:spacing w:after="140"/>
      </w:pPr>
      <w:r>
        <w:rPr>
          <w:rFonts w:ascii="Noe Text" w:cs="Noe Text" w:eastAsia="Noe Text" w:hAnsi="Noe Text"/>
          <w:color w:val="333333"/>
          <w:sz w:val="21"/>
          <w:szCs w:val="21"/>
        </w:rPr>
        <w:t xml:space="preserve">Not every API needs the same level of protection, and the cheapest way to run this platform is to only pay for active-active where it genuinely matters. The options below are ordered from cheapest to most expensive; the Organization does not have to pick one for the whole estate, scoping the expensive option to only the APIs that need it is the main lever for controlling cost.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600"/>
      </w:tblGrid>
      <w:tr>
        <w:trPr>
          <w:tblHeader/>
        </w:trPr>
        <w:tc>
          <w:tcPr>
            <w:tcW w:type="dxa" w:w="2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Option</w:t>
            </w:r>
          </w:p>
        </w:tc>
        <w:tc>
          <w:tcPr>
            <w:tcW w:type="dxa" w:w="32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What it gives you</w:t>
            </w:r>
          </w:p>
        </w:tc>
        <w:tc>
          <w:tcPr>
            <w:tcW w:type="dxa" w:w="19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Relative cost</w:t>
            </w:r>
          </w:p>
        </w:tc>
        <w:tc>
          <w:tcPr>
            <w:tcW w:type="dxa" w:w="1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Use it when</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1. Single region, zone-redundant</w:t>
            </w:r>
          </w:p>
        </w:tc>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Survives loss of one datacentre. No protection if the whole region fails.</w:t>
            </w:r>
          </w:p>
        </w:tc>
        <w:tc>
          <w:tcPr>
            <w:tcW w:type="dxa" w:w="1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Lowest: baseline unit cost, zones are free</w:t>
            </w:r>
          </w:p>
        </w:tc>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Lower-priority internal APIs where an hours-long regional outage is tolerable</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2. Active-passive multi-region</w:t>
            </w:r>
          </w:p>
        </w:tc>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cold or warm standby region takes over after a manual or scripted failover.</w:t>
            </w:r>
          </w:p>
        </w:tc>
        <w:tc>
          <w:tcPr>
            <w:tcW w:type="dxa" w:w="1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Medium: standby units still bill close to full price, so the saving versus active-active is smaller than it looks</w:t>
            </w:r>
          </w:p>
        </w:tc>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middle ground when full active-active cannot be justified but a region loss still cannot mean total outage</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3. Active-active multi-region (recommended for the Organization)</w:t>
            </w:r>
          </w:p>
        </w:tc>
        <w:tc>
          <w:tcPr>
            <w:tcW w:type="dxa" w:w="3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Both regions serve live traffic; Front Door fails over automatically with no manual step</w:t>
            </w:r>
          </w:p>
        </w:tc>
        <w:tc>
          <w:tcPr>
            <w:tcW w:type="dxa" w:w="19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Highest: roughly double the APIM unit cost</w:t>
            </w:r>
          </w:p>
        </w:tc>
        <w:tc>
          <w:tcPr>
            <w:tcW w:type="dxa" w:w="1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APIs carrying claims or policy data, where an RTO of minutes, not hours, is required</w:t>
            </w:r>
          </w:p>
        </w:tc>
      </w:tr>
    </w:tbl>
    <w:p>
      <w:pPr>
        <w:spacing w:after="140"/>
      </w:pPr>
      <w:r>
        <w:rPr>
          <w:rFonts w:ascii="Noe Text" w:cs="Noe Text" w:eastAsia="Noe Text" w:hAnsi="Noe Text"/>
          <w:i/>
          <w:iCs/>
          <w:color w:val="333333"/>
          <w:sz w:val="21"/>
          <w:szCs w:val="21"/>
        </w:rPr>
        <w:t xml:space="preserve">The cost-minimising move is scope, not tier: run the platform itself on classic Premium so active-active is available, but only mark the APIs that truly need it as active-active in practice; lower-priority products can stay effectively single-region even on shared multi-region infrastructure. This is a per-product decision to make with the business, not a platform-wide setting.</w:t>
      </w:r>
    </w:p>
    <w:p w14:paraId="352AA18D" w14:textId="77777777" w:rsidR="002D25EA" w:rsidRPr="00C8018D" w:rsidRDefault="002D25EA" w:rsidP="00C8018D">
      <w:pPr>
        <w:rPr>
          <w:b/>
          <w:bCs/>
        </w:rPr>
      </w:pPr>
      <w:r>
        <w:rPr>
          <w:b/>
          <w:bCs/>
        </w:rPr>
        <w:t>How this aligns with the chosen edge service (Front Door, Option B)</w:t>
      </w:r>
    </w:p>
    <w:p w14:paraId="3F847298" w14:textId="77777777" w:rsidR="002D25EA" w:rsidRDefault="002D25EA" w:rsidP="002D25EA">
      <w:pPr>
        <w:spacing w:after="140"/>
      </w:pPr>
      <w:r>
        <w:t>The HA/DR model here is not independent of the edge decision in section 7: it is a direct consequence of choosing Azure Front Door (Option B). Front Door is what makes multi-region active-active practical: it health-probes both regional APIM gateways, holds the single global hostname every consumer uses, and moves traffic from UK South to UK West automatically when a region’s probes fail, with no DNS-cache delay. Had the Organization chosen Option A (Application Gateway only), regional failover would not be built in and a separate global-routing layer would have to be added to achieve the same DR posture. The table makes the dependency explicit.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00"/>
      </w:tblGrid>
      <w:tr w:rsidR="002D25EA" w14:paraId="6DEB59E5" w14:textId="77777777" w:rsidTr="00D9409F">
        <w:trPr>
          <w:tblHeader/>
        </w:trPr>
        <w:tc>
          <w:tcPr>
            <w:tcW w:w="2200" w:type="dxa"/>
            <w:shd w:val="clear" w:color="auto" w:fill="1E2761"/>
            <w:tcMar>
              <w:top w:w="70" w:type="dxa"/>
              <w:left w:w="100" w:type="dxa"/>
              <w:bottom w:w="70" w:type="dxa"/>
              <w:right w:w="100" w:type="dxa"/>
            </w:tcMar>
          </w:tcPr>
          <w:p w14:paraId="572CF8ED" w14:textId="77777777" w:rsidR="002D25EA" w:rsidRDefault="002D25EA" w:rsidP="00D9409F">
            <w:r>
              <w:rPr>
                <w:b/>
                <w:bCs/>
                <w:color w:val="FFFFFF"/>
                <w:sz w:val="18"/>
                <w:szCs w:val="18"/>
              </w:rPr>
              <w:lastRenderedPageBreak/>
              <w:t>Resilience layer</w:t>
            </w:r>
          </w:p>
        </w:tc>
        <w:tc>
          <w:tcPr>
            <w:tcW w:w="3300" w:type="dxa"/>
            <w:shd w:val="clear" w:color="auto" w:fill="1E2761"/>
            <w:tcMar>
              <w:top w:w="70" w:type="dxa"/>
              <w:left w:w="100" w:type="dxa"/>
              <w:bottom w:w="70" w:type="dxa"/>
              <w:right w:w="100" w:type="dxa"/>
            </w:tcMar>
          </w:tcPr>
          <w:p w14:paraId="73566F6A" w14:textId="77777777" w:rsidR="002D25EA" w:rsidRDefault="002D25EA" w:rsidP="00D9409F">
            <w:r>
              <w:rPr>
                <w:b/>
                <w:bCs/>
                <w:color w:val="FFFFFF"/>
                <w:sz w:val="18"/>
                <w:szCs w:val="18"/>
              </w:rPr>
              <w:t>Provided by (given Option B)</w:t>
            </w:r>
          </w:p>
        </w:tc>
        <w:tc>
          <w:tcPr>
            <w:tcW w:w="3800" w:type="dxa"/>
            <w:shd w:val="clear" w:color="auto" w:fill="1E2761"/>
            <w:tcMar>
              <w:top w:w="70" w:type="dxa"/>
              <w:left w:w="100" w:type="dxa"/>
              <w:bottom w:w="70" w:type="dxa"/>
              <w:right w:w="100" w:type="dxa"/>
            </w:tcMar>
          </w:tcPr>
          <w:p w14:paraId="55FD351C" w14:textId="77777777" w:rsidR="002D25EA" w:rsidRDefault="002D25EA" w:rsidP="00D9409F">
            <w:r>
              <w:rPr>
                <w:b/>
                <w:bCs/>
                <w:color w:val="FFFFFF"/>
                <w:sz w:val="18"/>
                <w:szCs w:val="18"/>
              </w:rPr>
              <w:t>Effect</w:t>
            </w:r>
          </w:p>
        </w:tc>
      </w:tr>
      <w:tr w:rsidR="002D25EA" w14:paraId="43EACA57" w14:textId="77777777" w:rsidTr="00D9409F">
        <w:tc>
          <w:tcPr>
            <w:tcW w:w="2200" w:type="dxa"/>
            <w:tcMar>
              <w:top w:w="70" w:type="dxa"/>
              <w:left w:w="100" w:type="dxa"/>
              <w:bottom w:w="70" w:type="dxa"/>
              <w:right w:w="100" w:type="dxa"/>
            </w:tcMar>
          </w:tcPr>
          <w:p w14:paraId="78E4A784" w14:textId="77777777" w:rsidR="002D25EA" w:rsidRDefault="002D25EA" w:rsidP="00D9409F">
            <w:r>
              <w:rPr>
                <w:sz w:val="18"/>
                <w:szCs w:val="18"/>
              </w:rPr>
              <w:t>Regional failover</w:t>
            </w:r>
          </w:p>
        </w:tc>
        <w:tc>
          <w:tcPr>
            <w:tcW w:w="3300" w:type="dxa"/>
            <w:tcMar>
              <w:top w:w="70" w:type="dxa"/>
              <w:left w:w="100" w:type="dxa"/>
              <w:bottom w:w="70" w:type="dxa"/>
              <w:right w:w="100" w:type="dxa"/>
            </w:tcMar>
          </w:tcPr>
          <w:p w14:paraId="76FB6092" w14:textId="77777777" w:rsidR="002D25EA" w:rsidRDefault="002D25EA" w:rsidP="00D9409F">
            <w:r>
              <w:rPr>
                <w:sz w:val="18"/>
                <w:szCs w:val="18"/>
              </w:rPr>
              <w:t>Front Door automatic origin failover (health-probed)</w:t>
            </w:r>
          </w:p>
        </w:tc>
        <w:tc>
          <w:tcPr>
            <w:tcW w:w="3800" w:type="dxa"/>
            <w:tcMar>
              <w:top w:w="70" w:type="dxa"/>
              <w:left w:w="100" w:type="dxa"/>
              <w:bottom w:w="70" w:type="dxa"/>
              <w:right w:w="100" w:type="dxa"/>
            </w:tcMar>
          </w:tcPr>
          <w:p w14:paraId="24B4B75A" w14:textId="77777777" w:rsidR="002D25EA" w:rsidRDefault="002D25EA" w:rsidP="00D9409F">
            <w:r>
              <w:rPr>
                <w:sz w:val="18"/>
                <w:szCs w:val="18"/>
              </w:rPr>
              <w:t>A UK South outage routes to UK West with no manual action or DNS wait</w:t>
            </w:r>
          </w:p>
        </w:tc>
      </w:tr>
      <w:tr w:rsidR="002D25EA" w14:paraId="5EA6BB1F" w14:textId="77777777" w:rsidTr="00D9409F">
        <w:tc>
          <w:tcPr>
            <w:tcW w:w="2200" w:type="dxa"/>
            <w:tcMar>
              <w:top w:w="70" w:type="dxa"/>
              <w:left w:w="100" w:type="dxa"/>
              <w:bottom w:w="70" w:type="dxa"/>
              <w:right w:w="100" w:type="dxa"/>
            </w:tcMar>
          </w:tcPr>
          <w:p w14:paraId="216152DC" w14:textId="77777777" w:rsidR="002D25EA" w:rsidRDefault="002D25EA" w:rsidP="00D9409F">
            <w:r>
              <w:rPr>
                <w:sz w:val="18"/>
                <w:szCs w:val="18"/>
              </w:rPr>
              <w:t>Single entry point</w:t>
            </w:r>
          </w:p>
        </w:tc>
        <w:tc>
          <w:tcPr>
            <w:tcW w:w="3300" w:type="dxa"/>
            <w:tcMar>
              <w:top w:w="70" w:type="dxa"/>
              <w:left w:w="100" w:type="dxa"/>
              <w:bottom w:w="70" w:type="dxa"/>
              <w:right w:w="100" w:type="dxa"/>
            </w:tcMar>
          </w:tcPr>
          <w:p w14:paraId="2DB480F0" w14:textId="77777777" w:rsidR="002D25EA" w:rsidRDefault="002D25EA" w:rsidP="00D9409F">
            <w:r>
              <w:rPr>
                <w:sz w:val="18"/>
                <w:szCs w:val="18"/>
              </w:rPr>
              <w:t>One Front Door global hostname for all consumers</w:t>
            </w:r>
          </w:p>
        </w:tc>
        <w:tc>
          <w:tcPr>
            <w:tcW w:w="3800" w:type="dxa"/>
            <w:tcMar>
              <w:top w:w="70" w:type="dxa"/>
              <w:left w:w="100" w:type="dxa"/>
              <w:bottom w:w="70" w:type="dxa"/>
              <w:right w:w="100" w:type="dxa"/>
            </w:tcMar>
          </w:tcPr>
          <w:p w14:paraId="00C347D1" w14:textId="77777777" w:rsidR="002D25EA" w:rsidRDefault="002D25EA" w:rsidP="00D9409F">
            <w:r>
              <w:rPr>
                <w:sz w:val="18"/>
                <w:szCs w:val="18"/>
              </w:rPr>
              <w:t>Consumers are unaware of which region serves them; no client-side change on failover</w:t>
            </w:r>
          </w:p>
        </w:tc>
      </w:tr>
      <w:tr w:rsidR="002D25EA" w14:paraId="7A644056" w14:textId="77777777" w:rsidTr="00D9409F">
        <w:tc>
          <w:tcPr>
            <w:tcW w:w="2200" w:type="dxa"/>
            <w:tcMar>
              <w:top w:w="70" w:type="dxa"/>
              <w:left w:w="100" w:type="dxa"/>
              <w:bottom w:w="70" w:type="dxa"/>
              <w:right w:w="100" w:type="dxa"/>
            </w:tcMar>
          </w:tcPr>
          <w:p w14:paraId="3D6575D2" w14:textId="77777777" w:rsidR="002D25EA" w:rsidRDefault="002D25EA" w:rsidP="00D9409F">
            <w:r>
              <w:rPr>
                <w:sz w:val="18"/>
                <w:szCs w:val="18"/>
              </w:rPr>
              <w:t>Edge resilience</w:t>
            </w:r>
          </w:p>
        </w:tc>
        <w:tc>
          <w:tcPr>
            <w:tcW w:w="3300" w:type="dxa"/>
            <w:tcMar>
              <w:top w:w="70" w:type="dxa"/>
              <w:left w:w="100" w:type="dxa"/>
              <w:bottom w:w="70" w:type="dxa"/>
              <w:right w:w="100" w:type="dxa"/>
            </w:tcMar>
          </w:tcPr>
          <w:p w14:paraId="7865CB42" w14:textId="77777777" w:rsidR="002D25EA" w:rsidRDefault="002D25EA" w:rsidP="00D9409F">
            <w:r>
              <w:rPr>
                <w:sz w:val="18"/>
                <w:szCs w:val="18"/>
              </w:rPr>
              <w:t>Front Door global anycast + edge WAF/DDoS</w:t>
            </w:r>
          </w:p>
        </w:tc>
        <w:tc>
          <w:tcPr>
            <w:tcW w:w="3800" w:type="dxa"/>
            <w:tcMar>
              <w:top w:w="70" w:type="dxa"/>
              <w:left w:w="100" w:type="dxa"/>
              <w:bottom w:w="70" w:type="dxa"/>
              <w:right w:w="100" w:type="dxa"/>
            </w:tcMar>
          </w:tcPr>
          <w:p w14:paraId="7433983D" w14:textId="77777777" w:rsidR="002D25EA" w:rsidRDefault="002D25EA" w:rsidP="00D9409F">
            <w:r>
              <w:rPr>
                <w:sz w:val="18"/>
                <w:szCs w:val="18"/>
              </w:rPr>
              <w:t>Volumetric and malicious traffic absorbed before it reaches either region</w:t>
            </w:r>
          </w:p>
        </w:tc>
      </w:tr>
      <w:tr w:rsidR="002D25EA" w14:paraId="22281796" w14:textId="77777777" w:rsidTr="00D9409F">
        <w:tc>
          <w:tcPr>
            <w:tcW w:w="2200" w:type="dxa"/>
            <w:tcMar>
              <w:top w:w="70" w:type="dxa"/>
              <w:left w:w="100" w:type="dxa"/>
              <w:bottom w:w="70" w:type="dxa"/>
              <w:right w:w="100" w:type="dxa"/>
            </w:tcMar>
          </w:tcPr>
          <w:p w14:paraId="73051DE6" w14:textId="77777777" w:rsidR="002D25EA" w:rsidRDefault="002D25EA" w:rsidP="00D9409F">
            <w:r>
              <w:rPr>
                <w:sz w:val="18"/>
                <w:szCs w:val="18"/>
              </w:rPr>
              <w:t>In-region HA</w:t>
            </w:r>
          </w:p>
        </w:tc>
        <w:tc>
          <w:tcPr>
            <w:tcW w:w="3300" w:type="dxa"/>
            <w:tcMar>
              <w:top w:w="70" w:type="dxa"/>
              <w:left w:w="100" w:type="dxa"/>
              <w:bottom w:w="70" w:type="dxa"/>
              <w:right w:w="100" w:type="dxa"/>
            </w:tcMar>
          </w:tcPr>
          <w:p w14:paraId="2658E7BC" w14:textId="77777777" w:rsidR="002D25EA" w:rsidRDefault="002D25EA" w:rsidP="00D9409F">
            <w:r>
              <w:rPr>
                <w:sz w:val="18"/>
                <w:szCs w:val="18"/>
              </w:rPr>
              <w:t>Zone-redundant APIM (classic Premium) behind Front Door</w:t>
            </w:r>
          </w:p>
        </w:tc>
        <w:tc>
          <w:tcPr>
            <w:tcW w:w="3800" w:type="dxa"/>
            <w:tcMar>
              <w:top w:w="70" w:type="dxa"/>
              <w:left w:w="100" w:type="dxa"/>
              <w:bottom w:w="70" w:type="dxa"/>
              <w:right w:w="100" w:type="dxa"/>
            </w:tcMar>
          </w:tcPr>
          <w:p w14:paraId="3BBECF6B" w14:textId="77777777" w:rsidR="002D25EA" w:rsidRDefault="002D25EA" w:rsidP="00D9409F">
            <w:r>
              <w:rPr>
                <w:sz w:val="18"/>
                <w:szCs w:val="18"/>
              </w:rPr>
              <w:t>Survives loss of a single datacentre within a region</w:t>
            </w:r>
          </w:p>
        </w:tc>
      </w:tr>
      <w:tr w:rsidR="002D25EA" w14:paraId="6B450A3F" w14:textId="77777777" w:rsidTr="00D9409F">
        <w:tc>
          <w:tcPr>
            <w:tcW w:w="2200" w:type="dxa"/>
            <w:tcMar>
              <w:top w:w="70" w:type="dxa"/>
              <w:left w:w="100" w:type="dxa"/>
              <w:bottom w:w="70" w:type="dxa"/>
              <w:right w:w="100" w:type="dxa"/>
            </w:tcMar>
          </w:tcPr>
          <w:p w14:paraId="771D958E" w14:textId="77777777" w:rsidR="002D25EA" w:rsidRDefault="002D25EA" w:rsidP="00D9409F">
            <w:r>
              <w:rPr>
                <w:sz w:val="18"/>
                <w:szCs w:val="18"/>
              </w:rPr>
              <w:t>Backend resilience</w:t>
            </w:r>
          </w:p>
        </w:tc>
        <w:tc>
          <w:tcPr>
            <w:tcW w:w="3300" w:type="dxa"/>
            <w:tcMar>
              <w:top w:w="70" w:type="dxa"/>
              <w:left w:w="100" w:type="dxa"/>
              <w:bottom w:w="70" w:type="dxa"/>
              <w:right w:w="100" w:type="dxa"/>
            </w:tcMar>
          </w:tcPr>
          <w:p w14:paraId="44FF4E0A" w14:textId="77777777" w:rsidR="002D25EA" w:rsidRDefault="002D25EA" w:rsidP="00D9409F">
            <w:r>
              <w:rPr>
                <w:sz w:val="18"/>
                <w:szCs w:val="18"/>
              </w:rPr>
              <w:t>Zone-redundant integration services, Functions and Service Bus</w:t>
            </w:r>
          </w:p>
        </w:tc>
        <w:tc>
          <w:tcPr>
            <w:tcW w:w="3800" w:type="dxa"/>
            <w:tcMar>
              <w:top w:w="70" w:type="dxa"/>
              <w:left w:w="100" w:type="dxa"/>
              <w:bottom w:w="70" w:type="dxa"/>
              <w:right w:w="100" w:type="dxa"/>
            </w:tcMar>
          </w:tcPr>
          <w:p w14:paraId="1161AD61" w14:textId="77777777" w:rsidR="002D25EA" w:rsidRDefault="002D25EA" w:rsidP="00D9409F">
            <w:r>
              <w:rPr>
                <w:sz w:val="18"/>
                <w:szCs w:val="18"/>
              </w:rPr>
              <w:t>Confirmed separately: the chain is only as resilient as its weakest hop (A.09)</w:t>
            </w:r>
          </w:p>
        </w:tc>
      </w:tr>
      <w:tr w:rsidR="002D25EA" w14:paraId="31FD5C89" w14:textId="77777777" w:rsidTr="00D9409F">
        <w:tc>
          <w:tcPr>
            <w:tcW w:w="2200" w:type="dxa"/>
            <w:tcMar>
              <w:top w:w="70" w:type="dxa"/>
              <w:left w:w="100" w:type="dxa"/>
              <w:bottom w:w="70" w:type="dxa"/>
              <w:right w:w="100" w:type="dxa"/>
            </w:tcMar>
          </w:tcPr>
          <w:p w14:paraId="52A712F0" w14:textId="77777777" w:rsidR="002D25EA" w:rsidRDefault="002D25EA" w:rsidP="00D9409F">
            <w:r>
              <w:rPr>
                <w:sz w:val="18"/>
                <w:szCs w:val="18"/>
              </w:rPr>
              <w:t>Config recovery</w:t>
            </w:r>
          </w:p>
        </w:tc>
        <w:tc>
          <w:tcPr>
            <w:tcW w:w="3300" w:type="dxa"/>
            <w:tcMar>
              <w:top w:w="70" w:type="dxa"/>
              <w:left w:w="100" w:type="dxa"/>
              <w:bottom w:w="70" w:type="dxa"/>
              <w:right w:w="100" w:type="dxa"/>
            </w:tcMar>
          </w:tcPr>
          <w:p w14:paraId="6E8E6B5C" w14:textId="77777777" w:rsidR="002D25EA" w:rsidRDefault="002D25EA" w:rsidP="00D9409F">
            <w:r>
              <w:rPr>
                <w:sz w:val="18"/>
                <w:szCs w:val="18"/>
              </w:rPr>
              <w:t>APIOps / Git for both regions</w:t>
            </w:r>
          </w:p>
        </w:tc>
        <w:tc>
          <w:tcPr>
            <w:tcW w:w="3800" w:type="dxa"/>
            <w:tcMar>
              <w:top w:w="70" w:type="dxa"/>
              <w:left w:w="100" w:type="dxa"/>
              <w:bottom w:w="70" w:type="dxa"/>
              <w:right w:w="100" w:type="dxa"/>
            </w:tcMar>
          </w:tcPr>
          <w:p w14:paraId="68B99105" w14:textId="77777777" w:rsidR="002D25EA" w:rsidRDefault="002D25EA" w:rsidP="00D9409F">
            <w:r>
              <w:rPr>
                <w:sz w:val="18"/>
                <w:szCs w:val="18"/>
              </w:rPr>
              <w:t>A region can be rebuilt from code; RPO for configuration near zero</w:t>
            </w:r>
          </w:p>
        </w:tc>
      </w:tr>
    </w:tbl>
    <w:p w14:paraId="5FD3C6F0" w14:textId="77777777" w:rsidR="002D25EA" w:rsidRDefault="002D25EA" w:rsidP="002D25EA">
      <w:pPr>
        <w:spacing w:after="60"/>
      </w:pPr>
    </w:p>
    <w:p w14:paraId="5A83D6DA" w14:textId="77777777" w:rsidR="002D25EA" w:rsidRPr="00C8018D" w:rsidRDefault="002D25EA" w:rsidP="00C8018D">
      <w:pPr>
        <w:rPr>
          <w:b/>
          <w:bCs/>
        </w:rPr>
      </w:pPr>
      <w:r>
        <w:rPr>
          <w:b/>
          <w:bCs/>
        </w:rPr>
        <w:t>Global routing: Front Door or Traffic Manager</w:t>
      </w:r>
    </w:p>
    <w:p w14:paraId="0ED65818" w14:textId="77777777" w:rsidR="002D25EA" w:rsidRDefault="002D25EA" w:rsidP="002D25EA">
      <w:pPr>
        <w:spacing w:after="140"/>
      </w:pPr>
      <w:r>
        <w:t>The SIF asks specifically about Traffic Manager, so it is worth setting out plainly why this design reaches for Azure Front Door instead, and when Traffic Manager would still be the right call. Both services do the same core job, steering traffic to a healthy region, but they operate at different layers, and that single difference drives the recommendation.</w:t>
      </w:r>
    </w:p>
    <w:p w14:paraId="4FFE3D9A" w14:textId="77777777" w:rsidR="002D25EA" w:rsidRDefault="002D25EA" w:rsidP="002D25EA">
      <w:pPr>
        <w:spacing w:before="80" w:after="120"/>
        <w:jc w:val="center"/>
      </w:pPr>
      <w:r>
        <w:rPr>
          <w:noProof/>
        </w:rPr>
        <w:drawing>
          <wp:inline distT="0" distB="0" distL="0" distR="0" wp14:anchorId="0A5F0135" wp14:editId="79BDF1FE">
            <wp:extent cx="5486400" cy="2266950"/>
            <wp:effectExtent l="0" t="0" r="0" b="0"/>
            <wp:docPr id="1130964384" name="Picture 113096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2266950"/>
                    </a:xfrm>
                    <a:prstGeom prst="rect">
                      <a:avLst/>
                    </a:prstGeom>
                  </pic:spPr>
                </pic:pic>
              </a:graphicData>
            </a:graphic>
          </wp:inline>
        </w:drawing>
      </w:r>
    </w:p>
    <w:p w14:paraId="678E0F37" w14:textId="77777777" w:rsidR="002D25EA" w:rsidRDefault="002D25EA" w:rsidP="002D25EA">
      <w:pPr>
        <w:spacing w:after="180"/>
        <w:jc w:val="center"/>
      </w:pPr>
      <w:r>
        <w:rPr>
          <w:i/>
          <w:iCs/>
          <w:color w:val="666666"/>
          <w:sz w:val="18"/>
          <w:szCs w:val="18"/>
        </w:rPr>
        <w:t>Figure 28: Global routing, Front Door compared with Traffic Manager</w:t>
      </w:r>
    </w:p>
    <w:p w14:paraId="4FEA9BC1" w14:textId="77777777" w:rsidR="002D25EA" w:rsidRDefault="002D25EA" w:rsidP="002D25EA">
      <w:pPr>
        <w:spacing w:after="140"/>
      </w:pPr>
      <w:r>
        <w:t>Traffic Manager works at the DNS layer: when a client looks up the API's name, Traffic Manager hands back the address of a healthy region and then steps out of the path. That makes it protocol-agnostic and cheap, and it can front non-HTTP endpoints and services outside Azure, which Front Door cannot. Its weakness is that failover is bounded by DNS caching, so clients can keep hitting a failed region until their cached lookup expires.</w:t>
      </w:r>
    </w:p>
    <w:p w14:paraId="76660EBB" w14:textId="77777777" w:rsidR="002D25EA" w:rsidRDefault="002D25EA" w:rsidP="002D25EA">
      <w:pPr>
        <w:spacing w:after="140"/>
      </w:pPr>
      <w:r>
        <w:t>Front Door works at Layer 7 over a persistent anycast connection: it receives the HTTPS request at the Microsoft edge, applies WAF, TLS termination and caching, and forwards it to a healthy region. Because it stays in the path, failover is fast enough to meet an aggressive recovery-time target, and it is not held up by DNS caching.</w:t>
      </w:r>
    </w:p>
    <w:p w14:paraId="4450110C" w14:textId="77777777" w:rsidR="002D25EA" w:rsidRDefault="002D25EA" w:rsidP="002D25EA">
      <w:pPr>
        <w:spacing w:after="140"/>
      </w:pPr>
      <w:r>
        <w:t>For the Organization, every consumer, brokers, Lloyd's market systems, internal apps, reaches the platform over HTTPS and benefits from edge security, so Front Door is the right global router. It also removes a separate WAF bill, since WAF is bundled into Front Door Premium. Traffic Manager would only become the better choice if the Organization later needed to route non-HTTP traffic, or to steer between endpoints outside Azure. The two are not mutually exclusive: a common enterprise pattern layers Traffic Manager above Front Door purely as a DNS-level fallback, and the Organization can adopt that later without redesign if a specific need arises.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2D3D29DD" w14:textId="77777777" w:rsidTr="00D9409F">
        <w:trPr>
          <w:tblHeader/>
        </w:trPr>
        <w:tc>
          <w:tcPr>
            <w:tcW w:w="3100" w:type="dxa"/>
            <w:shd w:val="clear" w:color="auto" w:fill="1E2761"/>
            <w:tcMar>
              <w:top w:w="70" w:type="dxa"/>
              <w:left w:w="100" w:type="dxa"/>
              <w:bottom w:w="70" w:type="dxa"/>
              <w:right w:w="100" w:type="dxa"/>
            </w:tcMar>
            <w:vAlign w:val="center"/>
          </w:tcPr>
          <w:p w14:paraId="4EAACF9A" w14:textId="77777777" w:rsidR="002D25EA" w:rsidRDefault="002D25EA" w:rsidP="00D9409F">
            <w:r>
              <w:rPr>
                <w:b/>
                <w:bCs/>
                <w:color w:val="FFFFFF"/>
                <w:sz w:val="18"/>
                <w:szCs w:val="18"/>
              </w:rPr>
              <w:lastRenderedPageBreak/>
              <w:t>Consideration</w:t>
            </w:r>
          </w:p>
        </w:tc>
        <w:tc>
          <w:tcPr>
            <w:tcW w:w="3100" w:type="dxa"/>
            <w:shd w:val="clear" w:color="auto" w:fill="1E2761"/>
            <w:tcMar>
              <w:top w:w="70" w:type="dxa"/>
              <w:left w:w="100" w:type="dxa"/>
              <w:bottom w:w="70" w:type="dxa"/>
              <w:right w:w="100" w:type="dxa"/>
            </w:tcMar>
            <w:vAlign w:val="center"/>
          </w:tcPr>
          <w:p w14:paraId="09EB2369" w14:textId="77777777" w:rsidR="002D25EA" w:rsidRDefault="002D25EA" w:rsidP="00D9409F">
            <w:r>
              <w:rPr>
                <w:b/>
                <w:bCs/>
                <w:color w:val="FFFFFF"/>
                <w:sz w:val="18"/>
                <w:szCs w:val="18"/>
              </w:rPr>
              <w:t>Azure Front Door</w:t>
            </w:r>
          </w:p>
        </w:tc>
        <w:tc>
          <w:tcPr>
            <w:tcW w:w="3100" w:type="dxa"/>
            <w:shd w:val="clear" w:color="auto" w:fill="1E2761"/>
            <w:tcMar>
              <w:top w:w="70" w:type="dxa"/>
              <w:left w:w="100" w:type="dxa"/>
              <w:bottom w:w="70" w:type="dxa"/>
              <w:right w:w="100" w:type="dxa"/>
            </w:tcMar>
            <w:vAlign w:val="center"/>
          </w:tcPr>
          <w:p w14:paraId="1CBA2C2B" w14:textId="77777777" w:rsidR="002D25EA" w:rsidRDefault="002D25EA" w:rsidP="00D9409F">
            <w:r>
              <w:rPr>
                <w:b/>
                <w:bCs/>
                <w:color w:val="FFFFFF"/>
                <w:sz w:val="18"/>
                <w:szCs w:val="18"/>
              </w:rPr>
              <w:t>Azure Traffic Manager</w:t>
            </w:r>
          </w:p>
        </w:tc>
      </w:tr>
      <w:tr w:rsidR="002D25EA" w14:paraId="36AFD148" w14:textId="77777777" w:rsidTr="00D9409F">
        <w:tc>
          <w:tcPr>
            <w:tcW w:w="3100" w:type="dxa"/>
            <w:tcMar>
              <w:top w:w="70" w:type="dxa"/>
              <w:left w:w="100" w:type="dxa"/>
              <w:bottom w:w="70" w:type="dxa"/>
              <w:right w:w="100" w:type="dxa"/>
            </w:tcMar>
            <w:vAlign w:val="center"/>
          </w:tcPr>
          <w:p w14:paraId="1E7BDEA0" w14:textId="77777777" w:rsidR="002D25EA" w:rsidRDefault="002D25EA" w:rsidP="00D9409F">
            <w:r>
              <w:rPr>
                <w:sz w:val="18"/>
                <w:szCs w:val="18"/>
              </w:rPr>
              <w:t>Routing layer</w:t>
            </w:r>
          </w:p>
        </w:tc>
        <w:tc>
          <w:tcPr>
            <w:tcW w:w="3100" w:type="dxa"/>
            <w:tcMar>
              <w:top w:w="70" w:type="dxa"/>
              <w:left w:w="100" w:type="dxa"/>
              <w:bottom w:w="70" w:type="dxa"/>
              <w:right w:w="100" w:type="dxa"/>
            </w:tcMar>
            <w:vAlign w:val="center"/>
          </w:tcPr>
          <w:p w14:paraId="111863B7" w14:textId="77777777" w:rsidR="002D25EA" w:rsidRDefault="002D25EA" w:rsidP="00D9409F">
            <w:r>
              <w:rPr>
                <w:sz w:val="18"/>
                <w:szCs w:val="18"/>
              </w:rPr>
              <w:t>Layer 7, anycast, stays in the request path</w:t>
            </w:r>
          </w:p>
        </w:tc>
        <w:tc>
          <w:tcPr>
            <w:tcW w:w="3100" w:type="dxa"/>
            <w:tcMar>
              <w:top w:w="70" w:type="dxa"/>
              <w:left w:w="100" w:type="dxa"/>
              <w:bottom w:w="70" w:type="dxa"/>
              <w:right w:w="100" w:type="dxa"/>
            </w:tcMar>
            <w:vAlign w:val="center"/>
          </w:tcPr>
          <w:p w14:paraId="6FB610CF" w14:textId="77777777" w:rsidR="002D25EA" w:rsidRDefault="002D25EA" w:rsidP="00D9409F">
            <w:r>
              <w:rPr>
                <w:sz w:val="18"/>
                <w:szCs w:val="18"/>
              </w:rPr>
              <w:t>DNS layer, returns an address then steps aside</w:t>
            </w:r>
          </w:p>
        </w:tc>
      </w:tr>
      <w:tr w:rsidR="002D25EA" w14:paraId="208FB37F" w14:textId="77777777" w:rsidTr="00D9409F">
        <w:tc>
          <w:tcPr>
            <w:tcW w:w="3100" w:type="dxa"/>
            <w:tcMar>
              <w:top w:w="70" w:type="dxa"/>
              <w:left w:w="100" w:type="dxa"/>
              <w:bottom w:w="70" w:type="dxa"/>
              <w:right w:w="100" w:type="dxa"/>
            </w:tcMar>
            <w:vAlign w:val="center"/>
          </w:tcPr>
          <w:p w14:paraId="11FC8935" w14:textId="77777777" w:rsidR="002D25EA" w:rsidRDefault="002D25EA" w:rsidP="00D9409F">
            <w:r>
              <w:rPr>
                <w:sz w:val="18"/>
                <w:szCs w:val="18"/>
              </w:rPr>
              <w:t>Failover speed</w:t>
            </w:r>
          </w:p>
        </w:tc>
        <w:tc>
          <w:tcPr>
            <w:tcW w:w="3100" w:type="dxa"/>
            <w:tcMar>
              <w:top w:w="70" w:type="dxa"/>
              <w:left w:w="100" w:type="dxa"/>
              <w:bottom w:w="70" w:type="dxa"/>
              <w:right w:w="100" w:type="dxa"/>
            </w:tcMar>
            <w:vAlign w:val="center"/>
          </w:tcPr>
          <w:p w14:paraId="202865C3" w14:textId="77777777" w:rsidR="002D25EA" w:rsidRDefault="002D25EA" w:rsidP="00D9409F">
            <w:r>
              <w:rPr>
                <w:sz w:val="18"/>
                <w:szCs w:val="18"/>
              </w:rPr>
              <w:t>Sub-minute, not bound by DNS caching</w:t>
            </w:r>
          </w:p>
        </w:tc>
        <w:tc>
          <w:tcPr>
            <w:tcW w:w="3100" w:type="dxa"/>
            <w:tcMar>
              <w:top w:w="70" w:type="dxa"/>
              <w:left w:w="100" w:type="dxa"/>
              <w:bottom w:w="70" w:type="dxa"/>
              <w:right w:w="100" w:type="dxa"/>
            </w:tcMar>
            <w:vAlign w:val="center"/>
          </w:tcPr>
          <w:p w14:paraId="48D4A376" w14:textId="77777777" w:rsidR="002D25EA" w:rsidRDefault="002D25EA" w:rsidP="00D9409F">
            <w:r>
              <w:rPr>
                <w:sz w:val="18"/>
                <w:szCs w:val="18"/>
              </w:rPr>
              <w:t>Bounded by DNS time-to-live, slower</w:t>
            </w:r>
          </w:p>
        </w:tc>
      </w:tr>
      <w:tr w:rsidR="002D25EA" w14:paraId="1C888353" w14:textId="77777777" w:rsidTr="00D9409F">
        <w:tc>
          <w:tcPr>
            <w:tcW w:w="3100" w:type="dxa"/>
            <w:tcMar>
              <w:top w:w="70" w:type="dxa"/>
              <w:left w:w="100" w:type="dxa"/>
              <w:bottom w:w="70" w:type="dxa"/>
              <w:right w:w="100" w:type="dxa"/>
            </w:tcMar>
            <w:vAlign w:val="center"/>
          </w:tcPr>
          <w:p w14:paraId="43E5C982" w14:textId="77777777" w:rsidR="002D25EA" w:rsidRDefault="002D25EA" w:rsidP="00D9409F">
            <w:r>
              <w:rPr>
                <w:sz w:val="18"/>
                <w:szCs w:val="18"/>
              </w:rPr>
              <w:t>Edge security</w:t>
            </w:r>
          </w:p>
        </w:tc>
        <w:tc>
          <w:tcPr>
            <w:tcW w:w="3100" w:type="dxa"/>
            <w:tcMar>
              <w:top w:w="70" w:type="dxa"/>
              <w:left w:w="100" w:type="dxa"/>
              <w:bottom w:w="70" w:type="dxa"/>
              <w:right w:w="100" w:type="dxa"/>
            </w:tcMar>
            <w:vAlign w:val="center"/>
          </w:tcPr>
          <w:p w14:paraId="617046CF" w14:textId="77777777" w:rsidR="002D25EA" w:rsidRDefault="002D25EA" w:rsidP="00D9409F">
            <w:r>
              <w:rPr>
                <w:sz w:val="18"/>
                <w:szCs w:val="18"/>
              </w:rPr>
              <w:t>WAF, TLS offload, caching built in</w:t>
            </w:r>
          </w:p>
        </w:tc>
        <w:tc>
          <w:tcPr>
            <w:tcW w:w="3100" w:type="dxa"/>
            <w:tcMar>
              <w:top w:w="70" w:type="dxa"/>
              <w:left w:w="100" w:type="dxa"/>
              <w:bottom w:w="70" w:type="dxa"/>
              <w:right w:w="100" w:type="dxa"/>
            </w:tcMar>
            <w:vAlign w:val="center"/>
          </w:tcPr>
          <w:p w14:paraId="2B595116" w14:textId="77777777" w:rsidR="002D25EA" w:rsidRDefault="002D25EA" w:rsidP="00D9409F">
            <w:r>
              <w:rPr>
                <w:sz w:val="18"/>
                <w:szCs w:val="18"/>
              </w:rPr>
              <w:t>None of its own</w:t>
            </w:r>
          </w:p>
        </w:tc>
      </w:tr>
      <w:tr w:rsidR="002D25EA" w14:paraId="3FF9BC36" w14:textId="77777777" w:rsidTr="00D9409F">
        <w:tc>
          <w:tcPr>
            <w:tcW w:w="3100" w:type="dxa"/>
            <w:tcMar>
              <w:top w:w="70" w:type="dxa"/>
              <w:left w:w="100" w:type="dxa"/>
              <w:bottom w:w="70" w:type="dxa"/>
              <w:right w:w="100" w:type="dxa"/>
            </w:tcMar>
            <w:vAlign w:val="center"/>
          </w:tcPr>
          <w:p w14:paraId="3C22C1D2" w14:textId="77777777" w:rsidR="002D25EA" w:rsidRDefault="002D25EA" w:rsidP="00D9409F">
            <w:r>
              <w:rPr>
                <w:sz w:val="18"/>
                <w:szCs w:val="18"/>
              </w:rPr>
              <w:t>Non-HTTP and non-Azure endpoints</w:t>
            </w:r>
          </w:p>
        </w:tc>
        <w:tc>
          <w:tcPr>
            <w:tcW w:w="3100" w:type="dxa"/>
            <w:tcMar>
              <w:top w:w="70" w:type="dxa"/>
              <w:left w:w="100" w:type="dxa"/>
              <w:bottom w:w="70" w:type="dxa"/>
              <w:right w:w="100" w:type="dxa"/>
            </w:tcMar>
            <w:vAlign w:val="center"/>
          </w:tcPr>
          <w:p w14:paraId="1C7277BF" w14:textId="77777777" w:rsidR="002D25EA" w:rsidRDefault="002D25EA" w:rsidP="00D9409F">
            <w:r>
              <w:rPr>
                <w:sz w:val="18"/>
                <w:szCs w:val="18"/>
              </w:rPr>
              <w:t>Not supported</w:t>
            </w:r>
          </w:p>
        </w:tc>
        <w:tc>
          <w:tcPr>
            <w:tcW w:w="3100" w:type="dxa"/>
            <w:tcMar>
              <w:top w:w="70" w:type="dxa"/>
              <w:left w:w="100" w:type="dxa"/>
              <w:bottom w:w="70" w:type="dxa"/>
              <w:right w:w="100" w:type="dxa"/>
            </w:tcMar>
            <w:vAlign w:val="center"/>
          </w:tcPr>
          <w:p w14:paraId="6E68A7C9" w14:textId="77777777" w:rsidR="002D25EA" w:rsidRDefault="002D25EA" w:rsidP="00D9409F">
            <w:r>
              <w:rPr>
                <w:sz w:val="18"/>
                <w:szCs w:val="18"/>
              </w:rPr>
              <w:t>Supported</w:t>
            </w:r>
          </w:p>
        </w:tc>
      </w:tr>
      <w:tr w:rsidR="002D25EA" w14:paraId="3FC2044E" w14:textId="77777777" w:rsidTr="00D9409F">
        <w:tc>
          <w:tcPr>
            <w:tcW w:w="3100" w:type="dxa"/>
            <w:tcMar>
              <w:top w:w="70" w:type="dxa"/>
              <w:left w:w="100" w:type="dxa"/>
              <w:bottom w:w="70" w:type="dxa"/>
              <w:right w:w="100" w:type="dxa"/>
            </w:tcMar>
            <w:vAlign w:val="center"/>
          </w:tcPr>
          <w:p w14:paraId="6AB6368F" w14:textId="77777777" w:rsidR="002D25EA" w:rsidRDefault="002D25EA" w:rsidP="00D9409F">
            <w:r>
              <w:rPr>
                <w:sz w:val="18"/>
                <w:szCs w:val="18"/>
              </w:rPr>
              <w:t>Cost shape</w:t>
            </w:r>
          </w:p>
        </w:tc>
        <w:tc>
          <w:tcPr>
            <w:tcW w:w="3100" w:type="dxa"/>
            <w:tcMar>
              <w:top w:w="70" w:type="dxa"/>
              <w:left w:w="100" w:type="dxa"/>
              <w:bottom w:w="70" w:type="dxa"/>
              <w:right w:w="100" w:type="dxa"/>
            </w:tcMar>
            <w:vAlign w:val="center"/>
          </w:tcPr>
          <w:p w14:paraId="6B580F12" w14:textId="77777777" w:rsidR="002D25EA" w:rsidRDefault="002D25EA" w:rsidP="00D9409F">
            <w:r>
              <w:rPr>
                <w:sz w:val="18"/>
                <w:szCs w:val="18"/>
              </w:rPr>
              <w:t>Base fee plus request and data charges</w:t>
            </w:r>
          </w:p>
        </w:tc>
        <w:tc>
          <w:tcPr>
            <w:tcW w:w="3100" w:type="dxa"/>
            <w:tcMar>
              <w:top w:w="70" w:type="dxa"/>
              <w:left w:w="100" w:type="dxa"/>
              <w:bottom w:w="70" w:type="dxa"/>
              <w:right w:w="100" w:type="dxa"/>
            </w:tcMar>
            <w:vAlign w:val="center"/>
          </w:tcPr>
          <w:p w14:paraId="2C4720CC" w14:textId="77777777" w:rsidR="002D25EA" w:rsidRDefault="002D25EA" w:rsidP="00D9409F">
            <w:r>
              <w:rPr>
                <w:sz w:val="18"/>
                <w:szCs w:val="18"/>
              </w:rPr>
              <w:t>Mainly per DNS query, cheaper</w:t>
            </w:r>
          </w:p>
        </w:tc>
      </w:tr>
      <w:tr w:rsidR="002D25EA" w14:paraId="5C590572" w14:textId="77777777" w:rsidTr="00D9409F">
        <w:tc>
          <w:tcPr>
            <w:tcW w:w="3100" w:type="dxa"/>
            <w:tcMar>
              <w:top w:w="70" w:type="dxa"/>
              <w:left w:w="100" w:type="dxa"/>
              <w:bottom w:w="70" w:type="dxa"/>
              <w:right w:w="100" w:type="dxa"/>
            </w:tcMar>
            <w:vAlign w:val="center"/>
          </w:tcPr>
          <w:p w14:paraId="112C0825" w14:textId="77777777" w:rsidR="002D25EA" w:rsidRDefault="002D25EA" w:rsidP="00D9409F">
            <w:r>
              <w:rPr>
                <w:sz w:val="18"/>
                <w:szCs w:val="18"/>
              </w:rPr>
              <w:t>Fit for the Organization</w:t>
            </w:r>
          </w:p>
        </w:tc>
        <w:tc>
          <w:tcPr>
            <w:tcW w:w="3100" w:type="dxa"/>
            <w:tcMar>
              <w:top w:w="70" w:type="dxa"/>
              <w:left w:w="100" w:type="dxa"/>
              <w:bottom w:w="70" w:type="dxa"/>
              <w:right w:w="100" w:type="dxa"/>
            </w:tcMar>
            <w:vAlign w:val="center"/>
          </w:tcPr>
          <w:p w14:paraId="614124D1" w14:textId="77777777" w:rsidR="002D25EA" w:rsidRDefault="002D25EA" w:rsidP="00D9409F">
            <w:r>
              <w:rPr>
                <w:sz w:val="18"/>
                <w:szCs w:val="18"/>
              </w:rPr>
              <w:t>Recommended, all traffic is HTTPS API traffic</w:t>
            </w:r>
          </w:p>
        </w:tc>
        <w:tc>
          <w:tcPr>
            <w:tcW w:w="3100" w:type="dxa"/>
            <w:tcMar>
              <w:top w:w="70" w:type="dxa"/>
              <w:left w:w="100" w:type="dxa"/>
              <w:bottom w:w="70" w:type="dxa"/>
              <w:right w:w="100" w:type="dxa"/>
            </w:tcMar>
            <w:vAlign w:val="center"/>
          </w:tcPr>
          <w:p w14:paraId="1B2E5AAB" w14:textId="77777777" w:rsidR="002D25EA" w:rsidRDefault="002D25EA" w:rsidP="00D9409F">
            <w:r>
              <w:rPr>
                <w:sz w:val="18"/>
                <w:szCs w:val="18"/>
              </w:rPr>
              <w:t>Fallback only, or for future non-HTTP needs</w:t>
            </w:r>
          </w:p>
        </w:tc>
      </w:tr>
    </w:tbl>
    <w:p w14:paraId="5E32D083" w14:textId="77777777" w:rsidR="002D25EA" w:rsidRDefault="002D25EA" w:rsidP="002D25EA">
      <w:pPr>
        <w:spacing w:after="140"/>
      </w:pPr>
    </w:p>
    <w:p w14:paraId="5E761338" w14:textId="77777777" w:rsidR="002D25EA" w:rsidRDefault="002D25EA" w:rsidP="002D25EA">
      <w:pPr>
        <w:spacing w:after="140"/>
      </w:pPr>
      <w:r>
        <w:t>On this basis the design standardises on Front Door as the global router and edge, with Application Gateway plus WAF retained only as the single-region fallback noted in section 3, and Traffic Manager noted as an option the Organization can layer in later if a non-HTTP or cross-cloud routing requirement emerges.</w:t>
      </w:r>
    </w:p>
    <w:p w14:paraId="6A6D28CC"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2" w:name="_Toc240539756"/>
      <w:r>
        <w:rPr>
          <w:rFonts w:asciiTheme="minorHAnsi" w:eastAsia="Times New Roman" w:hAnsiTheme="minorHAnsi" w:cs="Times New Roman"/>
          <w:b w:val="0"/>
          <w:color w:val="132040" w:themeColor="accent1" w:themeShade="BF"/>
          <w:sz w:val="24"/>
          <w:szCs w:val="26"/>
          <w:lang w:eastAsia="en-US"/>
        </w:rPr>
        <w:t>Disaster Recovery Testing Approach</w:t>
      </w:r>
      <w:bookmarkEnd w:id="32"/>
    </w:p>
    <w:p w14:paraId="78C31750" w14:textId="77777777" w:rsidR="002D25EA" w:rsidRDefault="002D25EA" w:rsidP="002D25EA">
      <w:pPr>
        <w:spacing w:after="140"/>
      </w:pPr>
      <w:r>
        <w:t>DR is only real if it is exercised. The active-active design (15) is proven, not assumed, through scheduled failover testing with defined ownership and success criteria.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2D25EA" w14:paraId="0A9476DF" w14:textId="77777777" w:rsidTr="00D9409F">
        <w:trPr>
          <w:tblHeader/>
        </w:trPr>
        <w:tc>
          <w:tcPr>
            <w:tcW w:w="2200" w:type="dxa"/>
            <w:shd w:val="clear" w:color="auto" w:fill="1E2761"/>
            <w:tcMar>
              <w:top w:w="70" w:type="dxa"/>
              <w:left w:w="100" w:type="dxa"/>
              <w:bottom w:w="70" w:type="dxa"/>
              <w:right w:w="100" w:type="dxa"/>
            </w:tcMar>
          </w:tcPr>
          <w:p w14:paraId="6F6245E8" w14:textId="77777777" w:rsidR="002D25EA" w:rsidRDefault="002D25EA" w:rsidP="00D9409F">
            <w:r>
              <w:rPr>
                <w:b/>
                <w:bCs/>
                <w:color w:val="FFFFFF"/>
                <w:sz w:val="18"/>
                <w:szCs w:val="18"/>
              </w:rPr>
              <w:t>Aspect</w:t>
            </w:r>
          </w:p>
        </w:tc>
        <w:tc>
          <w:tcPr>
            <w:tcW w:w="7100" w:type="dxa"/>
            <w:shd w:val="clear" w:color="auto" w:fill="1E2761"/>
            <w:tcMar>
              <w:top w:w="70" w:type="dxa"/>
              <w:left w:w="100" w:type="dxa"/>
              <w:bottom w:w="70" w:type="dxa"/>
              <w:right w:w="100" w:type="dxa"/>
            </w:tcMar>
          </w:tcPr>
          <w:p w14:paraId="2820BA36" w14:textId="77777777" w:rsidR="002D25EA" w:rsidRDefault="002D25EA" w:rsidP="00D9409F">
            <w:r>
              <w:rPr>
                <w:b/>
                <w:bCs/>
                <w:color w:val="FFFFFF"/>
                <w:sz w:val="18"/>
                <w:szCs w:val="18"/>
              </w:rPr>
              <w:t>Approach</w:t>
            </w:r>
          </w:p>
        </w:tc>
      </w:tr>
      <w:tr w:rsidR="002D25EA" w14:paraId="3D2192E5" w14:textId="77777777" w:rsidTr="00D9409F">
        <w:tc>
          <w:tcPr>
            <w:tcW w:w="2200" w:type="dxa"/>
            <w:tcMar>
              <w:top w:w="70" w:type="dxa"/>
              <w:left w:w="100" w:type="dxa"/>
              <w:bottom w:w="70" w:type="dxa"/>
              <w:right w:w="100" w:type="dxa"/>
            </w:tcMar>
          </w:tcPr>
          <w:p w14:paraId="7CA106E6" w14:textId="77777777" w:rsidR="002D25EA" w:rsidRDefault="002D25EA" w:rsidP="00D9409F">
            <w:r>
              <w:rPr>
                <w:sz w:val="18"/>
                <w:szCs w:val="18"/>
              </w:rPr>
              <w:t>Cadence</w:t>
            </w:r>
          </w:p>
        </w:tc>
        <w:tc>
          <w:tcPr>
            <w:tcW w:w="7100" w:type="dxa"/>
            <w:tcMar>
              <w:top w:w="70" w:type="dxa"/>
              <w:left w:w="100" w:type="dxa"/>
              <w:bottom w:w="70" w:type="dxa"/>
              <w:right w:w="100" w:type="dxa"/>
            </w:tcMar>
          </w:tcPr>
          <w:p w14:paraId="4892A71B" w14:textId="77777777" w:rsidR="002D25EA" w:rsidRDefault="002D25EA" w:rsidP="00D9409F">
            <w:r>
              <w:rPr>
                <w:sz w:val="18"/>
                <w:szCs w:val="18"/>
              </w:rPr>
              <w:t>At least every six months, and after any material architecture change</w:t>
            </w:r>
          </w:p>
        </w:tc>
      </w:tr>
      <w:tr w:rsidR="002D25EA" w14:paraId="249A24ED" w14:textId="77777777" w:rsidTr="00D9409F">
        <w:tc>
          <w:tcPr>
            <w:tcW w:w="2200" w:type="dxa"/>
            <w:tcMar>
              <w:top w:w="70" w:type="dxa"/>
              <w:left w:w="100" w:type="dxa"/>
              <w:bottom w:w="70" w:type="dxa"/>
              <w:right w:w="100" w:type="dxa"/>
            </w:tcMar>
          </w:tcPr>
          <w:p w14:paraId="4C0D3E19" w14:textId="77777777" w:rsidR="002D25EA" w:rsidRDefault="002D25EA" w:rsidP="00D9409F">
            <w:r>
              <w:rPr>
                <w:sz w:val="18"/>
                <w:szCs w:val="18"/>
              </w:rPr>
              <w:t>Owner</w:t>
            </w:r>
          </w:p>
        </w:tc>
        <w:tc>
          <w:tcPr>
            <w:tcW w:w="7100" w:type="dxa"/>
            <w:tcMar>
              <w:top w:w="70" w:type="dxa"/>
              <w:left w:w="100" w:type="dxa"/>
              <w:bottom w:w="70" w:type="dxa"/>
              <w:right w:w="100" w:type="dxa"/>
            </w:tcMar>
          </w:tcPr>
          <w:p w14:paraId="331415EE" w14:textId="77777777" w:rsidR="002D25EA" w:rsidRDefault="002D25EA" w:rsidP="00D9409F">
            <w:r>
              <w:rPr>
                <w:sz w:val="18"/>
                <w:szCs w:val="18"/>
              </w:rPr>
              <w:t>Platform team runs it; Security and the affected Domain teams observe; results reported to TDA</w:t>
            </w:r>
          </w:p>
        </w:tc>
      </w:tr>
      <w:tr w:rsidR="002D25EA" w14:paraId="444D8D17" w14:textId="77777777" w:rsidTr="00D9409F">
        <w:tc>
          <w:tcPr>
            <w:tcW w:w="2200" w:type="dxa"/>
            <w:tcMar>
              <w:top w:w="70" w:type="dxa"/>
              <w:left w:w="100" w:type="dxa"/>
              <w:bottom w:w="70" w:type="dxa"/>
              <w:right w:w="100" w:type="dxa"/>
            </w:tcMar>
          </w:tcPr>
          <w:p w14:paraId="48876D4A" w14:textId="77777777" w:rsidR="002D25EA" w:rsidRDefault="002D25EA" w:rsidP="00D9409F">
            <w:r>
              <w:rPr>
                <w:sz w:val="18"/>
                <w:szCs w:val="18"/>
              </w:rPr>
              <w:t>Scope</w:t>
            </w:r>
          </w:p>
        </w:tc>
        <w:tc>
          <w:tcPr>
            <w:tcW w:w="7100" w:type="dxa"/>
            <w:tcMar>
              <w:top w:w="70" w:type="dxa"/>
              <w:left w:w="100" w:type="dxa"/>
              <w:bottom w:w="70" w:type="dxa"/>
              <w:right w:w="100" w:type="dxa"/>
            </w:tcMar>
          </w:tcPr>
          <w:p w14:paraId="0E789DE2" w14:textId="77777777" w:rsidR="002D25EA" w:rsidRDefault="002D25EA" w:rsidP="00D9409F">
            <w:r>
              <w:rPr>
                <w:sz w:val="18"/>
                <w:szCs w:val="18"/>
              </w:rPr>
              <w:t>Deliberately disable the primary region’s gateway and confirm Front Door routes all traffic to the secondary region</w:t>
            </w:r>
          </w:p>
        </w:tc>
      </w:tr>
      <w:tr w:rsidR="002D25EA" w14:paraId="52C87C11" w14:textId="77777777" w:rsidTr="00D9409F">
        <w:tc>
          <w:tcPr>
            <w:tcW w:w="2200" w:type="dxa"/>
            <w:tcMar>
              <w:top w:w="70" w:type="dxa"/>
              <w:left w:w="100" w:type="dxa"/>
              <w:bottom w:w="70" w:type="dxa"/>
              <w:right w:w="100" w:type="dxa"/>
            </w:tcMar>
          </w:tcPr>
          <w:p w14:paraId="6E2A88B7" w14:textId="77777777" w:rsidR="002D25EA" w:rsidRDefault="002D25EA" w:rsidP="00D9409F">
            <w:r>
              <w:rPr>
                <w:sz w:val="18"/>
                <w:szCs w:val="18"/>
              </w:rPr>
              <w:t>Success criteria</w:t>
            </w:r>
          </w:p>
        </w:tc>
        <w:tc>
          <w:tcPr>
            <w:tcW w:w="7100" w:type="dxa"/>
            <w:tcMar>
              <w:top w:w="70" w:type="dxa"/>
              <w:left w:w="100" w:type="dxa"/>
              <w:bottom w:w="70" w:type="dxa"/>
              <w:right w:w="100" w:type="dxa"/>
            </w:tcMar>
          </w:tcPr>
          <w:p w14:paraId="70CBBAC1" w14:textId="77777777" w:rsidR="002D25EA" w:rsidRDefault="002D25EA" w:rsidP="00D9409F">
            <w:r>
              <w:rPr>
                <w:sz w:val="18"/>
                <w:szCs w:val="18"/>
              </w:rPr>
              <w:t>Failover completes within the RTO (&lt; 30 min); no data loss (RPO ~0 for configuration); no consumer-side change required; no manual DNS action</w:t>
            </w:r>
          </w:p>
        </w:tc>
      </w:tr>
      <w:tr w:rsidR="002D25EA" w14:paraId="0ADEFEFE" w14:textId="77777777" w:rsidTr="00D9409F">
        <w:tc>
          <w:tcPr>
            <w:tcW w:w="2200" w:type="dxa"/>
            <w:tcMar>
              <w:top w:w="70" w:type="dxa"/>
              <w:left w:w="100" w:type="dxa"/>
              <w:bottom w:w="70" w:type="dxa"/>
              <w:right w:w="100" w:type="dxa"/>
            </w:tcMar>
          </w:tcPr>
          <w:p w14:paraId="704C7F0D" w14:textId="77777777" w:rsidR="002D25EA" w:rsidRDefault="002D25EA" w:rsidP="00D9409F">
            <w:r>
              <w:rPr>
                <w:sz w:val="18"/>
                <w:szCs w:val="18"/>
              </w:rPr>
              <w:t>Evidence</w:t>
            </w:r>
          </w:p>
        </w:tc>
        <w:tc>
          <w:tcPr>
            <w:tcW w:w="7100" w:type="dxa"/>
            <w:tcMar>
              <w:top w:w="70" w:type="dxa"/>
              <w:left w:w="100" w:type="dxa"/>
              <w:bottom w:w="70" w:type="dxa"/>
              <w:right w:w="100" w:type="dxa"/>
            </w:tcMar>
          </w:tcPr>
          <w:p w14:paraId="41B2FE9F" w14:textId="77777777" w:rsidR="002D25EA" w:rsidRDefault="002D25EA" w:rsidP="00D9409F">
            <w:r>
              <w:rPr>
                <w:sz w:val="18"/>
                <w:szCs w:val="18"/>
              </w:rPr>
              <w:t>Test report with timings, screenshots/metrics and any defects, retained as compliance evidence (18.5 matrix)</w:t>
            </w:r>
          </w:p>
        </w:tc>
      </w:tr>
      <w:tr w:rsidR="002D25EA" w14:paraId="3015EC6E" w14:textId="77777777" w:rsidTr="00D9409F">
        <w:tc>
          <w:tcPr>
            <w:tcW w:w="2200" w:type="dxa"/>
            <w:tcMar>
              <w:top w:w="70" w:type="dxa"/>
              <w:left w:w="100" w:type="dxa"/>
              <w:bottom w:w="70" w:type="dxa"/>
              <w:right w:w="100" w:type="dxa"/>
            </w:tcMar>
          </w:tcPr>
          <w:p w14:paraId="27E918F6" w14:textId="77777777" w:rsidR="002D25EA" w:rsidRDefault="002D25EA" w:rsidP="00D9409F">
            <w:r>
              <w:rPr>
                <w:sz w:val="18"/>
                <w:szCs w:val="18"/>
              </w:rPr>
              <w:t>Rollback</w:t>
            </w:r>
          </w:p>
        </w:tc>
        <w:tc>
          <w:tcPr>
            <w:tcW w:w="7100" w:type="dxa"/>
            <w:tcMar>
              <w:top w:w="70" w:type="dxa"/>
              <w:left w:w="100" w:type="dxa"/>
              <w:bottom w:w="70" w:type="dxa"/>
              <w:right w:w="100" w:type="dxa"/>
            </w:tcMar>
          </w:tcPr>
          <w:p w14:paraId="346F622B" w14:textId="77777777" w:rsidR="002D25EA" w:rsidRDefault="002D25EA" w:rsidP="00D9409F">
            <w:r>
              <w:rPr>
                <w:sz w:val="18"/>
                <w:szCs w:val="18"/>
              </w:rPr>
              <w:t>Re-enable the primary region and confirm traffic rebalances; document any anomalies</w:t>
            </w:r>
          </w:p>
        </w:tc>
      </w:tr>
    </w:tbl>
    <w:p w14:paraId="72CC3F2E" w14:textId="77777777" w:rsidR="002D25EA" w:rsidRPr="002D25EA" w:rsidRDefault="002D25EA" w:rsidP="002D25EA">
      <w:pPr>
        <w:pStyle w:val="Heading1"/>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3" w:name="_Toc240539757"/>
      <w:r>
        <w:rPr>
          <w:rFonts w:asciiTheme="minorHAnsi" w:eastAsia="Times New Roman" w:hAnsiTheme="minorHAnsi" w:cs="Times New Roman"/>
          <w:b w:val="0"/>
          <w:color w:val="132040" w:themeColor="accent1" w:themeShade="BF"/>
          <w:sz w:val="24"/>
          <w:szCs w:val="26"/>
          <w:lang w:eastAsia="en-US"/>
        </w:rPr>
        <w:t>Capacity, Cost and Service Tiers</w:t>
      </w:r>
      <w:bookmarkEnd w:id="33"/>
    </w:p>
    <w:p w14:paraId="20A0C0DF" w14:textId="77777777" w:rsidR="002D25EA" w:rsidRDefault="002D25EA" w:rsidP="002D25EA">
      <w:pPr>
        <w:spacing w:after="140"/>
      </w:pPr>
      <w:r>
        <w:t>The figures below are indicative UK South list prices, gathered to give the Organization a realistic planning envelope. They are not a quote. Two things will move the real number: the Organization’s enterprise agreement with Microsoft usually discounts list price, and actual traffic volume drives the metered charges (requests, bandwidth, and log ingestion) that sit on top of the fixed platform cost.</w:t>
      </w:r>
    </w:p>
    <w:p w14:paraId="5213F9E9" w14:textId="77777777" w:rsidR="002D25EA" w:rsidRDefault="002D25EA" w:rsidP="002D25EA">
      <w:pPr>
        <w:spacing w:before="80" w:after="120"/>
        <w:jc w:val="center"/>
      </w:pPr>
      <w:r>
        <w:rPr>
          <w:noProof/>
        </w:rPr>
        <w:lastRenderedPageBreak/>
        <w:drawing>
          <wp:inline distT="0" distB="0" distL="0" distR="0" wp14:anchorId="06F98FC5" wp14:editId="2F0D1AA9">
            <wp:extent cx="5486400" cy="2085975"/>
            <wp:effectExtent l="0" t="0" r="0" b="0"/>
            <wp:docPr id="929717424" name="Picture 92971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2085975"/>
                    </a:xfrm>
                    <a:prstGeom prst="rect">
                      <a:avLst/>
                    </a:prstGeom>
                  </pic:spPr>
                </pic:pic>
              </a:graphicData>
            </a:graphic>
          </wp:inline>
        </w:drawing>
      </w:r>
    </w:p>
    <w:p w14:paraId="636743BF" w14:textId="77777777" w:rsidR="002D25EA" w:rsidRDefault="002D25EA" w:rsidP="002D25EA">
      <w:pPr>
        <w:spacing w:after="180"/>
        <w:jc w:val="center"/>
      </w:pPr>
      <w:r>
        <w:rPr>
          <w:i/>
          <w:iCs/>
          <w:color w:val="666666"/>
          <w:sz w:val="18"/>
          <w:szCs w:val="18"/>
        </w:rPr>
        <w:t>Figure 29: Indicative monthly platform cost by environment</w:t>
      </w:r>
    </w:p>
    <w:p w14:paraId="0B9EEA01" w14:textId="77777777" w:rsidR="002D25EA" w:rsidRPr="00C8018D" w:rsidRDefault="002D25EA" w:rsidP="00C8018D">
      <w:pPr>
        <w:rPr>
          <w:b/>
          <w:bCs/>
        </w:rPr>
      </w:pPr>
      <w:r>
        <w:rPr>
          <w:b/>
          <w:bCs/>
        </w:rPr>
        <w:t>Cost per component, production</w:t>
      </w:r>
    </w:p>
    <w:p w14:paraId="6A83E640" w14:textId="77777777" w:rsidR="002D25EA" w:rsidRDefault="002D25EA" w:rsidP="002D25EA">
      <w:pPr>
        <w:spacing w:after="140"/>
      </w:pPr>
      <w:r>
        <w:t>For a production environment the fixed monthly cost breaks down roughly as follows. A single Premium unit is the largest line by far, which is why the tier and single-versus-multi-region decision matters so much to the bill.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B233A84" w14:textId="77777777" w:rsidTr="00D9409F">
        <w:trPr>
          <w:tblHeader/>
        </w:trPr>
        <w:tc>
          <w:tcPr>
            <w:tcW w:w="3100" w:type="dxa"/>
            <w:shd w:val="clear" w:color="auto" w:fill="1E2761"/>
            <w:tcMar>
              <w:top w:w="70" w:type="dxa"/>
              <w:left w:w="100" w:type="dxa"/>
              <w:bottom w:w="70" w:type="dxa"/>
              <w:right w:w="100" w:type="dxa"/>
            </w:tcMar>
            <w:vAlign w:val="center"/>
          </w:tcPr>
          <w:p w14:paraId="612526CD" w14:textId="77777777" w:rsidR="002D25EA" w:rsidRDefault="002D25EA" w:rsidP="00D9409F">
            <w:r>
              <w:rPr>
                <w:b/>
                <w:bCs/>
                <w:color w:val="FFFFFF"/>
                <w:sz w:val="18"/>
                <w:szCs w:val="18"/>
              </w:rPr>
              <w:t>Component</w:t>
            </w:r>
          </w:p>
        </w:tc>
        <w:tc>
          <w:tcPr>
            <w:tcW w:w="3100" w:type="dxa"/>
            <w:shd w:val="clear" w:color="auto" w:fill="1E2761"/>
            <w:tcMar>
              <w:top w:w="70" w:type="dxa"/>
              <w:left w:w="100" w:type="dxa"/>
              <w:bottom w:w="70" w:type="dxa"/>
              <w:right w:w="100" w:type="dxa"/>
            </w:tcMar>
            <w:vAlign w:val="center"/>
          </w:tcPr>
          <w:p w14:paraId="694E627B" w14:textId="77777777" w:rsidR="002D25EA" w:rsidRDefault="002D25EA" w:rsidP="00D9409F">
            <w:r>
              <w:rPr>
                <w:b/>
                <w:bCs/>
                <w:color w:val="FFFFFF"/>
                <w:sz w:val="18"/>
                <w:szCs w:val="18"/>
              </w:rPr>
              <w:t>Indicative monthly cost</w:t>
            </w:r>
          </w:p>
        </w:tc>
        <w:tc>
          <w:tcPr>
            <w:tcW w:w="3100" w:type="dxa"/>
            <w:shd w:val="clear" w:color="auto" w:fill="1E2761"/>
            <w:tcMar>
              <w:top w:w="70" w:type="dxa"/>
              <w:left w:w="100" w:type="dxa"/>
              <w:bottom w:w="70" w:type="dxa"/>
              <w:right w:w="100" w:type="dxa"/>
            </w:tcMar>
            <w:vAlign w:val="center"/>
          </w:tcPr>
          <w:p w14:paraId="7F250AFB" w14:textId="77777777" w:rsidR="002D25EA" w:rsidRDefault="002D25EA" w:rsidP="00D9409F">
            <w:r>
              <w:rPr>
                <w:b/>
                <w:bCs/>
                <w:color w:val="FFFFFF"/>
                <w:sz w:val="18"/>
                <w:szCs w:val="18"/>
              </w:rPr>
              <w:t>Notes</w:t>
            </w:r>
          </w:p>
        </w:tc>
      </w:tr>
      <w:tr w:rsidR="002D25EA" w14:paraId="643DD4F1" w14:textId="77777777" w:rsidTr="00D9409F">
        <w:tc>
          <w:tcPr>
            <w:tcW w:w="3100" w:type="dxa"/>
            <w:tcMar>
              <w:top w:w="70" w:type="dxa"/>
              <w:left w:w="100" w:type="dxa"/>
              <w:bottom w:w="70" w:type="dxa"/>
              <w:right w:w="100" w:type="dxa"/>
            </w:tcMar>
            <w:vAlign w:val="center"/>
          </w:tcPr>
          <w:p w14:paraId="2188B332" w14:textId="77777777" w:rsidR="002D25EA" w:rsidRDefault="002D25EA" w:rsidP="00D9409F">
            <w:r>
              <w:rPr>
                <w:sz w:val="18"/>
                <w:szCs w:val="18"/>
              </w:rPr>
              <w:t>APIM Premium, per unit</w:t>
            </w:r>
          </w:p>
        </w:tc>
        <w:tc>
          <w:tcPr>
            <w:tcW w:w="3100" w:type="dxa"/>
            <w:tcMar>
              <w:top w:w="70" w:type="dxa"/>
              <w:left w:w="100" w:type="dxa"/>
              <w:bottom w:w="70" w:type="dxa"/>
              <w:right w:w="100" w:type="dxa"/>
            </w:tcMar>
            <w:vAlign w:val="center"/>
          </w:tcPr>
          <w:p w14:paraId="144F4575" w14:textId="77777777" w:rsidR="002D25EA" w:rsidRDefault="002D25EA" w:rsidP="00D9409F">
            <w:r>
              <w:rPr>
                <w:sz w:val="18"/>
                <w:szCs w:val="18"/>
              </w:rPr>
              <w:t>roughly £2,100 to £2,300</w:t>
            </w:r>
          </w:p>
        </w:tc>
        <w:tc>
          <w:tcPr>
            <w:tcW w:w="3100" w:type="dxa"/>
            <w:tcMar>
              <w:top w:w="70" w:type="dxa"/>
              <w:left w:w="100" w:type="dxa"/>
              <w:bottom w:w="70" w:type="dxa"/>
              <w:right w:w="100" w:type="dxa"/>
            </w:tcMar>
            <w:vAlign w:val="center"/>
          </w:tcPr>
          <w:p w14:paraId="40284723" w14:textId="77777777" w:rsidR="002D25EA" w:rsidRDefault="002D25EA" w:rsidP="00D9409F">
            <w:r>
              <w:rPr>
                <w:sz w:val="18"/>
                <w:szCs w:val="18"/>
              </w:rPr>
              <w:t>The core gateway; active-active production runs two of these</w:t>
            </w:r>
          </w:p>
        </w:tc>
      </w:tr>
      <w:tr w:rsidR="002D25EA" w14:paraId="59A52AAC" w14:textId="77777777" w:rsidTr="00D9409F">
        <w:tc>
          <w:tcPr>
            <w:tcW w:w="3100" w:type="dxa"/>
            <w:tcMar>
              <w:top w:w="70" w:type="dxa"/>
              <w:left w:w="100" w:type="dxa"/>
              <w:bottom w:w="70" w:type="dxa"/>
              <w:right w:w="100" w:type="dxa"/>
            </w:tcMar>
            <w:vAlign w:val="center"/>
          </w:tcPr>
          <w:p w14:paraId="331F097A" w14:textId="77777777" w:rsidR="002D25EA" w:rsidRDefault="002D25EA" w:rsidP="00D9409F">
            <w:r>
              <w:rPr>
                <w:sz w:val="18"/>
                <w:szCs w:val="18"/>
              </w:rPr>
              <w:t>Azure Front Door Premium + WAF</w:t>
            </w:r>
          </w:p>
        </w:tc>
        <w:tc>
          <w:tcPr>
            <w:tcW w:w="3100" w:type="dxa"/>
            <w:tcMar>
              <w:top w:w="70" w:type="dxa"/>
              <w:left w:w="100" w:type="dxa"/>
              <w:bottom w:w="70" w:type="dxa"/>
              <w:right w:w="100" w:type="dxa"/>
            </w:tcMar>
            <w:vAlign w:val="center"/>
          </w:tcPr>
          <w:p w14:paraId="48BB64B0" w14:textId="77777777" w:rsidR="002D25EA" w:rsidRDefault="002D25EA" w:rsidP="00D9409F">
            <w:r>
              <w:rPr>
                <w:sz w:val="18"/>
                <w:szCs w:val="18"/>
              </w:rPr>
              <w:t>roughly £260 base, plus usage</w:t>
            </w:r>
          </w:p>
        </w:tc>
        <w:tc>
          <w:tcPr>
            <w:tcW w:w="3100" w:type="dxa"/>
            <w:tcMar>
              <w:top w:w="70" w:type="dxa"/>
              <w:left w:w="100" w:type="dxa"/>
              <w:bottom w:w="70" w:type="dxa"/>
              <w:right w:w="100" w:type="dxa"/>
            </w:tcMar>
            <w:vAlign w:val="center"/>
          </w:tcPr>
          <w:p w14:paraId="581285D5" w14:textId="77777777" w:rsidR="002D25EA" w:rsidRDefault="002D25EA" w:rsidP="00D9409F">
            <w:r>
              <w:rPr>
                <w:sz w:val="18"/>
                <w:szCs w:val="18"/>
              </w:rPr>
              <w:t>WAF rules included in the base; requests and egress billed on top</w:t>
            </w:r>
          </w:p>
        </w:tc>
      </w:tr>
      <w:tr w:rsidR="002D25EA" w14:paraId="7091A626" w14:textId="77777777" w:rsidTr="00D9409F">
        <w:tc>
          <w:tcPr>
            <w:tcW w:w="3100" w:type="dxa"/>
            <w:tcMar>
              <w:top w:w="70" w:type="dxa"/>
              <w:left w:w="100" w:type="dxa"/>
              <w:bottom w:w="70" w:type="dxa"/>
              <w:right w:w="100" w:type="dxa"/>
            </w:tcMar>
            <w:vAlign w:val="center"/>
          </w:tcPr>
          <w:p w14:paraId="3062F0B6" w14:textId="77777777" w:rsidR="002D25EA" w:rsidRDefault="002D25EA" w:rsidP="00D9409F">
            <w:r>
              <w:rPr>
                <w:sz w:val="18"/>
                <w:szCs w:val="18"/>
              </w:rPr>
              <w:t>Azure Key Vault</w:t>
            </w:r>
          </w:p>
        </w:tc>
        <w:tc>
          <w:tcPr>
            <w:tcW w:w="3100" w:type="dxa"/>
            <w:tcMar>
              <w:top w:w="70" w:type="dxa"/>
              <w:left w:w="100" w:type="dxa"/>
              <w:bottom w:w="70" w:type="dxa"/>
              <w:right w:w="100" w:type="dxa"/>
            </w:tcMar>
            <w:vAlign w:val="center"/>
          </w:tcPr>
          <w:p w14:paraId="5EB942FE" w14:textId="77777777" w:rsidR="002D25EA" w:rsidRDefault="002D25EA" w:rsidP="00D9409F">
            <w:r>
              <w:rPr>
                <w:sz w:val="18"/>
                <w:szCs w:val="18"/>
              </w:rPr>
              <w:t>a few pounds per month</w:t>
            </w:r>
          </w:p>
        </w:tc>
        <w:tc>
          <w:tcPr>
            <w:tcW w:w="3100" w:type="dxa"/>
            <w:tcMar>
              <w:top w:w="70" w:type="dxa"/>
              <w:left w:w="100" w:type="dxa"/>
              <w:bottom w:w="70" w:type="dxa"/>
              <w:right w:w="100" w:type="dxa"/>
            </w:tcMar>
            <w:vAlign w:val="center"/>
          </w:tcPr>
          <w:p w14:paraId="044BF20E" w14:textId="77777777" w:rsidR="002D25EA" w:rsidRDefault="002D25EA" w:rsidP="00D9409F">
            <w:r>
              <w:rPr>
                <w:sz w:val="18"/>
                <w:szCs w:val="18"/>
              </w:rPr>
              <w:t>Priced per operation; negligible at this scale</w:t>
            </w:r>
          </w:p>
        </w:tc>
      </w:tr>
      <w:tr w:rsidR="002D25EA" w14:paraId="046C767F" w14:textId="77777777" w:rsidTr="00D9409F">
        <w:tc>
          <w:tcPr>
            <w:tcW w:w="3100" w:type="dxa"/>
            <w:tcMar>
              <w:top w:w="70" w:type="dxa"/>
              <w:left w:w="100" w:type="dxa"/>
              <w:bottom w:w="70" w:type="dxa"/>
              <w:right w:w="100" w:type="dxa"/>
            </w:tcMar>
            <w:vAlign w:val="center"/>
          </w:tcPr>
          <w:p w14:paraId="1EA0004F" w14:textId="77777777" w:rsidR="002D25EA" w:rsidRDefault="002D25EA" w:rsidP="00D9409F">
            <w:r>
              <w:rPr>
                <w:sz w:val="18"/>
                <w:szCs w:val="18"/>
              </w:rPr>
              <w:t>Azure Monitor and Application Insights</w:t>
            </w:r>
          </w:p>
        </w:tc>
        <w:tc>
          <w:tcPr>
            <w:tcW w:w="3100" w:type="dxa"/>
            <w:tcMar>
              <w:top w:w="70" w:type="dxa"/>
              <w:left w:w="100" w:type="dxa"/>
              <w:bottom w:w="70" w:type="dxa"/>
              <w:right w:w="100" w:type="dxa"/>
            </w:tcMar>
            <w:vAlign w:val="center"/>
          </w:tcPr>
          <w:p w14:paraId="7B389DF4" w14:textId="77777777" w:rsidR="002D25EA" w:rsidRDefault="002D25EA" w:rsidP="00D9409F">
            <w:r>
              <w:rPr>
                <w:sz w:val="18"/>
                <w:szCs w:val="18"/>
              </w:rPr>
              <w:t>usage-based</w:t>
            </w:r>
          </w:p>
        </w:tc>
        <w:tc>
          <w:tcPr>
            <w:tcW w:w="3100" w:type="dxa"/>
            <w:tcMar>
              <w:top w:w="70" w:type="dxa"/>
              <w:left w:w="100" w:type="dxa"/>
              <w:bottom w:w="70" w:type="dxa"/>
              <w:right w:w="100" w:type="dxa"/>
            </w:tcMar>
            <w:vAlign w:val="center"/>
          </w:tcPr>
          <w:p w14:paraId="46108FE1" w14:textId="77777777" w:rsidR="002D25EA" w:rsidRDefault="002D25EA" w:rsidP="00D9409F">
            <w:r>
              <w:rPr>
                <w:sz w:val="18"/>
                <w:szCs w:val="18"/>
              </w:rPr>
              <w:t>Driven by log volume; the main variable operational cost</w:t>
            </w:r>
          </w:p>
        </w:tc>
      </w:tr>
      <w:tr w:rsidR="002D25EA" w14:paraId="44A5EE28" w14:textId="77777777" w:rsidTr="00D9409F">
        <w:tc>
          <w:tcPr>
            <w:tcW w:w="3100" w:type="dxa"/>
            <w:tcMar>
              <w:top w:w="70" w:type="dxa"/>
              <w:left w:w="100" w:type="dxa"/>
              <w:bottom w:w="70" w:type="dxa"/>
              <w:right w:w="100" w:type="dxa"/>
            </w:tcMar>
            <w:vAlign w:val="center"/>
          </w:tcPr>
          <w:p w14:paraId="500A8BC0" w14:textId="77777777" w:rsidR="002D25EA" w:rsidRDefault="002D25EA" w:rsidP="00D9409F">
            <w:r>
              <w:rPr>
                <w:sz w:val="18"/>
                <w:szCs w:val="18"/>
              </w:rPr>
              <w:t>Azure DDoS Protection (if on a dedicated plan)</w:t>
            </w:r>
          </w:p>
        </w:tc>
        <w:tc>
          <w:tcPr>
            <w:tcW w:w="3100" w:type="dxa"/>
            <w:tcMar>
              <w:top w:w="70" w:type="dxa"/>
              <w:left w:w="100" w:type="dxa"/>
              <w:bottom w:w="70" w:type="dxa"/>
              <w:right w:w="100" w:type="dxa"/>
            </w:tcMar>
            <w:vAlign w:val="center"/>
          </w:tcPr>
          <w:p w14:paraId="3FA025A2" w14:textId="77777777" w:rsidR="002D25EA" w:rsidRDefault="002D25EA" w:rsidP="00D9409F">
            <w:r>
              <w:rPr>
                <w:sz w:val="18"/>
                <w:szCs w:val="18"/>
              </w:rPr>
              <w:t>roughly £2,300 per month per tenant</w:t>
            </w:r>
          </w:p>
        </w:tc>
        <w:tc>
          <w:tcPr>
            <w:tcW w:w="3100" w:type="dxa"/>
            <w:tcMar>
              <w:top w:w="70" w:type="dxa"/>
              <w:left w:w="100" w:type="dxa"/>
              <w:bottom w:w="70" w:type="dxa"/>
              <w:right w:w="100" w:type="dxa"/>
            </w:tcMar>
            <w:vAlign w:val="center"/>
          </w:tcPr>
          <w:p w14:paraId="7DD08C5E" w14:textId="77777777" w:rsidR="002D25EA" w:rsidRDefault="002D25EA" w:rsidP="00D9409F">
            <w:r>
              <w:rPr>
                <w:sz w:val="18"/>
                <w:szCs w:val="18"/>
              </w:rPr>
              <w:t>Shared across all workloads in the tenant, not APIM-specific</w:t>
            </w:r>
          </w:p>
        </w:tc>
      </w:tr>
    </w:tbl>
    <w:p w14:paraId="2CAE3FB0" w14:textId="77777777" w:rsidR="002D25EA" w:rsidRDefault="002D25EA" w:rsidP="002D25EA">
      <w:pPr>
        <w:spacing w:after="140"/>
      </w:pPr>
    </w:p>
    <w:p w14:paraId="33CDFD88" w14:textId="77777777" w:rsidR="002D25EA" w:rsidRDefault="002D25EA" w:rsidP="002D25EA">
      <w:pPr>
        <w:spacing w:after="140"/>
      </w:pPr>
      <w:r>
        <w:rPr>
          <w:i/>
          <w:iCs/>
          <w:color w:val="555555"/>
        </w:rPr>
        <w:t>DDoS Protection is listed for completeness, but it is a tenant-wide service the Organization may already pay for; it should not be attributed to APIM alone. If the Organization has no dedicated DDoS plan, the infrastructure-level DDoS protection that comes free with Azure still applies.</w:t>
      </w:r>
    </w:p>
    <w:p w14:paraId="008425E6" w14:textId="77777777" w:rsidR="002D25EA" w:rsidRPr="00C8018D" w:rsidRDefault="002D25EA" w:rsidP="00C8018D">
      <w:pPr>
        <w:rPr>
          <w:b/>
          <w:bCs/>
        </w:rPr>
      </w:pPr>
      <w:r>
        <w:rPr>
          <w:b/>
          <w:bCs/>
        </w:rPr>
        <w:t>How to keep the cost down</w:t>
      </w:r>
    </w:p>
    <w:p w14:paraId="68AE93B6" w14:textId="77777777" w:rsidR="002D25EA" w:rsidRDefault="002D25EA" w:rsidP="002D25EA">
      <w:pPr>
        <w:pStyle w:val="ListParagraph"/>
        <w:numPr>
          <w:ilvl w:val="0"/>
          <w:numId w:val="2"/>
        </w:numPr>
        <w:spacing w:after="70"/>
      </w:pPr>
      <w:r>
        <w:t>Run Dev on the Developer tier, not Premium. It has the full policy engine and portal for a fraction of the price; its lack of an SLA does not matter for a build-and-test environment. UAT steps up to Standard v2 so business sign-off happens on an SLA-backed, production-like tier.</w:t>
      </w:r>
    </w:p>
    <w:p w14:paraId="0C659EF0" w14:textId="77777777" w:rsidR="002D25EA" w:rsidRDefault="002D25EA" w:rsidP="002D25EA">
      <w:pPr>
        <w:pStyle w:val="ListParagraph"/>
        <w:numPr>
          <w:ilvl w:val="0"/>
          <w:numId w:val="2"/>
        </w:numPr>
        <w:spacing w:after="70"/>
      </w:pPr>
      <w:r>
        <w:t>Add Premium units only when capacity metrics require it. One unit covers a comfortable pilot; scaling out is a deliberate choice, not a default.</w:t>
      </w:r>
    </w:p>
    <w:p w14:paraId="318F18C2" w14:textId="77777777" w:rsidR="002D25EA" w:rsidRDefault="002D25EA" w:rsidP="002D25EA">
      <w:pPr>
        <w:pStyle w:val="ListParagraph"/>
        <w:numPr>
          <w:ilvl w:val="0"/>
          <w:numId w:val="2"/>
        </w:numPr>
        <w:spacing w:after="70"/>
      </w:pPr>
      <w:r>
        <w:t>Watch log ingestion. Application Insights and Log Analytics are usage-billed, so sampling verbose logs in production keeps the observability bill predictable.</w:t>
      </w:r>
    </w:p>
    <w:p w14:paraId="59B58D76" w14:textId="77777777" w:rsidR="002D25EA" w:rsidRDefault="002D25EA" w:rsidP="002D25EA">
      <w:pPr>
        <w:pStyle w:val="ListParagraph"/>
        <w:numPr>
          <w:ilvl w:val="0"/>
          <w:numId w:val="2"/>
        </w:numPr>
        <w:spacing w:after="70"/>
      </w:pPr>
      <w:r>
        <w:t>Confirm whether active-active is needed from day one, or whether a single-region start with active-passive DR is acceptable for the first phase, deferring the second Premium unit's cost until partner traffic justifies it.</w:t>
      </w:r>
    </w:p>
    <w:p w14:paraId="2500D08B" w14:textId="77777777" w:rsidR="002D25EA" w:rsidRDefault="002D25EA" w:rsidP="002D25EA">
      <w:pPr>
        <w:spacing w:after="140"/>
      </w:pPr>
      <w:r>
        <w:t>A sensible first-phase envelope, one Premium production unit plus Front Door, with Developer and Standard v2 lower environments, lands in the region of £3,500 to £4,000 per month before traffic and before any enterprise discount. Moving production to active-active adds roughly one more Premium unit's cost. These are planning numbers to frame the conversation with Microsoft, not a committed price.</w:t>
      </w:r>
    </w:p>
    <w:p w14:paraId="2B4D34D2" w14:textId="77777777" w:rsidR="002D25EA" w:rsidRPr="00C8018D" w:rsidRDefault="002D25EA" w:rsidP="00C8018D">
      <w:pPr>
        <w:rPr>
          <w:b/>
          <w:bCs/>
        </w:rPr>
      </w:pPr>
      <w:r>
        <w:rPr>
          <w:b/>
          <w:bCs/>
        </w:rPr>
        <w:lastRenderedPageBreak/>
        <w:t>Capacity planning and scaling</w:t>
      </w:r>
    </w:p>
    <w:p w14:paraId="4BF02B57" w14:textId="77777777" w:rsidR="002D25EA" w:rsidRDefault="002D25EA" w:rsidP="002D25EA">
      <w:pPr>
        <w:spacing w:after="140"/>
      </w:pPr>
      <w:r>
        <w:t>Cost and capacity are two views of the same decision: how many scale units each environment runs. This section makes the sizing explicit so the numbers above are traceable to expected load rather than picked. A dedicated-tier unit has a load-bearing capacity expressed as an approximate maximum throughput: on the order of 1, 000 requests per second per unit as a planning figure: but this is a rough planning number, not a hard limit: real throughput varies with payload size, connection patterns, and especially the number and cost of policies each request runs, so it must be validated against the Organization’s own traffic before it is treated as settled.</w:t>
      </w:r>
    </w:p>
    <w:p w14:paraId="57BB7448" w14:textId="77777777" w:rsidR="002D25EA" w:rsidRDefault="002D25EA" w:rsidP="002D25EA">
      <w:pPr>
        <w:spacing w:after="140"/>
      </w:pPr>
      <w:r>
        <w:t>Scale by the capacity metric, not by guesswork. APIM exposes a capacity metric (a percentage of resource utilisation across the gateway) that is the correct signal for scaling. The recommended rules of thumb, to be tuned against real traffic: for a single-unit instance, upgrade or add a unit when sustained capacity exceeds about 40% (headroom is reserved for platform updates); for multi-unit instances, scale out when the 30-minute average exceeds ~70% and scale in below ~35%, using averaging windows of 30 minutes or longer to avoid flapping. A scale operation takes around 30 minutes to complete, so autoscale rules must act on sustained trends and leave time to take effect, and in a multi-region deployment only the primary region’s units autoscale: secondary regions are sized manually.</w:t>
      </w:r>
    </w:p>
    <w:p w14:paraId="4D68D987" w14:textId="77777777" w:rsidR="002D25EA" w:rsidRDefault="002D25EA" w:rsidP="002D25EA">
      <w:pPr>
        <w:spacing w:after="140"/>
      </w:pPr>
      <w:r>
        <w:t>Right-size each environment to its job. Dev and UAT are not sized for production load; Production carries headroom for peak and for a region failover absorbing the other region’s share. The starting model, to be confirmed against the Organization’s measured or forecast peak requests per second: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00"/>
      </w:tblGrid>
      <w:tr w:rsidR="002D25EA" w14:paraId="560D47ED" w14:textId="77777777" w:rsidTr="00D9409F">
        <w:trPr>
          <w:tblHeader/>
        </w:trPr>
        <w:tc>
          <w:tcPr>
            <w:tcW w:w="2200" w:type="dxa"/>
            <w:shd w:val="clear" w:color="auto" w:fill="1E2761"/>
            <w:tcMar>
              <w:top w:w="70" w:type="dxa"/>
              <w:left w:w="100" w:type="dxa"/>
              <w:bottom w:w="70" w:type="dxa"/>
              <w:right w:w="100" w:type="dxa"/>
            </w:tcMar>
          </w:tcPr>
          <w:p w14:paraId="4A6DF50C" w14:textId="77777777" w:rsidR="002D25EA" w:rsidRDefault="002D25EA" w:rsidP="00D9409F">
            <w:r>
              <w:rPr>
                <w:b/>
                <w:bCs/>
                <w:color w:val="FFFFFF"/>
                <w:sz w:val="18"/>
                <w:szCs w:val="18"/>
              </w:rPr>
              <w:t>Environment</w:t>
            </w:r>
          </w:p>
        </w:tc>
        <w:tc>
          <w:tcPr>
            <w:tcW w:w="2200" w:type="dxa"/>
            <w:shd w:val="clear" w:color="auto" w:fill="1E2761"/>
            <w:tcMar>
              <w:top w:w="70" w:type="dxa"/>
              <w:left w:w="100" w:type="dxa"/>
              <w:bottom w:w="70" w:type="dxa"/>
              <w:right w:w="100" w:type="dxa"/>
            </w:tcMar>
          </w:tcPr>
          <w:p w14:paraId="775EA180" w14:textId="77777777" w:rsidR="002D25EA" w:rsidRDefault="002D25EA" w:rsidP="00D9409F">
            <w:r>
              <w:rPr>
                <w:b/>
                <w:bCs/>
                <w:color w:val="FFFFFF"/>
                <w:sz w:val="18"/>
                <w:szCs w:val="18"/>
              </w:rPr>
              <w:t>Starting size</w:t>
            </w:r>
          </w:p>
        </w:tc>
        <w:tc>
          <w:tcPr>
            <w:tcW w:w="2200" w:type="dxa"/>
            <w:shd w:val="clear" w:color="auto" w:fill="1E2761"/>
            <w:tcMar>
              <w:top w:w="70" w:type="dxa"/>
              <w:left w:w="100" w:type="dxa"/>
              <w:bottom w:w="70" w:type="dxa"/>
              <w:right w:w="100" w:type="dxa"/>
            </w:tcMar>
          </w:tcPr>
          <w:p w14:paraId="0466AB08" w14:textId="77777777" w:rsidR="002D25EA" w:rsidRDefault="002D25EA" w:rsidP="00D9409F">
            <w:r>
              <w:rPr>
                <w:b/>
                <w:bCs/>
                <w:color w:val="FFFFFF"/>
                <w:sz w:val="18"/>
                <w:szCs w:val="18"/>
              </w:rPr>
              <w:t>Indicative capacity</w:t>
            </w:r>
          </w:p>
        </w:tc>
        <w:tc>
          <w:tcPr>
            <w:tcW w:w="2700" w:type="dxa"/>
            <w:shd w:val="clear" w:color="auto" w:fill="1E2761"/>
            <w:tcMar>
              <w:top w:w="70" w:type="dxa"/>
              <w:left w:w="100" w:type="dxa"/>
              <w:bottom w:w="70" w:type="dxa"/>
              <w:right w:w="100" w:type="dxa"/>
            </w:tcMar>
          </w:tcPr>
          <w:p w14:paraId="71BC0B60" w14:textId="77777777" w:rsidR="002D25EA" w:rsidRDefault="002D25EA" w:rsidP="00D9409F">
            <w:r>
              <w:rPr>
                <w:b/>
                <w:bCs/>
                <w:color w:val="FFFFFF"/>
                <w:sz w:val="18"/>
                <w:szCs w:val="18"/>
              </w:rPr>
              <w:t>Sizing basis</w:t>
            </w:r>
          </w:p>
        </w:tc>
      </w:tr>
      <w:tr w:rsidR="002D25EA" w14:paraId="733700E9" w14:textId="77777777" w:rsidTr="00D9409F">
        <w:tc>
          <w:tcPr>
            <w:tcW w:w="2200" w:type="dxa"/>
            <w:tcMar>
              <w:top w:w="70" w:type="dxa"/>
              <w:left w:w="100" w:type="dxa"/>
              <w:bottom w:w="70" w:type="dxa"/>
              <w:right w:w="100" w:type="dxa"/>
            </w:tcMar>
          </w:tcPr>
          <w:p w14:paraId="568D3839" w14:textId="77777777" w:rsidR="002D25EA" w:rsidRDefault="002D25EA" w:rsidP="00D9409F">
            <w:r>
              <w:rPr>
                <w:sz w:val="18"/>
                <w:szCs w:val="18"/>
              </w:rPr>
              <w:t>Dev</w:t>
            </w:r>
          </w:p>
        </w:tc>
        <w:tc>
          <w:tcPr>
            <w:tcW w:w="2200" w:type="dxa"/>
            <w:tcMar>
              <w:top w:w="70" w:type="dxa"/>
              <w:left w:w="100" w:type="dxa"/>
              <w:bottom w:w="70" w:type="dxa"/>
              <w:right w:w="100" w:type="dxa"/>
            </w:tcMar>
          </w:tcPr>
          <w:p w14:paraId="02B2B67B" w14:textId="77777777" w:rsidR="002D25EA" w:rsidRDefault="002D25EA" w:rsidP="00D9409F">
            <w:r>
              <w:rPr>
                <w:sz w:val="18"/>
                <w:szCs w:val="18"/>
              </w:rPr>
              <w:t>Developer, 1 unit</w:t>
            </w:r>
          </w:p>
        </w:tc>
        <w:tc>
          <w:tcPr>
            <w:tcW w:w="2200" w:type="dxa"/>
            <w:tcMar>
              <w:top w:w="70" w:type="dxa"/>
              <w:left w:w="100" w:type="dxa"/>
              <w:bottom w:w="70" w:type="dxa"/>
              <w:right w:w="100" w:type="dxa"/>
            </w:tcMar>
          </w:tcPr>
          <w:p w14:paraId="1D0F4302" w14:textId="77777777" w:rsidR="002D25EA" w:rsidRDefault="002D25EA" w:rsidP="00D9409F">
            <w:r>
              <w:rPr>
                <w:sz w:val="18"/>
                <w:szCs w:val="18"/>
              </w:rPr>
              <w:t>Not applicable</w:t>
            </w:r>
          </w:p>
        </w:tc>
        <w:tc>
          <w:tcPr>
            <w:tcW w:w="2700" w:type="dxa"/>
            <w:tcMar>
              <w:top w:w="70" w:type="dxa"/>
              <w:left w:w="100" w:type="dxa"/>
              <w:bottom w:w="70" w:type="dxa"/>
              <w:right w:w="100" w:type="dxa"/>
            </w:tcMar>
          </w:tcPr>
          <w:p w14:paraId="6D8A71A7" w14:textId="77777777" w:rsidR="002D25EA" w:rsidRDefault="002D25EA" w:rsidP="00D9409F">
            <w:r>
              <w:rPr>
                <w:sz w:val="18"/>
                <w:szCs w:val="18"/>
              </w:rPr>
              <w:t>Build and unit test only; no load target</w:t>
            </w:r>
          </w:p>
        </w:tc>
      </w:tr>
      <w:tr w:rsidR="002D25EA" w14:paraId="1E00FE11" w14:textId="77777777" w:rsidTr="00D9409F">
        <w:tc>
          <w:tcPr>
            <w:tcW w:w="2200" w:type="dxa"/>
            <w:tcMar>
              <w:top w:w="70" w:type="dxa"/>
              <w:left w:w="100" w:type="dxa"/>
              <w:bottom w:w="70" w:type="dxa"/>
              <w:right w:w="100" w:type="dxa"/>
            </w:tcMar>
          </w:tcPr>
          <w:p w14:paraId="202AE48E" w14:textId="77777777" w:rsidR="002D25EA" w:rsidRDefault="002D25EA" w:rsidP="00D9409F">
            <w:r>
              <w:rPr>
                <w:sz w:val="18"/>
                <w:szCs w:val="18"/>
              </w:rPr>
              <w:t>UAT</w:t>
            </w:r>
          </w:p>
        </w:tc>
        <w:tc>
          <w:tcPr>
            <w:tcW w:w="2200" w:type="dxa"/>
            <w:tcMar>
              <w:top w:w="70" w:type="dxa"/>
              <w:left w:w="100" w:type="dxa"/>
              <w:bottom w:w="70" w:type="dxa"/>
              <w:right w:w="100" w:type="dxa"/>
            </w:tcMar>
          </w:tcPr>
          <w:p w14:paraId="288EE372" w14:textId="77777777" w:rsidR="002D25EA" w:rsidRDefault="002D25EA" w:rsidP="00D9409F">
            <w:r>
              <w:rPr>
                <w:sz w:val="18"/>
                <w:szCs w:val="18"/>
              </w:rPr>
              <w:t>Standard v2, 1 unit</w:t>
            </w:r>
          </w:p>
        </w:tc>
        <w:tc>
          <w:tcPr>
            <w:tcW w:w="2200" w:type="dxa"/>
            <w:tcMar>
              <w:top w:w="70" w:type="dxa"/>
              <w:left w:w="100" w:type="dxa"/>
              <w:bottom w:w="70" w:type="dxa"/>
              <w:right w:w="100" w:type="dxa"/>
            </w:tcMar>
          </w:tcPr>
          <w:p w14:paraId="0CB84750" w14:textId="77777777" w:rsidR="002D25EA" w:rsidRDefault="002D25EA" w:rsidP="00D9409F">
            <w:r>
              <w:rPr>
                <w:sz w:val="18"/>
                <w:szCs w:val="18"/>
              </w:rPr>
              <w:t>~1,000 req/s planning figure</w:t>
            </w:r>
          </w:p>
        </w:tc>
        <w:tc>
          <w:tcPr>
            <w:tcW w:w="2700" w:type="dxa"/>
            <w:tcMar>
              <w:top w:w="70" w:type="dxa"/>
              <w:left w:w="100" w:type="dxa"/>
              <w:bottom w:w="70" w:type="dxa"/>
              <w:right w:w="100" w:type="dxa"/>
            </w:tcMar>
          </w:tcPr>
          <w:p w14:paraId="149472B3" w14:textId="77777777" w:rsidR="002D25EA" w:rsidRDefault="002D25EA" w:rsidP="00D9409F">
            <w:r>
              <w:rPr>
                <w:sz w:val="18"/>
                <w:szCs w:val="18"/>
              </w:rPr>
              <w:t>Production-like sign-off; scale for test load, not prod peak</w:t>
            </w:r>
          </w:p>
        </w:tc>
      </w:tr>
      <w:tr w:rsidR="002D25EA" w14:paraId="3DD4BD80" w14:textId="77777777" w:rsidTr="00D9409F">
        <w:tc>
          <w:tcPr>
            <w:tcW w:w="2200" w:type="dxa"/>
            <w:tcMar>
              <w:top w:w="70" w:type="dxa"/>
              <w:left w:w="100" w:type="dxa"/>
              <w:bottom w:w="70" w:type="dxa"/>
              <w:right w:w="100" w:type="dxa"/>
            </w:tcMar>
          </w:tcPr>
          <w:p w14:paraId="271F9F21" w14:textId="77777777" w:rsidR="002D25EA" w:rsidRDefault="002D25EA" w:rsidP="00D9409F">
            <w:r>
              <w:rPr>
                <w:sz w:val="18"/>
                <w:szCs w:val="18"/>
              </w:rPr>
              <w:t>Production (per region)</w:t>
            </w:r>
          </w:p>
        </w:tc>
        <w:tc>
          <w:tcPr>
            <w:tcW w:w="2200" w:type="dxa"/>
            <w:tcMar>
              <w:top w:w="70" w:type="dxa"/>
              <w:left w:w="100" w:type="dxa"/>
              <w:bottom w:w="70" w:type="dxa"/>
              <w:right w:w="100" w:type="dxa"/>
            </w:tcMar>
          </w:tcPr>
          <w:p w14:paraId="03287D60" w14:textId="77777777" w:rsidR="002D25EA" w:rsidRDefault="002D25EA" w:rsidP="00D9409F">
            <w:r>
              <w:rPr>
                <w:sz w:val="18"/>
                <w:szCs w:val="18"/>
              </w:rPr>
              <w:t>Classic Premium, 1 unit to start</w:t>
            </w:r>
          </w:p>
        </w:tc>
        <w:tc>
          <w:tcPr>
            <w:tcW w:w="2200" w:type="dxa"/>
            <w:tcMar>
              <w:top w:w="70" w:type="dxa"/>
              <w:left w:w="100" w:type="dxa"/>
              <w:bottom w:w="70" w:type="dxa"/>
              <w:right w:w="100" w:type="dxa"/>
            </w:tcMar>
          </w:tcPr>
          <w:p w14:paraId="435E6AD2" w14:textId="77777777" w:rsidR="002D25EA" w:rsidRDefault="002D25EA" w:rsidP="00D9409F">
            <w:r>
              <w:rPr>
                <w:sz w:val="18"/>
                <w:szCs w:val="18"/>
              </w:rPr>
              <w:t>~1,000 req/s per unit planning figure</w:t>
            </w:r>
          </w:p>
        </w:tc>
        <w:tc>
          <w:tcPr>
            <w:tcW w:w="2700" w:type="dxa"/>
            <w:tcMar>
              <w:top w:w="70" w:type="dxa"/>
              <w:left w:w="100" w:type="dxa"/>
              <w:bottom w:w="70" w:type="dxa"/>
              <w:right w:w="100" w:type="dxa"/>
            </w:tcMar>
          </w:tcPr>
          <w:p w14:paraId="1834D4CF" w14:textId="77777777" w:rsidR="002D25EA" w:rsidRDefault="002D25EA" w:rsidP="00D9409F">
            <w:r>
              <w:rPr>
                <w:sz w:val="18"/>
                <w:szCs w:val="18"/>
              </w:rPr>
              <w:t>Add units on the capacity metric; each region must hold peak load alone for active-active failover</w:t>
            </w:r>
          </w:p>
        </w:tc>
      </w:tr>
    </w:tbl>
    <w:p w14:paraId="2576A919" w14:textId="77777777" w:rsidR="002D25EA" w:rsidRDefault="002D25EA" w:rsidP="002D25EA">
      <w:pPr>
        <w:spacing w:after="140"/>
      </w:pPr>
      <w:r>
        <w:t>Two capacity items to resolve during detailed design, flagged so they are not missed: the Organization’s expected and peak requests-per-second (which sets the real unit count and is not yet known to this design), and the active-active headroom rule: because either region must be able to carry the whole load during a failover, each region should be sized for peak on its own, not for half. Both feed the cost envelope in this section and are recorded in the assumptions register.</w:t>
      </w:r>
    </w:p>
    <w:p w14:paraId="5441F681" w14:textId="77777777" w:rsidR="002D25EA" w:rsidRDefault="002D25EA" w:rsidP="002D25EA">
      <w:pPr>
        <w:spacing w:after="60"/>
      </w:pPr>
    </w:p>
    <w:p w14:paraId="0E373DA5" w14:textId="77777777" w:rsidR="002D25EA" w:rsidRPr="002D25EA" w:rsidRDefault="002D25EA" w:rsidP="002D25EA">
      <w:pPr>
        <w:pStyle w:val="Heading1"/>
        <w:pageBreakBefore/>
        <w:spacing w:after="0"/>
        <w:ind w:left="426" w:hanging="432"/>
        <w:rPr>
          <w:rFonts w:asciiTheme="minorHAnsi" w:eastAsiaTheme="minorHAnsi" w:hAnsiTheme="minorHAnsi" w:cstheme="minorBidi"/>
          <w:b w:val="0"/>
          <w:bCs w:val="0"/>
          <w:color w:val="000000" w:themeColor="text1" w:themeShade="80"/>
          <w:sz w:val="24"/>
          <w:szCs w:val="20"/>
          <w:lang w:eastAsia="en-US"/>
        </w:rPr>
      </w:pPr>
      <w:bookmarkStart w:id="34" w:name="_Toc240539758"/>
      <w:r>
        <w:rPr>
          <w:rFonts w:asciiTheme="minorHAnsi" w:eastAsiaTheme="minorHAnsi" w:hAnsiTheme="minorHAnsi" w:cstheme="minorBidi"/>
          <w:b w:val="0"/>
          <w:bCs w:val="0"/>
          <w:color w:val="000000" w:themeColor="text1" w:themeShade="80"/>
          <w:sz w:val="24"/>
          <w:szCs w:val="20"/>
          <w:lang w:eastAsia="en-US"/>
        </w:rPr>
        <w:lastRenderedPageBreak/>
        <w:t>Risks, Assumptions and Decisions</w:t>
      </w:r>
      <w:bookmarkEnd w:id="34"/>
    </w:p>
    <w:p w14:paraId="1FF533FF"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5" w:name="_Toc240539759"/>
      <w:r>
        <w:rPr>
          <w:rFonts w:asciiTheme="minorHAnsi" w:eastAsia="Times New Roman" w:hAnsiTheme="minorHAnsi" w:cs="Times New Roman"/>
          <w:b w:val="0"/>
          <w:color w:val="132040" w:themeColor="accent1" w:themeShade="BF"/>
          <w:sz w:val="24"/>
          <w:szCs w:val="26"/>
          <w:lang w:eastAsia="en-US"/>
        </w:rPr>
        <w:t>High Level Impact Assessment</w:t>
      </w:r>
      <w:bookmarkEnd w:id="35"/>
    </w:p>
    <w:p w14:paraId="1CD88D24" w14:textId="77777777" w:rsidR="002D25EA" w:rsidRDefault="002D25EA" w:rsidP="002D25EA">
      <w:pPr>
        <w:spacing w:after="140"/>
      </w:pPr>
      <w:r>
        <w:t>Introducing APIM adds a new, centrally-governed platform layer in front of the Organization’s existing integration estate. The impact is additive rather than disruptive: existing integration services continue to run, with APIM placed in front of them. The main new operational dependencies are the platform's networking (including the Palo Alto path), identity (Entra ID) and the APIOps pipeline. The subsections below summarise the impact by architecture domain.</w:t>
      </w:r>
    </w:p>
    <w:p w14:paraId="3AAB5257"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6" w:name="_Toc240539760"/>
      <w:r>
        <w:rPr>
          <w:rFonts w:asciiTheme="minorHAnsi" w:eastAsia="Times New Roman" w:hAnsiTheme="minorHAnsi" w:cs="Times New Roman"/>
          <w:b w:val="0"/>
          <w:color w:val="132040" w:themeColor="accent1" w:themeShade="BF"/>
          <w:sz w:val="24"/>
          <w:szCs w:val="26"/>
          <w:lang w:eastAsia="en-US"/>
        </w:rPr>
        <w:t>Business Architecture</w:t>
      </w:r>
      <w:bookmarkEnd w:id="36"/>
    </w:p>
    <w:p w14:paraId="5982B4E6" w14:textId="77777777" w:rsidR="002D25EA" w:rsidRDefault="002D25EA" w:rsidP="002D25EA">
      <w:pPr>
        <w:spacing w:after="140"/>
      </w:pPr>
      <w:r>
        <w:t>Business teams gain a governed, self-service route to expose data to brokers and partners without commissioning a bespoke integration each time. API onboarding moves from a multi-week bespoke build to a standard catalogued process, and partner onboarding becomes repeatable.</w:t>
      </w:r>
    </w:p>
    <w:p w14:paraId="0662C342"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7" w:name="_Toc240539761"/>
      <w:r>
        <w:rPr>
          <w:rFonts w:asciiTheme="minorHAnsi" w:eastAsia="Times New Roman" w:hAnsiTheme="minorHAnsi" w:cs="Times New Roman"/>
          <w:b w:val="0"/>
          <w:color w:val="132040" w:themeColor="accent1" w:themeShade="BF"/>
          <w:sz w:val="24"/>
          <w:szCs w:val="26"/>
          <w:lang w:eastAsia="en-US"/>
        </w:rPr>
        <w:t>Data Architecture</w:t>
      </w:r>
      <w:bookmarkEnd w:id="37"/>
    </w:p>
    <w:p w14:paraId="15E97D71" w14:textId="77777777" w:rsidR="002D25EA" w:rsidRDefault="002D25EA" w:rsidP="002D25EA">
      <w:pPr>
        <w:spacing w:after="140"/>
      </w:pPr>
      <w:r>
        <w:t>Data in transit is protected end to end (TLS 1.2 minimum), and response payloads can be masked at the gateway before leaving the Organization’s network. Primary and secondary regions in the UK support data-residency expectations. APIM does not store business data; it forwards it, so the data-at-rest position is unchanged from the backends.</w:t>
      </w:r>
    </w:p>
    <w:p w14:paraId="397E0FF3"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8" w:name="_Toc240539762"/>
      <w:r>
        <w:rPr>
          <w:rFonts w:asciiTheme="minorHAnsi" w:eastAsia="Times New Roman" w:hAnsiTheme="minorHAnsi" w:cs="Times New Roman"/>
          <w:b w:val="0"/>
          <w:color w:val="132040" w:themeColor="accent1" w:themeShade="BF"/>
          <w:sz w:val="24"/>
          <w:szCs w:val="26"/>
          <w:lang w:eastAsia="en-US"/>
        </w:rPr>
        <w:t>Application Architecture</w:t>
      </w:r>
      <w:bookmarkEnd w:id="38"/>
    </w:p>
    <w:p w14:paraId="3436A416" w14:textId="77777777" w:rsidR="002D25EA" w:rsidRDefault="002D25EA" w:rsidP="002D25EA">
      <w:pPr>
        <w:spacing w:after="140"/>
      </w:pPr>
      <w:r>
        <w:t>Existing applications and integration services are not replaced; APIM is added as a decoupling layer so that consumers integrate against a stable published API contract rather than a specific backend implementation. This reduces coupling between consumers and backends.</w:t>
      </w:r>
    </w:p>
    <w:p w14:paraId="2F41AC6C"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39" w:name="_Toc240539763"/>
      <w:r>
        <w:rPr>
          <w:rFonts w:asciiTheme="minorHAnsi" w:eastAsia="Times New Roman" w:hAnsiTheme="minorHAnsi" w:cs="Times New Roman"/>
          <w:b w:val="0"/>
          <w:color w:val="132040" w:themeColor="accent1" w:themeShade="BF"/>
          <w:sz w:val="24"/>
          <w:szCs w:val="26"/>
          <w:lang w:eastAsia="en-US"/>
        </w:rPr>
        <w:t>Technology Architecture</w:t>
      </w:r>
      <w:bookmarkEnd w:id="39"/>
    </w:p>
    <w:p w14:paraId="05806934" w14:textId="77777777" w:rsidR="002D25EA" w:rsidRDefault="002D25EA" w:rsidP="002D25EA">
      <w:pPr>
        <w:spacing w:after="140"/>
      </w:pPr>
      <w:r>
        <w:t>The design introduces APIM (classic Premium), Front Door with WAF, Key Vault, and the APIOps pipeline, integrated with the existing Azure landing zone and the Palo Alto firewall. It depends on Availability Zones and multi-region deployment for resilience, as set out in section 15.</w:t>
      </w:r>
    </w:p>
    <w:p w14:paraId="2A50ABAF" w14:textId="77777777" w:rsidR="002D25EA" w:rsidRDefault="002D25EA" w:rsidP="002D25EA">
      <w:pPr>
        <w:spacing w:after="140"/>
      </w:pPr>
      <w:r>
        <w:t>The technology architecture follows Microsoft’s published reference patterns for enterprise integration and API protection, adapted to the Organization’s estate. Consumers reach the platform through Azure Front Door (global edge WAF, TLS termination, DDoS and multi-region failover); internet and internal traffic are inspected by the existing Palo Alto next-generation firewall in the hub VNet; APIM runs in internal (VNet-injected) mode in a spoke, exposing an external and an internal gateway with no public data-plane address; and backends: integration services, Azure Functions and Service Bus: sit in a private backend spoke reachable only over Private Endpoints with NSG enforcement. Cutting across all of this are the shared platform services: Microsoft Entra ID for identity (OAuth 2.0 / JWT), Azure Key Vault for secrets and certificates, Azure Monitor with Application Insights and Log Analytics for observability, and the APIOps (Bicep + Git) pipeline that builds and promotes every environment as code.</w:t>
      </w:r>
    </w:p>
    <w:p w14:paraId="73D73076" w14:textId="77777777" w:rsidR="002D25EA" w:rsidRDefault="002D25EA" w:rsidP="002D25EA">
      <w:pPr>
        <w:spacing w:before="80" w:after="120"/>
        <w:jc w:val="center"/>
      </w:pPr>
      <w:r>
        <w:rPr>
          <w:noProof/>
        </w:rPr>
        <w:lastRenderedPageBreak/>
        <w:drawing>
          <wp:inline distT="0" distB="0" distL="0" distR="0" wp14:anchorId="24C491AC" wp14:editId="241549E1">
            <wp:extent cx="5943600" cy="217757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2177572"/>
                    </a:xfrm>
                    <a:prstGeom prst="rect">
                      <a:avLst/>
                    </a:prstGeom>
                  </pic:spPr>
                </pic:pic>
              </a:graphicData>
            </a:graphic>
          </wp:inline>
        </w:drawing>
      </w:r>
    </w:p>
    <w:p w14:paraId="216B218B" w14:textId="77777777" w:rsidR="002D25EA" w:rsidRDefault="002D25EA" w:rsidP="002D25EA">
      <w:pPr>
        <w:spacing w:after="180"/>
        <w:jc w:val="center"/>
      </w:pPr>
      <w:r>
        <w:rPr>
          <w:i/>
          <w:iCs/>
          <w:color w:val="666666"/>
          <w:sz w:val="18"/>
          <w:szCs w:val="18"/>
        </w:rPr>
        <w:t>Figure 30: Technology architecture, APIM target state on Azure, aligned to Microsoft reference patterns</w:t>
      </w:r>
    </w:p>
    <w:p w14:paraId="25F2A2F2"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0" w:name="_Toc240539764"/>
      <w:r>
        <w:rPr>
          <w:rFonts w:asciiTheme="minorHAnsi" w:eastAsia="Times New Roman" w:hAnsiTheme="minorHAnsi" w:cs="Times New Roman"/>
          <w:b w:val="0"/>
          <w:color w:val="132040" w:themeColor="accent1" w:themeShade="BF"/>
          <w:sz w:val="24"/>
          <w:szCs w:val="26"/>
          <w:lang w:eastAsia="en-US"/>
        </w:rPr>
        <w:t>Service Architecture</w:t>
      </w:r>
      <w:bookmarkEnd w:id="40"/>
    </w:p>
    <w:p w14:paraId="6861E265" w14:textId="77777777" w:rsidR="002D25EA" w:rsidRDefault="002D25EA" w:rsidP="002D25EA">
      <w:pPr>
        <w:spacing w:after="140"/>
      </w:pPr>
      <w:r>
        <w:t>Target service levels are 99.95 percent gateway availability, a recovery-time objective under 30 minutes for a regional failure, and API onboarding turnaround measured in days once the platform is live. Operational ownership follows the operating model in the accompanying Setup Handoff document.</w:t>
      </w:r>
    </w:p>
    <w:p w14:paraId="7844AD91"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1" w:name="_Toc240539765"/>
      <w:r>
        <w:rPr>
          <w:rFonts w:asciiTheme="minorHAnsi" w:eastAsia="Times New Roman" w:hAnsiTheme="minorHAnsi" w:cs="Times New Roman"/>
          <w:b w:val="0"/>
          <w:color w:val="132040" w:themeColor="accent1" w:themeShade="BF"/>
          <w:sz w:val="24"/>
          <w:szCs w:val="26"/>
          <w:lang w:eastAsia="en-US"/>
        </w:rPr>
        <w:t>Assumptions</w:t>
      </w:r>
      <w:bookmarkEnd w:id="41"/>
    </w:p>
    <w:p w14:paraId="7DC39094" w14:textId="77777777" w:rsidR="002D25EA" w:rsidRDefault="002D25EA" w:rsidP="002D25EA">
      <w:pPr>
        <w:spacing w:after="140"/>
      </w:pPr>
      <w:r>
        <w:t>This design is a well-formed proposal, not a the Organization-verified fact base. The items below are assumptions or open decisions that carry real weight; several are stated as design choices elsewhere in this document for readability, but none should be treated as settled until confirmed. This register is the single place a reviewer, or the Organization’s TDA, should look to see where the design still depends on inputs we have not seen. It is deliberately blunt.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2D25EA" w14:paraId="284CBFFF" w14:textId="77777777" w:rsidTr="00D9409F">
        <w:trPr>
          <w:tblHeader/>
        </w:trPr>
        <w:tc>
          <w:tcPr>
            <w:tcW w:w="2325" w:type="dxa"/>
            <w:shd w:val="clear" w:color="auto" w:fill="1E2761"/>
            <w:tcMar>
              <w:top w:w="70" w:type="dxa"/>
              <w:left w:w="100" w:type="dxa"/>
              <w:bottom w:w="70" w:type="dxa"/>
              <w:right w:w="100" w:type="dxa"/>
            </w:tcMar>
            <w:vAlign w:val="center"/>
          </w:tcPr>
          <w:p w14:paraId="528E762D" w14:textId="77777777" w:rsidR="002D25EA" w:rsidRDefault="002D25EA" w:rsidP="00D9409F">
            <w:r>
              <w:rPr>
                <w:b/>
                <w:bCs/>
                <w:color w:val="FFFFFF"/>
                <w:sz w:val="18"/>
                <w:szCs w:val="18"/>
              </w:rPr>
              <w:t>Ref</w:t>
            </w:r>
          </w:p>
        </w:tc>
        <w:tc>
          <w:tcPr>
            <w:tcW w:w="2325" w:type="dxa"/>
            <w:shd w:val="clear" w:color="auto" w:fill="1E2761"/>
            <w:tcMar>
              <w:top w:w="70" w:type="dxa"/>
              <w:left w:w="100" w:type="dxa"/>
              <w:bottom w:w="70" w:type="dxa"/>
              <w:right w:w="100" w:type="dxa"/>
            </w:tcMar>
            <w:vAlign w:val="center"/>
          </w:tcPr>
          <w:p w14:paraId="3E58724A" w14:textId="77777777" w:rsidR="002D25EA" w:rsidRDefault="002D25EA" w:rsidP="00D9409F">
            <w:r>
              <w:rPr>
                <w:b/>
                <w:bCs/>
                <w:color w:val="FFFFFF"/>
                <w:sz w:val="18"/>
                <w:szCs w:val="18"/>
              </w:rPr>
              <w:t>Assumption or open item</w:t>
            </w:r>
          </w:p>
        </w:tc>
        <w:tc>
          <w:tcPr>
            <w:tcW w:w="2325" w:type="dxa"/>
            <w:shd w:val="clear" w:color="auto" w:fill="1E2761"/>
            <w:tcMar>
              <w:top w:w="70" w:type="dxa"/>
              <w:left w:w="100" w:type="dxa"/>
              <w:bottom w:w="70" w:type="dxa"/>
              <w:right w:w="100" w:type="dxa"/>
            </w:tcMar>
            <w:vAlign w:val="center"/>
          </w:tcPr>
          <w:p w14:paraId="622567D5" w14:textId="77777777" w:rsidR="002D25EA" w:rsidRDefault="002D25EA" w:rsidP="00D9409F">
            <w:r>
              <w:rPr>
                <w:b/>
                <w:bCs/>
                <w:color w:val="FFFFFF"/>
                <w:sz w:val="18"/>
                <w:szCs w:val="18"/>
              </w:rPr>
              <w:t>Impact if wrong</w:t>
            </w:r>
          </w:p>
        </w:tc>
        <w:tc>
          <w:tcPr>
            <w:tcW w:w="2325" w:type="dxa"/>
            <w:shd w:val="clear" w:color="auto" w:fill="1E2761"/>
            <w:tcMar>
              <w:top w:w="70" w:type="dxa"/>
              <w:left w:w="100" w:type="dxa"/>
              <w:bottom w:w="70" w:type="dxa"/>
              <w:right w:w="100" w:type="dxa"/>
            </w:tcMar>
            <w:vAlign w:val="center"/>
          </w:tcPr>
          <w:p w14:paraId="500D463F" w14:textId="77777777" w:rsidR="002D25EA" w:rsidRDefault="002D25EA" w:rsidP="00D9409F">
            <w:r>
              <w:rPr>
                <w:b/>
                <w:bCs/>
                <w:color w:val="FFFFFF"/>
                <w:sz w:val="18"/>
                <w:szCs w:val="18"/>
              </w:rPr>
              <w:t>Owner to confirm</w:t>
            </w:r>
          </w:p>
        </w:tc>
      </w:tr>
      <w:tr w:rsidR="002D25EA" w14:paraId="3B36EB20" w14:textId="77777777" w:rsidTr="00D9409F">
        <w:tc>
          <w:tcPr>
            <w:tcW w:w="2325" w:type="dxa"/>
            <w:tcMar>
              <w:top w:w="70" w:type="dxa"/>
              <w:left w:w="100" w:type="dxa"/>
              <w:bottom w:w="70" w:type="dxa"/>
              <w:right w:w="100" w:type="dxa"/>
            </w:tcMar>
            <w:vAlign w:val="center"/>
          </w:tcPr>
          <w:p w14:paraId="236E5CB3" w14:textId="77777777" w:rsidR="002D25EA" w:rsidRDefault="002D25EA" w:rsidP="00D9409F">
            <w:r>
              <w:rPr>
                <w:sz w:val="18"/>
                <w:szCs w:val="18"/>
              </w:rPr>
              <w:t>A.01</w:t>
            </w:r>
          </w:p>
        </w:tc>
        <w:tc>
          <w:tcPr>
            <w:tcW w:w="2325" w:type="dxa"/>
            <w:tcMar>
              <w:top w:w="70" w:type="dxa"/>
              <w:left w:w="100" w:type="dxa"/>
              <w:bottom w:w="70" w:type="dxa"/>
              <w:right w:w="100" w:type="dxa"/>
            </w:tcMar>
            <w:vAlign w:val="center"/>
          </w:tcPr>
          <w:p w14:paraId="5BE7084E" w14:textId="77777777" w:rsidR="002D25EA" w:rsidRDefault="002D25EA" w:rsidP="00D9409F">
            <w:r>
              <w:rPr>
                <w:sz w:val="18"/>
                <w:szCs w:val="18"/>
              </w:rPr>
              <w:t>This is a greenfield build; no legacy on-prem system needs direct APIM exposure</w:t>
            </w:r>
          </w:p>
        </w:tc>
        <w:tc>
          <w:tcPr>
            <w:tcW w:w="2325" w:type="dxa"/>
            <w:tcMar>
              <w:top w:w="70" w:type="dxa"/>
              <w:left w:w="100" w:type="dxa"/>
              <w:bottom w:w="70" w:type="dxa"/>
              <w:right w:w="100" w:type="dxa"/>
            </w:tcMar>
            <w:vAlign w:val="center"/>
          </w:tcPr>
          <w:p w14:paraId="49368AE7" w14:textId="77777777" w:rsidR="002D25EA" w:rsidRDefault="002D25EA" w:rsidP="00D9409F">
            <w:r>
              <w:rPr>
                <w:sz w:val="18"/>
                <w:szCs w:val="18"/>
              </w:rPr>
              <w:t>Introduces self-hosted gateway and hybrid connectivity, changing tier and topology</w:t>
            </w:r>
          </w:p>
        </w:tc>
        <w:tc>
          <w:tcPr>
            <w:tcW w:w="2325" w:type="dxa"/>
            <w:tcMar>
              <w:top w:w="70" w:type="dxa"/>
              <w:left w:w="100" w:type="dxa"/>
              <w:bottom w:w="70" w:type="dxa"/>
              <w:right w:w="100" w:type="dxa"/>
            </w:tcMar>
            <w:vAlign w:val="center"/>
          </w:tcPr>
          <w:p w14:paraId="4C7B8F57" w14:textId="77777777" w:rsidR="002D25EA" w:rsidRDefault="002D25EA" w:rsidP="00D9409F">
            <w:r>
              <w:rPr>
                <w:sz w:val="18"/>
                <w:szCs w:val="18"/>
              </w:rPr>
              <w:t>the Organization’s Enterprise Architecture team / Integration</w:t>
            </w:r>
          </w:p>
        </w:tc>
      </w:tr>
      <w:tr w:rsidR="002D25EA" w14:paraId="365856CC" w14:textId="77777777" w:rsidTr="00D9409F">
        <w:tc>
          <w:tcPr>
            <w:tcW w:w="2325" w:type="dxa"/>
            <w:tcMar>
              <w:top w:w="70" w:type="dxa"/>
              <w:left w:w="100" w:type="dxa"/>
              <w:bottom w:w="70" w:type="dxa"/>
              <w:right w:w="100" w:type="dxa"/>
            </w:tcMar>
            <w:vAlign w:val="center"/>
          </w:tcPr>
          <w:p w14:paraId="44E70164" w14:textId="77777777" w:rsidR="002D25EA" w:rsidRDefault="002D25EA" w:rsidP="00D9409F">
            <w:r>
              <w:rPr>
                <w:sz w:val="18"/>
                <w:szCs w:val="18"/>
              </w:rPr>
              <w:t>A.02</w:t>
            </w:r>
          </w:p>
        </w:tc>
        <w:tc>
          <w:tcPr>
            <w:tcW w:w="2325" w:type="dxa"/>
            <w:tcMar>
              <w:top w:w="70" w:type="dxa"/>
              <w:left w:w="100" w:type="dxa"/>
              <w:bottom w:w="70" w:type="dxa"/>
              <w:right w:w="100" w:type="dxa"/>
            </w:tcMar>
            <w:vAlign w:val="center"/>
          </w:tcPr>
          <w:p w14:paraId="6D2D4034" w14:textId="77777777" w:rsidR="002D25EA" w:rsidRDefault="002D25EA" w:rsidP="00D9409F">
            <w:r>
              <w:rPr>
                <w:sz w:val="18"/>
                <w:szCs w:val="18"/>
              </w:rPr>
              <w:t>Backends already sit in a VNet reachable via Private Endpoint</w:t>
            </w:r>
          </w:p>
        </w:tc>
        <w:tc>
          <w:tcPr>
            <w:tcW w:w="2325" w:type="dxa"/>
            <w:tcMar>
              <w:top w:w="70" w:type="dxa"/>
              <w:left w:w="100" w:type="dxa"/>
              <w:bottom w:w="70" w:type="dxa"/>
              <w:right w:w="100" w:type="dxa"/>
            </w:tcMar>
            <w:vAlign w:val="center"/>
          </w:tcPr>
          <w:p w14:paraId="7C04F3C9" w14:textId="77777777" w:rsidR="002D25EA" w:rsidRDefault="002D25EA" w:rsidP="00D9409F">
            <w:r>
              <w:rPr>
                <w:sz w:val="18"/>
                <w:szCs w:val="18"/>
              </w:rPr>
              <w:t>The whole backend-connectivity design (section 7) may need rework</w:t>
            </w:r>
          </w:p>
        </w:tc>
        <w:tc>
          <w:tcPr>
            <w:tcW w:w="2325" w:type="dxa"/>
            <w:tcMar>
              <w:top w:w="70" w:type="dxa"/>
              <w:left w:w="100" w:type="dxa"/>
              <w:bottom w:w="70" w:type="dxa"/>
              <w:right w:w="100" w:type="dxa"/>
            </w:tcMar>
            <w:vAlign w:val="center"/>
          </w:tcPr>
          <w:p w14:paraId="6509719C" w14:textId="77777777" w:rsidR="002D25EA" w:rsidRDefault="002D25EA" w:rsidP="00D9409F">
            <w:r>
              <w:rPr>
                <w:sz w:val="18"/>
                <w:szCs w:val="18"/>
              </w:rPr>
              <w:t>the Organization’s Network team</w:t>
            </w:r>
          </w:p>
        </w:tc>
      </w:tr>
      <w:tr w:rsidR="002D25EA" w14:paraId="7F6AF7F4" w14:textId="77777777" w:rsidTr="00D9409F">
        <w:tc>
          <w:tcPr>
            <w:tcW w:w="2325" w:type="dxa"/>
            <w:tcMar>
              <w:top w:w="70" w:type="dxa"/>
              <w:left w:w="100" w:type="dxa"/>
              <w:bottom w:w="70" w:type="dxa"/>
              <w:right w:w="100" w:type="dxa"/>
            </w:tcMar>
            <w:vAlign w:val="center"/>
          </w:tcPr>
          <w:p w14:paraId="7606A3E0" w14:textId="77777777" w:rsidR="002D25EA" w:rsidRDefault="002D25EA" w:rsidP="00D9409F">
            <w:r>
              <w:rPr>
                <w:sz w:val="18"/>
                <w:szCs w:val="18"/>
              </w:rPr>
              <w:t>A.03</w:t>
            </w:r>
          </w:p>
        </w:tc>
        <w:tc>
          <w:tcPr>
            <w:tcW w:w="2325" w:type="dxa"/>
            <w:tcMar>
              <w:top w:w="70" w:type="dxa"/>
              <w:left w:w="100" w:type="dxa"/>
              <w:bottom w:w="70" w:type="dxa"/>
              <w:right w:w="100" w:type="dxa"/>
            </w:tcMar>
            <w:vAlign w:val="center"/>
          </w:tcPr>
          <w:p w14:paraId="77C9CB6C" w14:textId="77777777" w:rsidR="002D25EA" w:rsidRDefault="002D25EA" w:rsidP="00D9409F">
            <w:r>
              <w:rPr>
                <w:sz w:val="18"/>
                <w:szCs w:val="18"/>
              </w:rPr>
              <w:t>the Organization’s landing zone follows a standard hub-spoke with private DNS zones available</w:t>
            </w:r>
          </w:p>
        </w:tc>
        <w:tc>
          <w:tcPr>
            <w:tcW w:w="2325" w:type="dxa"/>
            <w:tcMar>
              <w:top w:w="70" w:type="dxa"/>
              <w:left w:w="100" w:type="dxa"/>
              <w:bottom w:w="70" w:type="dxa"/>
              <w:right w:w="100" w:type="dxa"/>
            </w:tcMar>
            <w:vAlign w:val="center"/>
          </w:tcPr>
          <w:p w14:paraId="138DE29A" w14:textId="77777777" w:rsidR="002D25EA" w:rsidRDefault="002D25EA" w:rsidP="00D9409F">
            <w:r>
              <w:rPr>
                <w:sz w:val="18"/>
                <w:szCs w:val="18"/>
              </w:rPr>
              <w:t>Affects DNS, egress, and how APIM reaches each backend</w:t>
            </w:r>
          </w:p>
        </w:tc>
        <w:tc>
          <w:tcPr>
            <w:tcW w:w="2325" w:type="dxa"/>
            <w:tcMar>
              <w:top w:w="70" w:type="dxa"/>
              <w:left w:w="100" w:type="dxa"/>
              <w:bottom w:w="70" w:type="dxa"/>
              <w:right w:w="100" w:type="dxa"/>
            </w:tcMar>
            <w:vAlign w:val="center"/>
          </w:tcPr>
          <w:p w14:paraId="453AE4DE" w14:textId="77777777" w:rsidR="002D25EA" w:rsidRDefault="002D25EA" w:rsidP="00D9409F">
            <w:r>
              <w:rPr>
                <w:sz w:val="18"/>
                <w:szCs w:val="18"/>
              </w:rPr>
              <w:t>the Organization’s Cloud Platform</w:t>
            </w:r>
          </w:p>
        </w:tc>
      </w:tr>
      <w:tr w:rsidR="002D25EA" w14:paraId="13DDA31A" w14:textId="77777777" w:rsidTr="00D9409F">
        <w:tc>
          <w:tcPr>
            <w:tcW w:w="2325" w:type="dxa"/>
            <w:tcMar>
              <w:top w:w="70" w:type="dxa"/>
              <w:left w:w="100" w:type="dxa"/>
              <w:bottom w:w="70" w:type="dxa"/>
              <w:right w:w="100" w:type="dxa"/>
            </w:tcMar>
            <w:vAlign w:val="center"/>
          </w:tcPr>
          <w:p w14:paraId="45B74DA4" w14:textId="77777777" w:rsidR="002D25EA" w:rsidRDefault="002D25EA" w:rsidP="00D9409F">
            <w:r>
              <w:rPr>
                <w:sz w:val="18"/>
                <w:szCs w:val="18"/>
              </w:rPr>
              <w:t>A.04</w:t>
            </w:r>
          </w:p>
        </w:tc>
        <w:tc>
          <w:tcPr>
            <w:tcW w:w="2325" w:type="dxa"/>
            <w:tcMar>
              <w:top w:w="70" w:type="dxa"/>
              <w:left w:w="100" w:type="dxa"/>
              <w:bottom w:w="70" w:type="dxa"/>
              <w:right w:w="100" w:type="dxa"/>
            </w:tcMar>
            <w:vAlign w:val="center"/>
          </w:tcPr>
          <w:p w14:paraId="242A6C1D" w14:textId="77777777" w:rsidR="002D25EA" w:rsidRDefault="002D25EA" w:rsidP="00D9409F">
            <w:r>
              <w:rPr>
                <w:sz w:val="18"/>
                <w:szCs w:val="18"/>
              </w:rPr>
              <w:t>Entra ID is the Organization’s identity provider and can extend to API consumers</w:t>
            </w:r>
          </w:p>
        </w:tc>
        <w:tc>
          <w:tcPr>
            <w:tcW w:w="2325" w:type="dxa"/>
            <w:tcMar>
              <w:top w:w="70" w:type="dxa"/>
              <w:left w:w="100" w:type="dxa"/>
              <w:bottom w:w="70" w:type="dxa"/>
              <w:right w:w="100" w:type="dxa"/>
            </w:tcMar>
            <w:vAlign w:val="center"/>
          </w:tcPr>
          <w:p w14:paraId="0A825EB8" w14:textId="77777777" w:rsidR="002D25EA" w:rsidRDefault="002D25EA" w:rsidP="00D9409F">
            <w:r>
              <w:rPr>
                <w:sz w:val="18"/>
                <w:szCs w:val="18"/>
              </w:rPr>
              <w:t>The entire authentication model shifts</w:t>
            </w:r>
          </w:p>
        </w:tc>
        <w:tc>
          <w:tcPr>
            <w:tcW w:w="2325" w:type="dxa"/>
            <w:tcMar>
              <w:top w:w="70" w:type="dxa"/>
              <w:left w:w="100" w:type="dxa"/>
              <w:bottom w:w="70" w:type="dxa"/>
              <w:right w:w="100" w:type="dxa"/>
            </w:tcMar>
            <w:vAlign w:val="center"/>
          </w:tcPr>
          <w:p w14:paraId="46786593" w14:textId="77777777" w:rsidR="002D25EA" w:rsidRDefault="002D25EA" w:rsidP="00D9409F">
            <w:r>
              <w:rPr>
                <w:sz w:val="18"/>
                <w:szCs w:val="18"/>
              </w:rPr>
              <w:t>the Organization’s Identity team</w:t>
            </w:r>
          </w:p>
        </w:tc>
      </w:tr>
      <w:tr w:rsidR="002D25EA" w14:paraId="3EE6AE5A" w14:textId="77777777" w:rsidTr="00D9409F">
        <w:tc>
          <w:tcPr>
            <w:tcW w:w="2325" w:type="dxa"/>
            <w:tcMar>
              <w:top w:w="70" w:type="dxa"/>
              <w:left w:w="100" w:type="dxa"/>
              <w:bottom w:w="70" w:type="dxa"/>
              <w:right w:w="100" w:type="dxa"/>
            </w:tcMar>
            <w:vAlign w:val="center"/>
          </w:tcPr>
          <w:p w14:paraId="38C6E919" w14:textId="77777777" w:rsidR="002D25EA" w:rsidRDefault="002D25EA" w:rsidP="00D9409F">
            <w:r>
              <w:rPr>
                <w:sz w:val="18"/>
                <w:szCs w:val="18"/>
              </w:rPr>
              <w:t>A.05</w:t>
            </w:r>
          </w:p>
        </w:tc>
        <w:tc>
          <w:tcPr>
            <w:tcW w:w="2325" w:type="dxa"/>
            <w:tcMar>
              <w:top w:w="70" w:type="dxa"/>
              <w:left w:w="100" w:type="dxa"/>
              <w:bottom w:w="70" w:type="dxa"/>
              <w:right w:w="100" w:type="dxa"/>
            </w:tcMar>
            <w:vAlign w:val="center"/>
          </w:tcPr>
          <w:p w14:paraId="41E936F4" w14:textId="77777777" w:rsidR="002D25EA" w:rsidRDefault="002D25EA" w:rsidP="00D9409F">
            <w:r>
              <w:rPr>
                <w:sz w:val="18"/>
                <w:szCs w:val="18"/>
              </w:rPr>
              <w:t>UK South / UK West satisfy data-residency obligations</w:t>
            </w:r>
          </w:p>
        </w:tc>
        <w:tc>
          <w:tcPr>
            <w:tcW w:w="2325" w:type="dxa"/>
            <w:tcMar>
              <w:top w:w="70" w:type="dxa"/>
              <w:left w:w="100" w:type="dxa"/>
              <w:bottom w:w="70" w:type="dxa"/>
              <w:right w:w="100" w:type="dxa"/>
            </w:tcMar>
            <w:vAlign w:val="center"/>
          </w:tcPr>
          <w:p w14:paraId="2AEE046F" w14:textId="77777777" w:rsidR="002D25EA" w:rsidRDefault="002D25EA" w:rsidP="00D9409F">
            <w:r>
              <w:rPr>
                <w:sz w:val="18"/>
                <w:szCs w:val="18"/>
              </w:rPr>
              <w:t>May force a different region pair or design</w:t>
            </w:r>
          </w:p>
        </w:tc>
        <w:tc>
          <w:tcPr>
            <w:tcW w:w="2325" w:type="dxa"/>
            <w:tcMar>
              <w:top w:w="70" w:type="dxa"/>
              <w:left w:w="100" w:type="dxa"/>
              <w:bottom w:w="70" w:type="dxa"/>
              <w:right w:w="100" w:type="dxa"/>
            </w:tcMar>
            <w:vAlign w:val="center"/>
          </w:tcPr>
          <w:p w14:paraId="082CEF58" w14:textId="77777777" w:rsidR="002D25EA" w:rsidRDefault="002D25EA" w:rsidP="00D9409F">
            <w:r>
              <w:rPr>
                <w:sz w:val="18"/>
                <w:szCs w:val="18"/>
              </w:rPr>
              <w:t>the Organization’s Compliance team</w:t>
            </w:r>
          </w:p>
        </w:tc>
      </w:tr>
      <w:tr w:rsidR="002D25EA" w14:paraId="6F465AA5" w14:textId="77777777" w:rsidTr="00D9409F">
        <w:tc>
          <w:tcPr>
            <w:tcW w:w="2325" w:type="dxa"/>
            <w:tcMar>
              <w:top w:w="70" w:type="dxa"/>
              <w:left w:w="100" w:type="dxa"/>
              <w:bottom w:w="70" w:type="dxa"/>
              <w:right w:w="100" w:type="dxa"/>
            </w:tcMar>
            <w:vAlign w:val="center"/>
          </w:tcPr>
          <w:p w14:paraId="32BB930E" w14:textId="77777777" w:rsidR="002D25EA" w:rsidRDefault="002D25EA" w:rsidP="00D9409F">
            <w:r>
              <w:rPr>
                <w:sz w:val="18"/>
                <w:szCs w:val="18"/>
              </w:rPr>
              <w:t>A.06</w:t>
            </w:r>
          </w:p>
        </w:tc>
        <w:tc>
          <w:tcPr>
            <w:tcW w:w="2325" w:type="dxa"/>
            <w:tcMar>
              <w:top w:w="70" w:type="dxa"/>
              <w:left w:w="100" w:type="dxa"/>
              <w:bottom w:w="70" w:type="dxa"/>
              <w:right w:w="100" w:type="dxa"/>
            </w:tcMar>
            <w:vAlign w:val="center"/>
          </w:tcPr>
          <w:p w14:paraId="61054A30" w14:textId="77777777" w:rsidR="002D25EA" w:rsidRDefault="002D25EA" w:rsidP="00D9409F">
            <w:r>
              <w:rPr>
                <w:sz w:val="18"/>
                <w:szCs w:val="18"/>
              </w:rPr>
              <w:t>Regulatory controls (FCA/PRA/Lloyd's/GDPR) can be met by the proposed design</w:t>
            </w:r>
          </w:p>
        </w:tc>
        <w:tc>
          <w:tcPr>
            <w:tcW w:w="2325" w:type="dxa"/>
            <w:tcMar>
              <w:top w:w="70" w:type="dxa"/>
              <w:left w:w="100" w:type="dxa"/>
              <w:bottom w:w="70" w:type="dxa"/>
              <w:right w:w="100" w:type="dxa"/>
            </w:tcMar>
            <w:vAlign w:val="center"/>
          </w:tcPr>
          <w:p w14:paraId="22FC05EE" w14:textId="77777777" w:rsidR="002D25EA" w:rsidRDefault="002D25EA" w:rsidP="00D9409F">
            <w:r>
              <w:rPr>
                <w:sz w:val="18"/>
                <w:szCs w:val="18"/>
              </w:rPr>
              <w:t>Compliance is the least-verified area; controls need confirming</w:t>
            </w:r>
          </w:p>
        </w:tc>
        <w:tc>
          <w:tcPr>
            <w:tcW w:w="2325" w:type="dxa"/>
            <w:tcMar>
              <w:top w:w="70" w:type="dxa"/>
              <w:left w:w="100" w:type="dxa"/>
              <w:bottom w:w="70" w:type="dxa"/>
              <w:right w:w="100" w:type="dxa"/>
            </w:tcMar>
            <w:vAlign w:val="center"/>
          </w:tcPr>
          <w:p w14:paraId="397C43EB" w14:textId="77777777" w:rsidR="002D25EA" w:rsidRDefault="002D25EA" w:rsidP="00D9409F">
            <w:r>
              <w:rPr>
                <w:sz w:val="18"/>
                <w:szCs w:val="18"/>
              </w:rPr>
              <w:t>the Organization’s Compliance team</w:t>
            </w:r>
          </w:p>
        </w:tc>
      </w:tr>
      <w:tr w:rsidR="002D25EA" w14:paraId="620B8306" w14:textId="77777777" w:rsidTr="00D9409F">
        <w:tc>
          <w:tcPr>
            <w:tcW w:w="2325" w:type="dxa"/>
            <w:tcMar>
              <w:top w:w="70" w:type="dxa"/>
              <w:left w:w="100" w:type="dxa"/>
              <w:bottom w:w="70" w:type="dxa"/>
              <w:right w:w="100" w:type="dxa"/>
            </w:tcMar>
            <w:vAlign w:val="center"/>
          </w:tcPr>
          <w:p w14:paraId="791068B2" w14:textId="77777777" w:rsidR="002D25EA" w:rsidRDefault="002D25EA" w:rsidP="00D9409F">
            <w:r>
              <w:rPr>
                <w:sz w:val="18"/>
                <w:szCs w:val="18"/>
              </w:rPr>
              <w:t>A.07</w:t>
            </w:r>
          </w:p>
        </w:tc>
        <w:tc>
          <w:tcPr>
            <w:tcW w:w="2325" w:type="dxa"/>
            <w:tcMar>
              <w:top w:w="70" w:type="dxa"/>
              <w:left w:w="100" w:type="dxa"/>
              <w:bottom w:w="70" w:type="dxa"/>
              <w:right w:w="100" w:type="dxa"/>
            </w:tcMar>
            <w:vAlign w:val="center"/>
          </w:tcPr>
          <w:p w14:paraId="058D5F24" w14:textId="77777777" w:rsidR="002D25EA" w:rsidRDefault="002D25EA" w:rsidP="00D9409F">
            <w:r>
              <w:rPr>
                <w:sz w:val="18"/>
                <w:szCs w:val="18"/>
              </w:rPr>
              <w:t xml:space="preserve">The Traffic Manager reference in the SIF is shorthand for global </w:t>
              <w:lastRenderedPageBreak/>
              <w:t>routing, not a hard mandate</w:t>
            </w:r>
          </w:p>
        </w:tc>
        <w:tc>
          <w:tcPr>
            <w:tcW w:w="2325" w:type="dxa"/>
            <w:tcMar>
              <w:top w:w="70" w:type="dxa"/>
              <w:left w:w="100" w:type="dxa"/>
              <w:bottom w:w="70" w:type="dxa"/>
              <w:right w:w="100" w:type="dxa"/>
            </w:tcMar>
            <w:vAlign w:val="center"/>
          </w:tcPr>
          <w:p w14:paraId="1B879FE7" w14:textId="77777777" w:rsidR="002D25EA" w:rsidRDefault="002D25EA" w:rsidP="00D9409F">
            <w:r>
              <w:rPr>
                <w:sz w:val="18"/>
                <w:szCs w:val="18"/>
              </w:rPr>
              <w:lastRenderedPageBreak/>
              <w:t>If mandated, the Front Door substitution needs explicit sign-off</w:t>
            </w:r>
          </w:p>
        </w:tc>
        <w:tc>
          <w:tcPr>
            <w:tcW w:w="2325" w:type="dxa"/>
            <w:tcMar>
              <w:top w:w="70" w:type="dxa"/>
              <w:left w:w="100" w:type="dxa"/>
              <w:bottom w:w="70" w:type="dxa"/>
              <w:right w:w="100" w:type="dxa"/>
            </w:tcMar>
            <w:vAlign w:val="center"/>
          </w:tcPr>
          <w:p w14:paraId="3D0E20C2" w14:textId="77777777" w:rsidR="002D25EA" w:rsidRDefault="002D25EA" w:rsidP="00D9409F">
            <w:r>
              <w:rPr>
                <w:sz w:val="18"/>
                <w:szCs w:val="18"/>
              </w:rPr>
              <w:t>the Organization’s Enterprise Architecture team / TDA</w:t>
            </w:r>
          </w:p>
        </w:tc>
      </w:tr>
      <w:tr w:rsidR="002D25EA" w14:paraId="69E4597C" w14:textId="77777777" w:rsidTr="00D9409F">
        <w:tc>
          <w:tcPr>
            <w:tcW w:w="2325" w:type="dxa"/>
            <w:tcMar>
              <w:top w:w="70" w:type="dxa"/>
              <w:left w:w="100" w:type="dxa"/>
              <w:bottom w:w="70" w:type="dxa"/>
              <w:right w:w="100" w:type="dxa"/>
            </w:tcMar>
            <w:vAlign w:val="center"/>
          </w:tcPr>
          <w:p w14:paraId="6EAE6122" w14:textId="77777777" w:rsidR="002D25EA" w:rsidRDefault="002D25EA" w:rsidP="00D9409F">
            <w:r>
              <w:rPr>
                <w:sz w:val="18"/>
                <w:szCs w:val="18"/>
              </w:rPr>
              <w:t>A.08</w:t>
            </w:r>
          </w:p>
        </w:tc>
        <w:tc>
          <w:tcPr>
            <w:tcW w:w="2325" w:type="dxa"/>
            <w:tcMar>
              <w:top w:w="70" w:type="dxa"/>
              <w:left w:w="100" w:type="dxa"/>
              <w:bottom w:w="70" w:type="dxa"/>
              <w:right w:w="100" w:type="dxa"/>
            </w:tcMar>
            <w:vAlign w:val="center"/>
          </w:tcPr>
          <w:p w14:paraId="32D13B08" w14:textId="77777777" w:rsidR="002D25EA" w:rsidRDefault="002D25EA" w:rsidP="00D9409F">
            <w:r>
              <w:rPr>
                <w:sz w:val="18"/>
                <w:szCs w:val="18"/>
              </w:rPr>
              <w:t>Active-active multi-region is required from day one</w:t>
            </w:r>
          </w:p>
        </w:tc>
        <w:tc>
          <w:tcPr>
            <w:tcW w:w="2325" w:type="dxa"/>
            <w:tcMar>
              <w:top w:w="70" w:type="dxa"/>
              <w:left w:w="100" w:type="dxa"/>
              <w:bottom w:w="70" w:type="dxa"/>
              <w:right w:w="100" w:type="dxa"/>
            </w:tcMar>
            <w:vAlign w:val="center"/>
          </w:tcPr>
          <w:p w14:paraId="1FD2681E" w14:textId="77777777" w:rsidR="002D25EA" w:rsidRDefault="002D25EA" w:rsidP="00D9409F">
            <w:r>
              <w:rPr>
                <w:sz w:val="18"/>
                <w:szCs w:val="18"/>
              </w:rPr>
              <w:t>If not, active-passive defers significant cost</w:t>
            </w:r>
          </w:p>
        </w:tc>
        <w:tc>
          <w:tcPr>
            <w:tcW w:w="2325" w:type="dxa"/>
            <w:tcMar>
              <w:top w:w="70" w:type="dxa"/>
              <w:left w:w="100" w:type="dxa"/>
              <w:bottom w:w="70" w:type="dxa"/>
              <w:right w:w="100" w:type="dxa"/>
            </w:tcMar>
            <w:vAlign w:val="center"/>
          </w:tcPr>
          <w:p w14:paraId="65F101F1" w14:textId="77777777" w:rsidR="002D25EA" w:rsidRDefault="002D25EA" w:rsidP="00D9409F">
            <w:r>
              <w:rPr>
                <w:sz w:val="18"/>
                <w:szCs w:val="18"/>
              </w:rPr>
              <w:t>The Organization + business</w:t>
            </w:r>
          </w:p>
        </w:tc>
      </w:tr>
      <w:tr w:rsidR="002D25EA" w14:paraId="7D1FB51C" w14:textId="77777777" w:rsidTr="00D9409F">
        <w:tc>
          <w:tcPr>
            <w:tcW w:w="2325" w:type="dxa"/>
            <w:tcMar>
              <w:top w:w="70" w:type="dxa"/>
              <w:left w:w="100" w:type="dxa"/>
              <w:bottom w:w="70" w:type="dxa"/>
              <w:right w:w="100" w:type="dxa"/>
            </w:tcMar>
            <w:vAlign w:val="center"/>
          </w:tcPr>
          <w:p w14:paraId="7849C934" w14:textId="77777777" w:rsidR="002D25EA" w:rsidRDefault="002D25EA" w:rsidP="00D9409F">
            <w:r>
              <w:rPr>
                <w:sz w:val="18"/>
                <w:szCs w:val="18"/>
              </w:rPr>
              <w:t>A.09</w:t>
            </w:r>
          </w:p>
        </w:tc>
        <w:tc>
          <w:tcPr>
            <w:tcW w:w="2325" w:type="dxa"/>
            <w:tcMar>
              <w:top w:w="70" w:type="dxa"/>
              <w:left w:w="100" w:type="dxa"/>
              <w:bottom w:w="70" w:type="dxa"/>
              <w:right w:w="100" w:type="dxa"/>
            </w:tcMar>
            <w:vAlign w:val="center"/>
          </w:tcPr>
          <w:p w14:paraId="41B8C3F4" w14:textId="77777777" w:rsidR="002D25EA" w:rsidRDefault="002D25EA" w:rsidP="00D9409F">
            <w:r>
              <w:rPr>
                <w:sz w:val="18"/>
                <w:szCs w:val="18"/>
              </w:rPr>
              <w:t>Proposed RTO/RPO, retention periods, and alert thresholds are acceptable</w:t>
            </w:r>
          </w:p>
        </w:tc>
        <w:tc>
          <w:tcPr>
            <w:tcW w:w="2325" w:type="dxa"/>
            <w:tcMar>
              <w:top w:w="70" w:type="dxa"/>
              <w:left w:w="100" w:type="dxa"/>
              <w:bottom w:w="70" w:type="dxa"/>
              <w:right w:w="100" w:type="dxa"/>
            </w:tcMar>
            <w:vAlign w:val="center"/>
          </w:tcPr>
          <w:p w14:paraId="68424F6A" w14:textId="77777777" w:rsidR="002D25EA" w:rsidRDefault="002D25EA" w:rsidP="00D9409F">
            <w:r>
              <w:rPr>
                <w:sz w:val="18"/>
                <w:szCs w:val="18"/>
              </w:rPr>
              <w:t>Operational targets and cost may change</w:t>
            </w:r>
          </w:p>
        </w:tc>
        <w:tc>
          <w:tcPr>
            <w:tcW w:w="2325" w:type="dxa"/>
            <w:tcMar>
              <w:top w:w="70" w:type="dxa"/>
              <w:left w:w="100" w:type="dxa"/>
              <w:bottom w:w="70" w:type="dxa"/>
              <w:right w:w="100" w:type="dxa"/>
            </w:tcMar>
            <w:vAlign w:val="center"/>
          </w:tcPr>
          <w:p w14:paraId="52ED854D" w14:textId="77777777" w:rsidR="002D25EA" w:rsidRDefault="002D25EA" w:rsidP="00D9409F">
            <w:r>
              <w:rPr>
                <w:sz w:val="18"/>
                <w:szCs w:val="18"/>
              </w:rPr>
              <w:t>the Organization’s Operations team</w:t>
            </w:r>
          </w:p>
        </w:tc>
      </w:tr>
      <w:tr w:rsidR="002D25EA" w14:paraId="5A10C599" w14:textId="77777777" w:rsidTr="00D9409F">
        <w:tc>
          <w:tcPr>
            <w:tcW w:w="2325" w:type="dxa"/>
            <w:tcMar>
              <w:top w:w="70" w:type="dxa"/>
              <w:left w:w="100" w:type="dxa"/>
              <w:bottom w:w="70" w:type="dxa"/>
              <w:right w:w="100" w:type="dxa"/>
            </w:tcMar>
            <w:vAlign w:val="center"/>
          </w:tcPr>
          <w:p w14:paraId="4473E0B8" w14:textId="77777777" w:rsidR="002D25EA" w:rsidRDefault="002D25EA" w:rsidP="00D9409F">
            <w:r>
              <w:rPr>
                <w:sz w:val="18"/>
                <w:szCs w:val="18"/>
              </w:rPr>
              <w:t>A.10</w:t>
            </w:r>
          </w:p>
        </w:tc>
        <w:tc>
          <w:tcPr>
            <w:tcW w:w="2325" w:type="dxa"/>
            <w:tcMar>
              <w:top w:w="70" w:type="dxa"/>
              <w:left w:w="100" w:type="dxa"/>
              <w:bottom w:w="70" w:type="dxa"/>
              <w:right w:w="100" w:type="dxa"/>
            </w:tcMar>
            <w:vAlign w:val="center"/>
          </w:tcPr>
          <w:p w14:paraId="2C80BBE6" w14:textId="77777777" w:rsidR="002D25EA" w:rsidRDefault="002D25EA" w:rsidP="00D9409F">
            <w:r>
              <w:rPr>
                <w:sz w:val="18"/>
                <w:szCs w:val="18"/>
              </w:rPr>
              <w:t>Traffic volumes fit one Premium unit for the pilot</w:t>
            </w:r>
          </w:p>
        </w:tc>
        <w:tc>
          <w:tcPr>
            <w:tcW w:w="2325" w:type="dxa"/>
            <w:tcMar>
              <w:top w:w="70" w:type="dxa"/>
              <w:left w:w="100" w:type="dxa"/>
              <w:bottom w:w="70" w:type="dxa"/>
              <w:right w:w="100" w:type="dxa"/>
            </w:tcMar>
            <w:vAlign w:val="center"/>
          </w:tcPr>
          <w:p w14:paraId="61B54437" w14:textId="77777777" w:rsidR="002D25EA" w:rsidRDefault="002D25EA" w:rsidP="00D9409F">
            <w:r>
              <w:rPr>
                <w:sz w:val="18"/>
                <w:szCs w:val="18"/>
              </w:rPr>
              <w:t>Scaling changes the cost envelope</w:t>
            </w:r>
          </w:p>
        </w:tc>
        <w:tc>
          <w:tcPr>
            <w:tcW w:w="2325" w:type="dxa"/>
            <w:tcMar>
              <w:top w:w="70" w:type="dxa"/>
              <w:left w:w="100" w:type="dxa"/>
              <w:bottom w:w="70" w:type="dxa"/>
              <w:right w:w="100" w:type="dxa"/>
            </w:tcMar>
            <w:vAlign w:val="center"/>
          </w:tcPr>
          <w:p w14:paraId="0206CDC6" w14:textId="77777777" w:rsidR="002D25EA" w:rsidRDefault="002D25EA" w:rsidP="00D9409F">
            <w:r>
              <w:rPr>
                <w:sz w:val="18"/>
                <w:szCs w:val="18"/>
              </w:rPr>
              <w:t>The Organization + Microsoft</w:t>
            </w:r>
          </w:p>
        </w:tc>
      </w:tr>
      <w:tr w:rsidR="002D25EA" w14:paraId="14D14206" w14:textId="77777777" w:rsidTr="00D9409F">
        <w:tc>
          <w:tcPr>
            <w:tcW w:w="2325" w:type="dxa"/>
            <w:tcMar>
              <w:top w:w="70" w:type="dxa"/>
              <w:left w:w="100" w:type="dxa"/>
              <w:bottom w:w="70" w:type="dxa"/>
              <w:right w:w="100" w:type="dxa"/>
            </w:tcMar>
            <w:vAlign w:val="center"/>
          </w:tcPr>
          <w:p w14:paraId="50795FEA" w14:textId="77777777" w:rsidR="002D25EA" w:rsidRDefault="002D25EA" w:rsidP="00D9409F">
            <w:r>
              <w:rPr>
                <w:sz w:val="18"/>
                <w:szCs w:val="18"/>
              </w:rPr>
              <w:t>A.11</w:t>
            </w:r>
          </w:p>
        </w:tc>
        <w:tc>
          <w:tcPr>
            <w:tcW w:w="2325" w:type="dxa"/>
            <w:tcMar>
              <w:top w:w="70" w:type="dxa"/>
              <w:left w:w="100" w:type="dxa"/>
              <w:bottom w:w="70" w:type="dxa"/>
              <w:right w:w="100" w:type="dxa"/>
            </w:tcMar>
            <w:vAlign w:val="center"/>
          </w:tcPr>
          <w:p w14:paraId="5B6182FA" w14:textId="77777777" w:rsidR="002D25EA" w:rsidRDefault="002D25EA" w:rsidP="00D9409F">
            <w:r>
              <w:rPr>
                <w:sz w:val="18"/>
                <w:szCs w:val="18"/>
              </w:rPr>
              <w:t>Tier price bands (Premium v2, classic Premium, and Standard v2) are current</w:t>
            </w:r>
          </w:p>
        </w:tc>
        <w:tc>
          <w:tcPr>
            <w:tcW w:w="2325" w:type="dxa"/>
            <w:tcMar>
              <w:top w:w="70" w:type="dxa"/>
              <w:left w:w="100" w:type="dxa"/>
              <w:bottom w:w="70" w:type="dxa"/>
              <w:right w:w="100" w:type="dxa"/>
            </w:tcMar>
            <w:vAlign w:val="center"/>
          </w:tcPr>
          <w:p w14:paraId="46EA8B09" w14:textId="77777777" w:rsidR="002D25EA" w:rsidRDefault="002D25EA" w:rsidP="00D9409F">
            <w:r>
              <w:rPr>
                <w:sz w:val="18"/>
                <w:szCs w:val="18"/>
              </w:rPr>
              <w:t>Cost planning figures shift</w:t>
            </w:r>
          </w:p>
        </w:tc>
        <w:tc>
          <w:tcPr>
            <w:tcW w:w="2325" w:type="dxa"/>
            <w:tcMar>
              <w:top w:w="70" w:type="dxa"/>
              <w:left w:w="100" w:type="dxa"/>
              <w:bottom w:w="70" w:type="dxa"/>
              <w:right w:w="100" w:type="dxa"/>
            </w:tcMar>
            <w:vAlign w:val="center"/>
          </w:tcPr>
          <w:p w14:paraId="2EE4A66C" w14:textId="77777777" w:rsidR="002D25EA" w:rsidRDefault="002D25EA" w:rsidP="00D9409F">
            <w:r>
              <w:rPr>
                <w:sz w:val="18"/>
                <w:szCs w:val="18"/>
              </w:rPr>
              <w:t>Verify vs Azure pricing page</w:t>
            </w:r>
          </w:p>
        </w:tc>
      </w:tr>
      <w:tr w:rsidR="002D25EA" w14:paraId="68C614E2" w14:textId="77777777" w:rsidTr="00D9409F">
        <w:tc>
          <w:tcPr>
            <w:tcW w:w="2325" w:type="dxa"/>
            <w:tcMar>
              <w:top w:w="70" w:type="dxa"/>
              <w:left w:w="100" w:type="dxa"/>
              <w:bottom w:w="70" w:type="dxa"/>
              <w:right w:w="100" w:type="dxa"/>
            </w:tcMar>
          </w:tcPr>
          <w:p w14:paraId="3ADE89EA" w14:textId="77777777" w:rsidR="002D25EA" w:rsidRDefault="002D25EA" w:rsidP="00D9409F">
            <w:r>
              <w:rPr>
                <w:sz w:val="18"/>
                <w:szCs w:val="18"/>
              </w:rPr>
              <w:t>A.12</w:t>
            </w:r>
          </w:p>
        </w:tc>
        <w:tc>
          <w:tcPr>
            <w:tcW w:w="2325" w:type="dxa"/>
            <w:tcMar>
              <w:top w:w="70" w:type="dxa"/>
              <w:left w:w="100" w:type="dxa"/>
              <w:bottom w:w="70" w:type="dxa"/>
              <w:right w:w="100" w:type="dxa"/>
            </w:tcMar>
          </w:tcPr>
          <w:p w14:paraId="065DB685" w14:textId="77777777" w:rsidR="002D25EA" w:rsidRDefault="002D25EA" w:rsidP="00D9409F">
            <w:r>
              <w:rPr>
                <w:sz w:val="18"/>
                <w:szCs w:val="18"/>
              </w:rPr>
              <w:t>Expected and peak API request rate (RPS) is not yet provided</w:t>
            </w:r>
          </w:p>
        </w:tc>
        <w:tc>
          <w:tcPr>
            <w:tcW w:w="2325" w:type="dxa"/>
            <w:tcMar>
              <w:top w:w="70" w:type="dxa"/>
              <w:left w:w="100" w:type="dxa"/>
              <w:bottom w:w="70" w:type="dxa"/>
              <w:right w:w="100" w:type="dxa"/>
            </w:tcMar>
          </w:tcPr>
          <w:p w14:paraId="542FBDFE" w14:textId="77777777" w:rsidR="002D25EA" w:rsidRDefault="002D25EA" w:rsidP="00D9409F">
            <w:r>
              <w:rPr>
                <w:sz w:val="18"/>
                <w:szCs w:val="18"/>
              </w:rPr>
              <w:t>Production unit count and autoscale thresholds cannot be finalised; capacity is a planning estimate only</w:t>
            </w:r>
          </w:p>
        </w:tc>
        <w:tc>
          <w:tcPr>
            <w:tcW w:w="2325" w:type="dxa"/>
            <w:tcMar>
              <w:top w:w="70" w:type="dxa"/>
              <w:left w:w="100" w:type="dxa"/>
              <w:bottom w:w="70" w:type="dxa"/>
              <w:right w:w="100" w:type="dxa"/>
            </w:tcMar>
          </w:tcPr>
          <w:p w14:paraId="4698A386" w14:textId="77777777" w:rsidR="002D25EA" w:rsidRDefault="002D25EA" w:rsidP="00D9409F">
            <w:r>
              <w:rPr>
                <w:sz w:val="18"/>
                <w:szCs w:val="18"/>
              </w:rPr>
              <w:t>the Organization’s Platform team + business</w:t>
            </w:r>
          </w:p>
        </w:tc>
      </w:tr>
      <w:tr w:rsidR="002D25EA" w14:paraId="5D1257FA" w14:textId="77777777" w:rsidTr="00D9409F">
        <w:tc>
          <w:tcPr>
            <w:tcW w:w="2325" w:type="dxa"/>
            <w:tcMar>
              <w:top w:w="70" w:type="dxa"/>
              <w:left w:w="100" w:type="dxa"/>
              <w:bottom w:w="70" w:type="dxa"/>
              <w:right w:w="100" w:type="dxa"/>
            </w:tcMar>
          </w:tcPr>
          <w:p w14:paraId="121C0DB4" w14:textId="77777777" w:rsidR="002D25EA" w:rsidRDefault="002D25EA" w:rsidP="00D9409F">
            <w:r>
              <w:rPr>
                <w:sz w:val="18"/>
                <w:szCs w:val="18"/>
              </w:rPr>
              <w:t>A.13</w:t>
            </w:r>
          </w:p>
        </w:tc>
        <w:tc>
          <w:tcPr>
            <w:tcW w:w="2325" w:type="dxa"/>
            <w:tcMar>
              <w:top w:w="70" w:type="dxa"/>
              <w:left w:w="100" w:type="dxa"/>
              <w:bottom w:w="70" w:type="dxa"/>
              <w:right w:w="100" w:type="dxa"/>
            </w:tcMar>
          </w:tcPr>
          <w:p w14:paraId="59465F92" w14:textId="77777777" w:rsidR="002D25EA" w:rsidRDefault="002D25EA" w:rsidP="00D9409F">
            <w:r>
              <w:rPr>
                <w:sz w:val="18"/>
                <w:szCs w:val="18"/>
              </w:rPr>
              <w:t>Named accountable owners for each RACI role are not yet assigned</w:t>
            </w:r>
          </w:p>
        </w:tc>
        <w:tc>
          <w:tcPr>
            <w:tcW w:w="2325" w:type="dxa"/>
            <w:tcMar>
              <w:top w:w="70" w:type="dxa"/>
              <w:left w:w="100" w:type="dxa"/>
              <w:bottom w:w="70" w:type="dxa"/>
              <w:right w:w="100" w:type="dxa"/>
            </w:tcMar>
          </w:tcPr>
          <w:p w14:paraId="7BCD522E" w14:textId="77777777" w:rsidR="002D25EA" w:rsidRDefault="002D25EA" w:rsidP="00D9409F">
            <w:r>
              <w:rPr>
                <w:sz w:val="18"/>
                <w:szCs w:val="18"/>
              </w:rPr>
              <w:t>Governance and approval gates lack a specific owner; onboarding SLAs cannot be enforced</w:t>
            </w:r>
          </w:p>
        </w:tc>
        <w:tc>
          <w:tcPr>
            <w:tcW w:w="2325" w:type="dxa"/>
            <w:tcMar>
              <w:top w:w="70" w:type="dxa"/>
              <w:left w:w="100" w:type="dxa"/>
              <w:bottom w:w="70" w:type="dxa"/>
              <w:right w:w="100" w:type="dxa"/>
            </w:tcMar>
          </w:tcPr>
          <w:p w14:paraId="0ED6AF5E" w14:textId="77777777" w:rsidR="002D25EA" w:rsidRDefault="002D25EA" w:rsidP="00D9409F">
            <w:r>
              <w:rPr>
                <w:sz w:val="18"/>
                <w:szCs w:val="18"/>
              </w:rPr>
              <w:t>the Organization’s Platform team + Domain leads</w:t>
            </w:r>
          </w:p>
        </w:tc>
      </w:tr>
      <w:tr w:rsidR="002D25EA" w14:paraId="0F62C0AD" w14:textId="77777777" w:rsidTr="00D9409F">
        <w:tc>
          <w:tcPr>
            <w:tcW w:w="2325" w:type="dxa"/>
            <w:tcMar>
              <w:top w:w="70" w:type="dxa"/>
              <w:left w:w="100" w:type="dxa"/>
              <w:bottom w:w="70" w:type="dxa"/>
              <w:right w:w="100" w:type="dxa"/>
            </w:tcMar>
          </w:tcPr>
          <w:p w14:paraId="23C5FFD1" w14:textId="77777777" w:rsidR="002D25EA" w:rsidRDefault="002D25EA" w:rsidP="00D9409F">
            <w:r>
              <w:rPr>
                <w:sz w:val="18"/>
                <w:szCs w:val="18"/>
              </w:rPr>
              <w:t>A.14</w:t>
            </w:r>
          </w:p>
        </w:tc>
        <w:tc>
          <w:tcPr>
            <w:tcW w:w="2325" w:type="dxa"/>
            <w:tcMar>
              <w:top w:w="70" w:type="dxa"/>
              <w:left w:w="100" w:type="dxa"/>
              <w:bottom w:w="70" w:type="dxa"/>
              <w:right w:w="100" w:type="dxa"/>
            </w:tcMar>
          </w:tcPr>
          <w:p w14:paraId="7DF3C146" w14:textId="77777777" w:rsidR="002D25EA" w:rsidRDefault="002D25EA" w:rsidP="00D9409F">
            <w:r>
              <w:rPr>
                <w:sz w:val="18"/>
                <w:szCs w:val="18"/>
              </w:rPr>
              <w:t>Log and correlation-ID retention period not yet confirmed with Compliance</w:t>
            </w:r>
          </w:p>
        </w:tc>
        <w:tc>
          <w:tcPr>
            <w:tcW w:w="2325" w:type="dxa"/>
            <w:tcMar>
              <w:top w:w="70" w:type="dxa"/>
              <w:left w:w="100" w:type="dxa"/>
              <w:bottom w:w="70" w:type="dxa"/>
              <w:right w:w="100" w:type="dxa"/>
            </w:tcMar>
          </w:tcPr>
          <w:p w14:paraId="0B4A9E28" w14:textId="77777777" w:rsidR="002D25EA" w:rsidRDefault="002D25EA" w:rsidP="00D9409F">
            <w:r>
              <w:rPr>
                <w:sz w:val="18"/>
                <w:szCs w:val="18"/>
              </w:rPr>
              <w:t>PII/data-minimisation posture and evidence retention may not meet UK GDPR expectations</w:t>
            </w:r>
          </w:p>
        </w:tc>
        <w:tc>
          <w:tcPr>
            <w:tcW w:w="2325" w:type="dxa"/>
            <w:tcMar>
              <w:top w:w="70" w:type="dxa"/>
              <w:left w:w="100" w:type="dxa"/>
              <w:bottom w:w="70" w:type="dxa"/>
              <w:right w:w="100" w:type="dxa"/>
            </w:tcMar>
          </w:tcPr>
          <w:p w14:paraId="48A22498" w14:textId="77777777" w:rsidR="002D25EA" w:rsidRDefault="002D25EA" w:rsidP="00D9409F">
            <w:r>
              <w:rPr>
                <w:sz w:val="18"/>
                <w:szCs w:val="18"/>
              </w:rPr>
              <w:t>the Organization’s Compliance team + Security</w:t>
            </w:r>
          </w:p>
        </w:tc>
      </w:tr>
      <w:tr w:rsidR="002D25EA" w14:paraId="4DD3FA43" w14:textId="77777777" w:rsidTr="00D9409F">
        <w:tc>
          <w:tcPr>
            <w:tcW w:w="2325" w:type="dxa"/>
            <w:tcMar>
              <w:top w:w="70" w:type="dxa"/>
              <w:left w:w="100" w:type="dxa"/>
              <w:bottom w:w="70" w:type="dxa"/>
              <w:right w:w="100" w:type="dxa"/>
            </w:tcMar>
          </w:tcPr>
          <w:p w14:paraId="5A865E13" w14:textId="77777777" w:rsidR="002D25EA" w:rsidRDefault="002D25EA" w:rsidP="00D9409F">
            <w:r>
              <w:rPr>
                <w:sz w:val="18"/>
                <w:szCs w:val="18"/>
              </w:rPr>
              <w:t>A.15</w:t>
            </w:r>
          </w:p>
        </w:tc>
        <w:tc>
          <w:tcPr>
            <w:tcW w:w="2325" w:type="dxa"/>
            <w:tcMar>
              <w:top w:w="70" w:type="dxa"/>
              <w:left w:w="100" w:type="dxa"/>
              <w:bottom w:w="70" w:type="dxa"/>
              <w:right w:w="100" w:type="dxa"/>
            </w:tcMar>
          </w:tcPr>
          <w:p w14:paraId="6FD3E5B4" w14:textId="77777777" w:rsidR="002D25EA" w:rsidRDefault="002D25EA" w:rsidP="00D9409F">
            <w:r>
              <w:rPr>
                <w:sz w:val="18"/>
                <w:szCs w:val="18"/>
              </w:rPr>
              <w:t>Subnet address ranges and IPAM allocation not yet validated</w:t>
            </w:r>
          </w:p>
        </w:tc>
        <w:tc>
          <w:tcPr>
            <w:tcW w:w="2325" w:type="dxa"/>
            <w:tcMar>
              <w:top w:w="70" w:type="dxa"/>
              <w:left w:w="100" w:type="dxa"/>
              <w:bottom w:w="70" w:type="dxa"/>
              <w:right w:w="100" w:type="dxa"/>
            </w:tcMar>
          </w:tcPr>
          <w:p w14:paraId="2F200C53" w14:textId="77777777" w:rsidR="002D25EA" w:rsidRDefault="002D25EA" w:rsidP="00D9409F">
            <w:r>
              <w:rPr>
                <w:sz w:val="18"/>
                <w:szCs w:val="18"/>
              </w:rPr>
              <w:t>Subnet sizing (/26) and scale-unit headroom may not fit the landing zone</w:t>
            </w:r>
          </w:p>
        </w:tc>
        <w:tc>
          <w:tcPr>
            <w:tcW w:w="2325" w:type="dxa"/>
            <w:tcMar>
              <w:top w:w="70" w:type="dxa"/>
              <w:left w:w="100" w:type="dxa"/>
              <w:bottom w:w="70" w:type="dxa"/>
              <w:right w:w="100" w:type="dxa"/>
            </w:tcMar>
          </w:tcPr>
          <w:p w14:paraId="7B858F36" w14:textId="77777777" w:rsidR="002D25EA" w:rsidRDefault="002D25EA" w:rsidP="00D9409F">
            <w:r>
              <w:rPr>
                <w:sz w:val="18"/>
                <w:szCs w:val="18"/>
              </w:rPr>
              <w:t>the Organization’s Network team</w:t>
            </w:r>
          </w:p>
        </w:tc>
      </w:tr>
      <w:tr w:rsidR="002D25EA" w14:paraId="5C54FDB4" w14:textId="77777777" w:rsidTr="00D9409F">
        <w:tc>
          <w:tcPr>
            <w:tcW w:w="2325" w:type="dxa"/>
            <w:tcMar>
              <w:top w:w="70" w:type="dxa"/>
              <w:left w:w="100" w:type="dxa"/>
              <w:bottom w:w="70" w:type="dxa"/>
              <w:right w:w="100" w:type="dxa"/>
            </w:tcMar>
          </w:tcPr>
          <w:p w14:paraId="5834A8B1" w14:textId="77777777" w:rsidR="002D25EA" w:rsidRDefault="002D25EA" w:rsidP="00D9409F">
            <w:r>
              <w:rPr>
                <w:sz w:val="18"/>
                <w:szCs w:val="18"/>
              </w:rPr>
              <w:t>A.16</w:t>
            </w:r>
          </w:p>
        </w:tc>
        <w:tc>
          <w:tcPr>
            <w:tcW w:w="2325" w:type="dxa"/>
            <w:tcMar>
              <w:top w:w="70" w:type="dxa"/>
              <w:left w:w="100" w:type="dxa"/>
              <w:bottom w:w="70" w:type="dxa"/>
              <w:right w:w="100" w:type="dxa"/>
            </w:tcMar>
          </w:tcPr>
          <w:p w14:paraId="77386BA9" w14:textId="77777777" w:rsidR="002D25EA" w:rsidRDefault="002D25EA" w:rsidP="00D9409F">
            <w:r>
              <w:rPr>
                <w:sz w:val="18"/>
                <w:szCs w:val="18"/>
              </w:rPr>
              <w:t>Ownership and SLA for approving non-OAuth exceptions not yet assigned</w:t>
            </w:r>
          </w:p>
        </w:tc>
        <w:tc>
          <w:tcPr>
            <w:tcW w:w="2325" w:type="dxa"/>
            <w:tcMar>
              <w:top w:w="70" w:type="dxa"/>
              <w:left w:w="100" w:type="dxa"/>
              <w:bottom w:w="70" w:type="dxa"/>
              <w:right w:w="100" w:type="dxa"/>
            </w:tcMar>
          </w:tcPr>
          <w:p w14:paraId="4A8718AC" w14:textId="77777777" w:rsidR="002D25EA" w:rsidRDefault="002D25EA" w:rsidP="00D9409F">
            <w:r>
              <w:rPr>
                <w:sz w:val="18"/>
                <w:szCs w:val="18"/>
              </w:rPr>
              <w:t>Exceptions may persist without review; single-IdP posture weakened</w:t>
            </w:r>
          </w:p>
        </w:tc>
        <w:tc>
          <w:tcPr>
            <w:tcW w:w="2325" w:type="dxa"/>
            <w:tcMar>
              <w:top w:w="70" w:type="dxa"/>
              <w:left w:w="100" w:type="dxa"/>
              <w:bottom w:w="70" w:type="dxa"/>
              <w:right w:w="100" w:type="dxa"/>
            </w:tcMar>
          </w:tcPr>
          <w:p w14:paraId="3BCA5613" w14:textId="77777777" w:rsidR="002D25EA" w:rsidRDefault="002D25EA" w:rsidP="00D9409F">
            <w:r>
              <w:rPr>
                <w:sz w:val="18"/>
                <w:szCs w:val="18"/>
              </w:rPr>
              <w:t>the Organization’s Security team + API Platform</w:t>
            </w:r>
          </w:p>
        </w:tc>
      </w:tr>
    </w:tbl>
    <w:p w14:paraId="4395C452" w14:textId="77777777" w:rsidR="002D25EA" w:rsidRDefault="002D25EA" w:rsidP="002D25EA">
      <w:pPr>
        <w:spacing w:after="140"/>
      </w:pPr>
    </w:p>
    <w:p w14:paraId="63996723"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2" w:name="_Toc240539766"/>
      <w:r>
        <w:rPr>
          <w:rFonts w:asciiTheme="minorHAnsi" w:eastAsia="Times New Roman" w:hAnsiTheme="minorHAnsi" w:cs="Times New Roman"/>
          <w:b w:val="0"/>
          <w:color w:val="132040" w:themeColor="accent1" w:themeShade="BF"/>
          <w:sz w:val="24"/>
          <w:szCs w:val="26"/>
          <w:lang w:eastAsia="en-US"/>
        </w:rPr>
        <w:t>Risks</w:t>
      </w:r>
      <w:bookmarkEnd w:id="4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0"/>
        <w:gridCol w:w="1860"/>
        <w:gridCol w:w="1860"/>
      </w:tblGrid>
      <w:tr w:rsidR="002D25EA" w14:paraId="43B230D5" w14:textId="77777777" w:rsidTr="00D9409F">
        <w:trPr>
          <w:tblHeader/>
        </w:trPr>
        <w:tc>
          <w:tcPr>
            <w:tcW w:w="1860" w:type="dxa"/>
            <w:shd w:val="clear" w:color="auto" w:fill="1E2761"/>
            <w:tcMar>
              <w:top w:w="70" w:type="dxa"/>
              <w:left w:w="100" w:type="dxa"/>
              <w:bottom w:w="70" w:type="dxa"/>
              <w:right w:w="100" w:type="dxa"/>
            </w:tcMar>
            <w:vAlign w:val="center"/>
          </w:tcPr>
          <w:p w14:paraId="0F169265" w14:textId="77777777" w:rsidR="002D25EA" w:rsidRDefault="002D25EA" w:rsidP="00D9409F">
            <w:r>
              <w:rPr>
                <w:b/>
                <w:bCs/>
                <w:color w:val="FFFFFF"/>
                <w:sz w:val="18"/>
                <w:szCs w:val="18"/>
              </w:rPr>
              <w:t>Ref</w:t>
            </w:r>
          </w:p>
        </w:tc>
        <w:tc>
          <w:tcPr>
            <w:tcW w:w="1860" w:type="dxa"/>
            <w:shd w:val="clear" w:color="auto" w:fill="1E2761"/>
            <w:tcMar>
              <w:top w:w="70" w:type="dxa"/>
              <w:left w:w="100" w:type="dxa"/>
              <w:bottom w:w="70" w:type="dxa"/>
              <w:right w:w="100" w:type="dxa"/>
            </w:tcMar>
            <w:vAlign w:val="center"/>
          </w:tcPr>
          <w:p w14:paraId="6FFAD6A6" w14:textId="77777777" w:rsidR="002D25EA" w:rsidRDefault="002D25EA" w:rsidP="00D9409F">
            <w:r>
              <w:rPr>
                <w:b/>
                <w:bCs/>
                <w:color w:val="FFFFFF"/>
                <w:sz w:val="18"/>
                <w:szCs w:val="18"/>
              </w:rPr>
              <w:t>Risk</w:t>
            </w:r>
          </w:p>
        </w:tc>
        <w:tc>
          <w:tcPr>
            <w:tcW w:w="1860" w:type="dxa"/>
            <w:shd w:val="clear" w:color="auto" w:fill="1E2761"/>
            <w:tcMar>
              <w:top w:w="70" w:type="dxa"/>
              <w:left w:w="100" w:type="dxa"/>
              <w:bottom w:w="70" w:type="dxa"/>
              <w:right w:w="100" w:type="dxa"/>
            </w:tcMar>
            <w:vAlign w:val="center"/>
          </w:tcPr>
          <w:p w14:paraId="050993B9" w14:textId="77777777" w:rsidR="002D25EA" w:rsidRDefault="002D25EA" w:rsidP="00D9409F">
            <w:r>
              <w:rPr>
                <w:b/>
                <w:bCs/>
                <w:color w:val="FFFFFF"/>
                <w:sz w:val="18"/>
                <w:szCs w:val="18"/>
              </w:rPr>
              <w:t>Likelihood</w:t>
            </w:r>
          </w:p>
        </w:tc>
        <w:tc>
          <w:tcPr>
            <w:tcW w:w="1860" w:type="dxa"/>
            <w:shd w:val="clear" w:color="auto" w:fill="1E2761"/>
            <w:tcMar>
              <w:top w:w="70" w:type="dxa"/>
              <w:left w:w="100" w:type="dxa"/>
              <w:bottom w:w="70" w:type="dxa"/>
              <w:right w:w="100" w:type="dxa"/>
            </w:tcMar>
            <w:vAlign w:val="center"/>
          </w:tcPr>
          <w:p w14:paraId="5B74C598" w14:textId="77777777" w:rsidR="002D25EA" w:rsidRDefault="002D25EA" w:rsidP="00D9409F">
            <w:r>
              <w:rPr>
                <w:b/>
                <w:bCs/>
                <w:color w:val="FFFFFF"/>
                <w:sz w:val="18"/>
                <w:szCs w:val="18"/>
              </w:rPr>
              <w:t>Impact</w:t>
            </w:r>
          </w:p>
        </w:tc>
        <w:tc>
          <w:tcPr>
            <w:tcW w:w="1860" w:type="dxa"/>
            <w:shd w:val="clear" w:color="auto" w:fill="1E2761"/>
            <w:tcMar>
              <w:top w:w="70" w:type="dxa"/>
              <w:left w:w="100" w:type="dxa"/>
              <w:bottom w:w="70" w:type="dxa"/>
              <w:right w:w="100" w:type="dxa"/>
            </w:tcMar>
            <w:vAlign w:val="center"/>
          </w:tcPr>
          <w:p w14:paraId="29CD4A90" w14:textId="77777777" w:rsidR="002D25EA" w:rsidRDefault="002D25EA" w:rsidP="00D9409F">
            <w:r>
              <w:rPr>
                <w:b/>
                <w:bCs/>
                <w:color w:val="FFFFFF"/>
                <w:sz w:val="18"/>
                <w:szCs w:val="18"/>
              </w:rPr>
              <w:t>Mitigation</w:t>
            </w:r>
          </w:p>
        </w:tc>
      </w:tr>
      <w:tr w:rsidR="002D25EA" w14:paraId="69C0AB5C" w14:textId="77777777" w:rsidTr="00D9409F">
        <w:tc>
          <w:tcPr>
            <w:tcW w:w="1860" w:type="dxa"/>
            <w:tcMar>
              <w:top w:w="70" w:type="dxa"/>
              <w:left w:w="100" w:type="dxa"/>
              <w:bottom w:w="70" w:type="dxa"/>
              <w:right w:w="100" w:type="dxa"/>
            </w:tcMar>
            <w:vAlign w:val="center"/>
          </w:tcPr>
          <w:p w14:paraId="26082FE6" w14:textId="77777777" w:rsidR="002D25EA" w:rsidRDefault="002D25EA" w:rsidP="00D9409F">
            <w:r>
              <w:rPr>
                <w:sz w:val="18"/>
                <w:szCs w:val="18"/>
              </w:rPr>
              <w:t>R.01</w:t>
            </w:r>
          </w:p>
        </w:tc>
        <w:tc>
          <w:tcPr>
            <w:tcW w:w="1860" w:type="dxa"/>
            <w:tcMar>
              <w:top w:w="70" w:type="dxa"/>
              <w:left w:w="100" w:type="dxa"/>
              <w:bottom w:w="70" w:type="dxa"/>
              <w:right w:w="100" w:type="dxa"/>
            </w:tcMar>
            <w:vAlign w:val="center"/>
          </w:tcPr>
          <w:p w14:paraId="23226033" w14:textId="77777777" w:rsidR="002D25EA" w:rsidRDefault="002D25EA" w:rsidP="00D9409F">
            <w:r>
              <w:rPr>
                <w:sz w:val="18"/>
                <w:szCs w:val="18"/>
              </w:rPr>
              <w:t>Active-active multi-region materially increases run cost</w:t>
            </w:r>
          </w:p>
        </w:tc>
        <w:tc>
          <w:tcPr>
            <w:tcW w:w="1860" w:type="dxa"/>
            <w:tcMar>
              <w:top w:w="70" w:type="dxa"/>
              <w:left w:w="100" w:type="dxa"/>
              <w:bottom w:w="70" w:type="dxa"/>
              <w:right w:w="100" w:type="dxa"/>
            </w:tcMar>
            <w:vAlign w:val="center"/>
          </w:tcPr>
          <w:p w14:paraId="78D14F9A" w14:textId="77777777" w:rsidR="002D25EA" w:rsidRDefault="002D25EA" w:rsidP="00D9409F">
            <w:r>
              <w:rPr>
                <w:sz w:val="18"/>
                <w:szCs w:val="18"/>
              </w:rPr>
              <w:t>Low</w:t>
            </w:r>
          </w:p>
        </w:tc>
        <w:tc>
          <w:tcPr>
            <w:tcW w:w="1860" w:type="dxa"/>
            <w:tcMar>
              <w:top w:w="70" w:type="dxa"/>
              <w:left w:w="100" w:type="dxa"/>
              <w:bottom w:w="70" w:type="dxa"/>
              <w:right w:w="100" w:type="dxa"/>
            </w:tcMar>
            <w:vAlign w:val="center"/>
          </w:tcPr>
          <w:p w14:paraId="10E7C74D" w14:textId="77777777" w:rsidR="002D25EA" w:rsidRDefault="002D25EA" w:rsidP="00D9409F">
            <w:r>
              <w:rPr>
                <w:sz w:val="18"/>
                <w:szCs w:val="18"/>
              </w:rPr>
              <w:t>Medium</w:t>
            </w:r>
          </w:p>
        </w:tc>
        <w:tc>
          <w:tcPr>
            <w:tcW w:w="1860" w:type="dxa"/>
            <w:tcMar>
              <w:top w:w="70" w:type="dxa"/>
              <w:left w:w="100" w:type="dxa"/>
              <w:bottom w:w="70" w:type="dxa"/>
              <w:right w:w="100" w:type="dxa"/>
            </w:tcMar>
            <w:vAlign w:val="center"/>
          </w:tcPr>
          <w:p w14:paraId="26D58E4B" w14:textId="77777777" w:rsidR="002D25EA" w:rsidRDefault="002D25EA" w:rsidP="00D9409F">
            <w:r>
              <w:rPr>
                <w:sz w:val="18"/>
                <w:szCs w:val="18"/>
              </w:rPr>
              <w:t>Confirm budget tolerance vs RTO before committing (A.08)</w:t>
            </w:r>
          </w:p>
        </w:tc>
      </w:tr>
      <w:tr w:rsidR="002D25EA" w14:paraId="71D68BD7" w14:textId="77777777" w:rsidTr="00D9409F">
        <w:tc>
          <w:tcPr>
            <w:tcW w:w="1860" w:type="dxa"/>
            <w:tcMar>
              <w:top w:w="70" w:type="dxa"/>
              <w:left w:w="100" w:type="dxa"/>
              <w:bottom w:w="70" w:type="dxa"/>
              <w:right w:w="100" w:type="dxa"/>
            </w:tcMar>
            <w:vAlign w:val="center"/>
          </w:tcPr>
          <w:p w14:paraId="1F7AD9A4" w14:textId="77777777" w:rsidR="002D25EA" w:rsidRDefault="002D25EA" w:rsidP="00D9409F">
            <w:r>
              <w:rPr>
                <w:sz w:val="18"/>
                <w:szCs w:val="18"/>
              </w:rPr>
              <w:t>R.02</w:t>
            </w:r>
          </w:p>
        </w:tc>
        <w:tc>
          <w:tcPr>
            <w:tcW w:w="1860" w:type="dxa"/>
            <w:tcMar>
              <w:top w:w="70" w:type="dxa"/>
              <w:left w:w="100" w:type="dxa"/>
              <w:bottom w:w="70" w:type="dxa"/>
              <w:right w:w="100" w:type="dxa"/>
            </w:tcMar>
            <w:vAlign w:val="center"/>
          </w:tcPr>
          <w:p w14:paraId="46FC2DA9" w14:textId="77777777" w:rsidR="002D25EA" w:rsidRDefault="002D25EA" w:rsidP="00D9409F">
            <w:r>
              <w:rPr>
                <w:sz w:val="18"/>
                <w:szCs w:val="18"/>
              </w:rPr>
              <w:t>Workspaces and multi-region require classic Premium; a lower tier chosen for cost would block them</w:t>
            </w:r>
          </w:p>
        </w:tc>
        <w:tc>
          <w:tcPr>
            <w:tcW w:w="1860" w:type="dxa"/>
            <w:tcMar>
              <w:top w:w="70" w:type="dxa"/>
              <w:left w:w="100" w:type="dxa"/>
              <w:bottom w:w="70" w:type="dxa"/>
              <w:right w:w="100" w:type="dxa"/>
            </w:tcMar>
            <w:vAlign w:val="center"/>
          </w:tcPr>
          <w:p w14:paraId="5370985E" w14:textId="77777777" w:rsidR="002D25EA" w:rsidRDefault="002D25EA" w:rsidP="00D9409F">
            <w:r>
              <w:rPr>
                <w:sz w:val="18"/>
                <w:szCs w:val="18"/>
              </w:rPr>
              <w:t>Low</w:t>
            </w:r>
          </w:p>
        </w:tc>
        <w:tc>
          <w:tcPr>
            <w:tcW w:w="1860" w:type="dxa"/>
            <w:tcMar>
              <w:top w:w="70" w:type="dxa"/>
              <w:left w:w="100" w:type="dxa"/>
              <w:bottom w:w="70" w:type="dxa"/>
              <w:right w:w="100" w:type="dxa"/>
            </w:tcMar>
            <w:vAlign w:val="center"/>
          </w:tcPr>
          <w:p w14:paraId="21921E2D" w14:textId="77777777" w:rsidR="002D25EA" w:rsidRDefault="002D25EA" w:rsidP="00D9409F">
            <w:r>
              <w:rPr>
                <w:sz w:val="18"/>
                <w:szCs w:val="18"/>
              </w:rPr>
              <w:t>Medium</w:t>
            </w:r>
          </w:p>
        </w:tc>
        <w:tc>
          <w:tcPr>
            <w:tcW w:w="1860" w:type="dxa"/>
            <w:tcMar>
              <w:top w:w="70" w:type="dxa"/>
              <w:left w:w="100" w:type="dxa"/>
              <w:bottom w:w="70" w:type="dxa"/>
              <w:right w:w="100" w:type="dxa"/>
            </w:tcMar>
            <w:vAlign w:val="center"/>
          </w:tcPr>
          <w:p w14:paraId="7D9C5785" w14:textId="77777777" w:rsidR="002D25EA" w:rsidRDefault="002D25EA" w:rsidP="00D9409F">
            <w:r>
              <w:rPr>
                <w:sz w:val="18"/>
                <w:szCs w:val="18"/>
              </w:rPr>
              <w:t>Confirm tier before build (section 16)</w:t>
            </w:r>
          </w:p>
        </w:tc>
      </w:tr>
      <w:tr w:rsidR="002D25EA" w14:paraId="068C3F36" w14:textId="77777777" w:rsidTr="00D9409F">
        <w:tc>
          <w:tcPr>
            <w:tcW w:w="1860" w:type="dxa"/>
            <w:tcMar>
              <w:top w:w="70" w:type="dxa"/>
              <w:left w:w="100" w:type="dxa"/>
              <w:bottom w:w="70" w:type="dxa"/>
              <w:right w:w="100" w:type="dxa"/>
            </w:tcMar>
            <w:vAlign w:val="center"/>
          </w:tcPr>
          <w:p w14:paraId="4EBFA121" w14:textId="77777777" w:rsidR="002D25EA" w:rsidRDefault="002D25EA" w:rsidP="00D9409F">
            <w:r>
              <w:rPr>
                <w:sz w:val="18"/>
                <w:szCs w:val="18"/>
              </w:rPr>
              <w:t>R.03</w:t>
            </w:r>
          </w:p>
        </w:tc>
        <w:tc>
          <w:tcPr>
            <w:tcW w:w="1860" w:type="dxa"/>
            <w:tcMar>
              <w:top w:w="70" w:type="dxa"/>
              <w:left w:w="100" w:type="dxa"/>
              <w:bottom w:w="70" w:type="dxa"/>
              <w:right w:w="100" w:type="dxa"/>
            </w:tcMar>
            <w:vAlign w:val="center"/>
          </w:tcPr>
          <w:p w14:paraId="289549BA" w14:textId="77777777" w:rsidR="002D25EA" w:rsidRDefault="002D25EA" w:rsidP="00D9409F">
            <w:r>
              <w:rPr>
                <w:sz w:val="18"/>
                <w:szCs w:val="18"/>
              </w:rPr>
              <w:t>Palo Alto control-plane bypass mis-configured, breaking APIM connectivity</w:t>
            </w:r>
          </w:p>
        </w:tc>
        <w:tc>
          <w:tcPr>
            <w:tcW w:w="1860" w:type="dxa"/>
            <w:tcMar>
              <w:top w:w="70" w:type="dxa"/>
              <w:left w:w="100" w:type="dxa"/>
              <w:bottom w:w="70" w:type="dxa"/>
              <w:right w:w="100" w:type="dxa"/>
            </w:tcMar>
            <w:vAlign w:val="center"/>
          </w:tcPr>
          <w:p w14:paraId="023A3D24" w14:textId="77777777" w:rsidR="002D25EA" w:rsidRDefault="002D25EA" w:rsidP="00D9409F">
            <w:r>
              <w:rPr>
                <w:sz w:val="18"/>
                <w:szCs w:val="18"/>
              </w:rPr>
              <w:t>Medium</w:t>
            </w:r>
          </w:p>
        </w:tc>
        <w:tc>
          <w:tcPr>
            <w:tcW w:w="1860" w:type="dxa"/>
            <w:tcMar>
              <w:top w:w="70" w:type="dxa"/>
              <w:left w:w="100" w:type="dxa"/>
              <w:bottom w:w="70" w:type="dxa"/>
              <w:right w:w="100" w:type="dxa"/>
            </w:tcMar>
            <w:vAlign w:val="center"/>
          </w:tcPr>
          <w:p w14:paraId="0F483605" w14:textId="77777777" w:rsidR="002D25EA" w:rsidRDefault="002D25EA" w:rsidP="00D9409F">
            <w:r>
              <w:rPr>
                <w:sz w:val="18"/>
                <w:szCs w:val="18"/>
              </w:rPr>
              <w:t>High</w:t>
            </w:r>
          </w:p>
        </w:tc>
        <w:tc>
          <w:tcPr>
            <w:tcW w:w="1860" w:type="dxa"/>
            <w:tcMar>
              <w:top w:w="70" w:type="dxa"/>
              <w:left w:w="100" w:type="dxa"/>
              <w:bottom w:w="70" w:type="dxa"/>
              <w:right w:w="100" w:type="dxa"/>
            </w:tcMar>
            <w:vAlign w:val="center"/>
          </w:tcPr>
          <w:p w14:paraId="604D0A2D" w14:textId="77777777" w:rsidR="002D25EA" w:rsidRDefault="002D25EA" w:rsidP="00D9409F">
            <w:r>
              <w:rPr>
                <w:sz w:val="18"/>
                <w:szCs w:val="18"/>
              </w:rPr>
              <w:t>Follow the mandatory bypass route and gate in section 7</w:t>
            </w:r>
          </w:p>
        </w:tc>
      </w:tr>
      <w:tr w:rsidR="002D25EA" w14:paraId="702A015B" w14:textId="77777777" w:rsidTr="00D9409F">
        <w:tc>
          <w:tcPr>
            <w:tcW w:w="1860" w:type="dxa"/>
            <w:tcMar>
              <w:top w:w="70" w:type="dxa"/>
              <w:left w:w="100" w:type="dxa"/>
              <w:bottom w:w="70" w:type="dxa"/>
              <w:right w:w="100" w:type="dxa"/>
            </w:tcMar>
            <w:vAlign w:val="center"/>
          </w:tcPr>
          <w:p w14:paraId="4D61AC72" w14:textId="77777777" w:rsidR="002D25EA" w:rsidRDefault="002D25EA" w:rsidP="00D9409F">
            <w:r>
              <w:rPr>
                <w:sz w:val="18"/>
                <w:szCs w:val="18"/>
              </w:rPr>
              <w:t>R.04</w:t>
            </w:r>
          </w:p>
        </w:tc>
        <w:tc>
          <w:tcPr>
            <w:tcW w:w="1860" w:type="dxa"/>
            <w:tcMar>
              <w:top w:w="70" w:type="dxa"/>
              <w:left w:w="100" w:type="dxa"/>
              <w:bottom w:w="70" w:type="dxa"/>
              <w:right w:w="100" w:type="dxa"/>
            </w:tcMar>
            <w:vAlign w:val="center"/>
          </w:tcPr>
          <w:p w14:paraId="3721633D" w14:textId="77777777" w:rsidR="002D25EA" w:rsidRDefault="002D25EA" w:rsidP="00D9409F">
            <w:r>
              <w:rPr>
                <w:sz w:val="18"/>
                <w:szCs w:val="18"/>
              </w:rPr>
              <w:t xml:space="preserve">Backend network topology differs from </w:t>
              <w:lastRenderedPageBreak/>
              <w:t>assumed, requiring rework</w:t>
            </w:r>
          </w:p>
        </w:tc>
        <w:tc>
          <w:tcPr>
            <w:tcW w:w="1860" w:type="dxa"/>
            <w:tcMar>
              <w:top w:w="70" w:type="dxa"/>
              <w:left w:w="100" w:type="dxa"/>
              <w:bottom w:w="70" w:type="dxa"/>
              <w:right w:w="100" w:type="dxa"/>
            </w:tcMar>
            <w:vAlign w:val="center"/>
          </w:tcPr>
          <w:p w14:paraId="16E8DC20" w14:textId="77777777" w:rsidR="002D25EA" w:rsidRDefault="002D25EA" w:rsidP="00D9409F">
            <w:r>
              <w:rPr>
                <w:sz w:val="18"/>
                <w:szCs w:val="18"/>
              </w:rPr>
              <w:lastRenderedPageBreak/>
              <w:t>Medium</w:t>
            </w:r>
          </w:p>
        </w:tc>
        <w:tc>
          <w:tcPr>
            <w:tcW w:w="1860" w:type="dxa"/>
            <w:tcMar>
              <w:top w:w="70" w:type="dxa"/>
              <w:left w:w="100" w:type="dxa"/>
              <w:bottom w:w="70" w:type="dxa"/>
              <w:right w:w="100" w:type="dxa"/>
            </w:tcMar>
            <w:vAlign w:val="center"/>
          </w:tcPr>
          <w:p w14:paraId="7E517D9B" w14:textId="77777777" w:rsidR="002D25EA" w:rsidRDefault="002D25EA" w:rsidP="00D9409F">
            <w:r>
              <w:rPr>
                <w:sz w:val="18"/>
                <w:szCs w:val="18"/>
              </w:rPr>
              <w:t>High</w:t>
            </w:r>
          </w:p>
        </w:tc>
        <w:tc>
          <w:tcPr>
            <w:tcW w:w="1860" w:type="dxa"/>
            <w:tcMar>
              <w:top w:w="70" w:type="dxa"/>
              <w:left w:w="100" w:type="dxa"/>
              <w:bottom w:w="70" w:type="dxa"/>
              <w:right w:w="100" w:type="dxa"/>
            </w:tcMar>
            <w:vAlign w:val="center"/>
          </w:tcPr>
          <w:p w14:paraId="174C962D" w14:textId="77777777" w:rsidR="002D25EA" w:rsidRDefault="002D25EA" w:rsidP="00D9409F">
            <w:r>
              <w:rPr>
                <w:sz w:val="18"/>
                <w:szCs w:val="18"/>
              </w:rPr>
              <w:t>Validate landing zone early (A.02, A.03)</w:t>
            </w:r>
          </w:p>
        </w:tc>
      </w:tr>
    </w:tbl>
    <w:p w14:paraId="1682E511"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3" w:name="_Toc240539767"/>
      <w:r>
        <w:rPr>
          <w:rFonts w:asciiTheme="minorHAnsi" w:eastAsia="Times New Roman" w:hAnsiTheme="minorHAnsi" w:cs="Times New Roman"/>
          <w:b w:val="0"/>
          <w:color w:val="132040" w:themeColor="accent1" w:themeShade="BF"/>
          <w:sz w:val="24"/>
          <w:szCs w:val="26"/>
          <w:lang w:eastAsia="en-US"/>
        </w:rPr>
        <w:t>Issues</w:t>
      </w:r>
      <w:bookmarkEnd w:id="43"/>
    </w:p>
    <w:p w14:paraId="369A6AF5" w14:textId="77777777" w:rsidR="002D25EA" w:rsidRDefault="002D25EA" w:rsidP="002D25EA">
      <w:pPr>
        <w:spacing w:after="140"/>
      </w:pPr>
      <w:r>
        <w:t>No live issues are recorded at draft stage. Issues raised during TDA review or build will be logged here.</w:t>
      </w:r>
    </w:p>
    <w:p w14:paraId="5D06122B"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4" w:name="_Toc240539768"/>
      <w:r>
        <w:rPr>
          <w:rFonts w:asciiTheme="minorHAnsi" w:eastAsia="Times New Roman" w:hAnsiTheme="minorHAnsi" w:cs="Times New Roman"/>
          <w:b w:val="0"/>
          <w:color w:val="132040" w:themeColor="accent1" w:themeShade="BF"/>
          <w:sz w:val="24"/>
          <w:szCs w:val="26"/>
          <w:lang w:eastAsia="en-US"/>
        </w:rPr>
        <w:t>Dependencies</w:t>
      </w:r>
      <w:bookmarkEnd w:id="4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2D25EA" w14:paraId="4F3706B8" w14:textId="77777777" w:rsidTr="00D9409F">
        <w:trPr>
          <w:tblHeader/>
        </w:trPr>
        <w:tc>
          <w:tcPr>
            <w:tcW w:w="3100" w:type="dxa"/>
            <w:shd w:val="clear" w:color="auto" w:fill="1E2761"/>
            <w:tcMar>
              <w:top w:w="70" w:type="dxa"/>
              <w:left w:w="100" w:type="dxa"/>
              <w:bottom w:w="70" w:type="dxa"/>
              <w:right w:w="100" w:type="dxa"/>
            </w:tcMar>
            <w:vAlign w:val="center"/>
          </w:tcPr>
          <w:p w14:paraId="4CF3DB4E" w14:textId="77777777" w:rsidR="002D25EA" w:rsidRDefault="002D25EA" w:rsidP="00D9409F">
            <w:r>
              <w:rPr>
                <w:b/>
                <w:bCs/>
                <w:color w:val="FFFFFF"/>
                <w:sz w:val="18"/>
                <w:szCs w:val="18"/>
              </w:rPr>
              <w:t>Ref</w:t>
            </w:r>
          </w:p>
        </w:tc>
        <w:tc>
          <w:tcPr>
            <w:tcW w:w="3100" w:type="dxa"/>
            <w:shd w:val="clear" w:color="auto" w:fill="1E2761"/>
            <w:tcMar>
              <w:top w:w="70" w:type="dxa"/>
              <w:left w:w="100" w:type="dxa"/>
              <w:bottom w:w="70" w:type="dxa"/>
              <w:right w:w="100" w:type="dxa"/>
            </w:tcMar>
            <w:vAlign w:val="center"/>
          </w:tcPr>
          <w:p w14:paraId="42311774" w14:textId="77777777" w:rsidR="002D25EA" w:rsidRDefault="002D25EA" w:rsidP="00D9409F">
            <w:r>
              <w:rPr>
                <w:b/>
                <w:bCs/>
                <w:color w:val="FFFFFF"/>
                <w:sz w:val="18"/>
                <w:szCs w:val="18"/>
              </w:rPr>
              <w:t>Dependency</w:t>
            </w:r>
          </w:p>
        </w:tc>
        <w:tc>
          <w:tcPr>
            <w:tcW w:w="3100" w:type="dxa"/>
            <w:shd w:val="clear" w:color="auto" w:fill="1E2761"/>
            <w:tcMar>
              <w:top w:w="70" w:type="dxa"/>
              <w:left w:w="100" w:type="dxa"/>
              <w:bottom w:w="70" w:type="dxa"/>
              <w:right w:w="100" w:type="dxa"/>
            </w:tcMar>
            <w:vAlign w:val="center"/>
          </w:tcPr>
          <w:p w14:paraId="705D87FE" w14:textId="77777777" w:rsidR="002D25EA" w:rsidRDefault="002D25EA" w:rsidP="00D9409F">
            <w:r>
              <w:rPr>
                <w:b/>
                <w:bCs/>
                <w:color w:val="FFFFFF"/>
                <w:sz w:val="18"/>
                <w:szCs w:val="18"/>
              </w:rPr>
              <w:t>Owner</w:t>
            </w:r>
          </w:p>
        </w:tc>
      </w:tr>
      <w:tr w:rsidR="002D25EA" w14:paraId="6F2F6A7E" w14:textId="77777777" w:rsidTr="00D9409F">
        <w:tc>
          <w:tcPr>
            <w:tcW w:w="3100" w:type="dxa"/>
            <w:tcMar>
              <w:top w:w="70" w:type="dxa"/>
              <w:left w:w="100" w:type="dxa"/>
              <w:bottom w:w="70" w:type="dxa"/>
              <w:right w:w="100" w:type="dxa"/>
            </w:tcMar>
            <w:vAlign w:val="center"/>
          </w:tcPr>
          <w:p w14:paraId="0D09ACF8" w14:textId="77777777" w:rsidR="002D25EA" w:rsidRDefault="002D25EA" w:rsidP="00D9409F">
            <w:r>
              <w:rPr>
                <w:sz w:val="18"/>
                <w:szCs w:val="18"/>
              </w:rPr>
              <w:t>D.01</w:t>
            </w:r>
          </w:p>
        </w:tc>
        <w:tc>
          <w:tcPr>
            <w:tcW w:w="3100" w:type="dxa"/>
            <w:tcMar>
              <w:top w:w="70" w:type="dxa"/>
              <w:left w:w="100" w:type="dxa"/>
              <w:bottom w:w="70" w:type="dxa"/>
              <w:right w:w="100" w:type="dxa"/>
            </w:tcMar>
            <w:vAlign w:val="center"/>
          </w:tcPr>
          <w:p w14:paraId="473D5DB1" w14:textId="77777777" w:rsidR="002D25EA" w:rsidRDefault="002D25EA" w:rsidP="00D9409F">
            <w:r>
              <w:rPr>
                <w:sz w:val="18"/>
                <w:szCs w:val="18"/>
              </w:rPr>
              <w:t>Entra ID app registrations provisioned before build</w:t>
            </w:r>
          </w:p>
        </w:tc>
        <w:tc>
          <w:tcPr>
            <w:tcW w:w="3100" w:type="dxa"/>
            <w:tcMar>
              <w:top w:w="70" w:type="dxa"/>
              <w:left w:w="100" w:type="dxa"/>
              <w:bottom w:w="70" w:type="dxa"/>
              <w:right w:w="100" w:type="dxa"/>
            </w:tcMar>
            <w:vAlign w:val="center"/>
          </w:tcPr>
          <w:p w14:paraId="1840209A" w14:textId="77777777" w:rsidR="002D25EA" w:rsidRDefault="002D25EA" w:rsidP="00D9409F">
            <w:r>
              <w:rPr>
                <w:sz w:val="18"/>
                <w:szCs w:val="18"/>
              </w:rPr>
              <w:t>the Organization’s Identity team</w:t>
            </w:r>
          </w:p>
        </w:tc>
      </w:tr>
      <w:tr w:rsidR="002D25EA" w14:paraId="3A2D19E4" w14:textId="77777777" w:rsidTr="00D9409F">
        <w:tc>
          <w:tcPr>
            <w:tcW w:w="3100" w:type="dxa"/>
            <w:tcMar>
              <w:top w:w="70" w:type="dxa"/>
              <w:left w:w="100" w:type="dxa"/>
              <w:bottom w:w="70" w:type="dxa"/>
              <w:right w:w="100" w:type="dxa"/>
            </w:tcMar>
            <w:vAlign w:val="center"/>
          </w:tcPr>
          <w:p w14:paraId="0915469C" w14:textId="77777777" w:rsidR="002D25EA" w:rsidRDefault="002D25EA" w:rsidP="00D9409F">
            <w:r>
              <w:rPr>
                <w:sz w:val="18"/>
                <w:szCs w:val="18"/>
              </w:rPr>
              <w:t>D.02</w:t>
            </w:r>
          </w:p>
        </w:tc>
        <w:tc>
          <w:tcPr>
            <w:tcW w:w="3100" w:type="dxa"/>
            <w:tcMar>
              <w:top w:w="70" w:type="dxa"/>
              <w:left w:w="100" w:type="dxa"/>
              <w:bottom w:w="70" w:type="dxa"/>
              <w:right w:w="100" w:type="dxa"/>
            </w:tcMar>
            <w:vAlign w:val="center"/>
          </w:tcPr>
          <w:p w14:paraId="10427244" w14:textId="77777777" w:rsidR="002D25EA" w:rsidRDefault="002D25EA" w:rsidP="00D9409F">
            <w:r>
              <w:rPr>
                <w:sz w:val="18"/>
                <w:szCs w:val="18"/>
              </w:rPr>
              <w:t>Key Vault and access policy available in the target subscription</w:t>
            </w:r>
          </w:p>
        </w:tc>
        <w:tc>
          <w:tcPr>
            <w:tcW w:w="3100" w:type="dxa"/>
            <w:tcMar>
              <w:top w:w="70" w:type="dxa"/>
              <w:left w:w="100" w:type="dxa"/>
              <w:bottom w:w="70" w:type="dxa"/>
              <w:right w:w="100" w:type="dxa"/>
            </w:tcMar>
            <w:vAlign w:val="center"/>
          </w:tcPr>
          <w:p w14:paraId="602658E4" w14:textId="77777777" w:rsidR="002D25EA" w:rsidRDefault="002D25EA" w:rsidP="00D9409F">
            <w:r>
              <w:rPr>
                <w:sz w:val="18"/>
                <w:szCs w:val="18"/>
              </w:rPr>
              <w:t>the Organization’s Platform team</w:t>
            </w:r>
          </w:p>
        </w:tc>
      </w:tr>
      <w:tr w:rsidR="002D25EA" w14:paraId="44A25D15" w14:textId="77777777" w:rsidTr="00D9409F">
        <w:tc>
          <w:tcPr>
            <w:tcW w:w="3100" w:type="dxa"/>
            <w:tcMar>
              <w:top w:w="70" w:type="dxa"/>
              <w:left w:w="100" w:type="dxa"/>
              <w:bottom w:w="70" w:type="dxa"/>
              <w:right w:w="100" w:type="dxa"/>
            </w:tcMar>
            <w:vAlign w:val="center"/>
          </w:tcPr>
          <w:p w14:paraId="6F470B5A" w14:textId="77777777" w:rsidR="002D25EA" w:rsidRDefault="002D25EA" w:rsidP="00D9409F">
            <w:r>
              <w:rPr>
                <w:sz w:val="18"/>
                <w:szCs w:val="18"/>
              </w:rPr>
              <w:t>D.03</w:t>
            </w:r>
          </w:p>
        </w:tc>
        <w:tc>
          <w:tcPr>
            <w:tcW w:w="3100" w:type="dxa"/>
            <w:tcMar>
              <w:top w:w="70" w:type="dxa"/>
              <w:left w:w="100" w:type="dxa"/>
              <w:bottom w:w="70" w:type="dxa"/>
              <w:right w:w="100" w:type="dxa"/>
            </w:tcMar>
            <w:vAlign w:val="center"/>
          </w:tcPr>
          <w:p w14:paraId="138B7F7F" w14:textId="77777777" w:rsidR="002D25EA" w:rsidRDefault="002D25EA" w:rsidP="00D9409F">
            <w:r>
              <w:rPr>
                <w:sz w:val="18"/>
                <w:szCs w:val="18"/>
              </w:rPr>
              <w:t>Landing-zone VNet, subnets and Palo Alto access for the firewall path</w:t>
            </w:r>
          </w:p>
        </w:tc>
        <w:tc>
          <w:tcPr>
            <w:tcW w:w="3100" w:type="dxa"/>
            <w:tcMar>
              <w:top w:w="70" w:type="dxa"/>
              <w:left w:w="100" w:type="dxa"/>
              <w:bottom w:w="70" w:type="dxa"/>
              <w:right w:w="100" w:type="dxa"/>
            </w:tcMar>
            <w:vAlign w:val="center"/>
          </w:tcPr>
          <w:p w14:paraId="69A6F217" w14:textId="77777777" w:rsidR="002D25EA" w:rsidRDefault="002D25EA" w:rsidP="00D9409F">
            <w:r>
              <w:rPr>
                <w:sz w:val="18"/>
                <w:szCs w:val="18"/>
              </w:rPr>
              <w:t>the Organization’s Network team</w:t>
            </w:r>
          </w:p>
        </w:tc>
      </w:tr>
      <w:tr w:rsidR="002D25EA" w14:paraId="6BE54C19" w14:textId="77777777" w:rsidTr="00D9409F">
        <w:tc>
          <w:tcPr>
            <w:tcW w:w="3100" w:type="dxa"/>
            <w:tcMar>
              <w:top w:w="70" w:type="dxa"/>
              <w:left w:w="100" w:type="dxa"/>
              <w:bottom w:w="70" w:type="dxa"/>
              <w:right w:w="100" w:type="dxa"/>
            </w:tcMar>
            <w:vAlign w:val="center"/>
          </w:tcPr>
          <w:p w14:paraId="23D9CAB8" w14:textId="77777777" w:rsidR="002D25EA" w:rsidRDefault="002D25EA" w:rsidP="00D9409F">
            <w:r>
              <w:rPr>
                <w:sz w:val="18"/>
                <w:szCs w:val="18"/>
              </w:rPr>
              <w:t>D.04</w:t>
            </w:r>
          </w:p>
        </w:tc>
        <w:tc>
          <w:tcPr>
            <w:tcW w:w="3100" w:type="dxa"/>
            <w:tcMar>
              <w:top w:w="70" w:type="dxa"/>
              <w:left w:w="100" w:type="dxa"/>
              <w:bottom w:w="70" w:type="dxa"/>
              <w:right w:w="100" w:type="dxa"/>
            </w:tcMar>
            <w:vAlign w:val="center"/>
          </w:tcPr>
          <w:p w14:paraId="7542B162" w14:textId="77777777" w:rsidR="002D25EA" w:rsidRDefault="002D25EA" w:rsidP="00D9409F">
            <w:r>
              <w:rPr>
                <w:sz w:val="18"/>
                <w:szCs w:val="18"/>
              </w:rPr>
              <w:t>Confirmed RTO/RPO, retention and alert thresholds</w:t>
            </w:r>
          </w:p>
        </w:tc>
        <w:tc>
          <w:tcPr>
            <w:tcW w:w="3100" w:type="dxa"/>
            <w:tcMar>
              <w:top w:w="70" w:type="dxa"/>
              <w:left w:w="100" w:type="dxa"/>
              <w:bottom w:w="70" w:type="dxa"/>
              <w:right w:w="100" w:type="dxa"/>
            </w:tcMar>
            <w:vAlign w:val="center"/>
          </w:tcPr>
          <w:p w14:paraId="1A9BF3D1" w14:textId="77777777" w:rsidR="002D25EA" w:rsidRDefault="002D25EA" w:rsidP="00D9409F">
            <w:r>
              <w:rPr>
                <w:sz w:val="18"/>
                <w:szCs w:val="18"/>
              </w:rPr>
              <w:t>the Organization’s Operations team</w:t>
            </w:r>
          </w:p>
        </w:tc>
      </w:tr>
    </w:tbl>
    <w:p w14:paraId="56A55D9B" w14:textId="77777777" w:rsidR="002D25EA" w:rsidRPr="002D25EA" w:rsidRDefault="002D25EA" w:rsidP="002D25EA">
      <w:pPr>
        <w:pStyle w:val="Heading1"/>
        <w:pageBreakBefore/>
        <w:spacing w:after="0"/>
        <w:ind w:left="426" w:hanging="432"/>
        <w:rPr>
          <w:rFonts w:asciiTheme="minorHAnsi" w:eastAsiaTheme="minorHAnsi" w:hAnsiTheme="minorHAnsi" w:cstheme="minorBidi"/>
          <w:b w:val="0"/>
          <w:bCs w:val="0"/>
          <w:color w:val="000000" w:themeColor="text1" w:themeShade="80"/>
          <w:sz w:val="24"/>
          <w:szCs w:val="20"/>
          <w:lang w:eastAsia="en-US"/>
        </w:rPr>
      </w:pPr>
      <w:bookmarkStart w:id="45" w:name="_Toc240539769"/>
      <w:r>
        <w:rPr>
          <w:rFonts w:asciiTheme="minorHAnsi" w:eastAsiaTheme="minorHAnsi" w:hAnsiTheme="minorHAnsi" w:cstheme="minorBidi"/>
          <w:b w:val="0"/>
          <w:bCs w:val="0"/>
          <w:color w:val="000000" w:themeColor="text1" w:themeShade="80"/>
          <w:sz w:val="24"/>
          <w:szCs w:val="20"/>
          <w:lang w:eastAsia="en-US"/>
        </w:rPr>
        <w:lastRenderedPageBreak/>
        <w:t>Appendices</w:t>
      </w:r>
      <w:bookmarkEnd w:id="45"/>
    </w:p>
    <w:p w14:paraId="2104ED56"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6" w:name="_Toc240539770"/>
      <w:r>
        <w:rPr>
          <w:rFonts w:asciiTheme="minorHAnsi" w:eastAsia="Times New Roman" w:hAnsiTheme="minorHAnsi" w:cs="Times New Roman"/>
          <w:b w:val="0"/>
          <w:color w:val="132040" w:themeColor="accent1" w:themeShade="BF"/>
          <w:sz w:val="24"/>
          <w:szCs w:val="26"/>
          <w:lang w:eastAsia="en-US"/>
        </w:rPr>
        <w:t>Microsoft Reference Architectures</w:t>
      </w:r>
      <w:bookmarkEnd w:id="46"/>
    </w:p>
    <w:p w14:paraId="5511B08B" w14:textId="77777777" w:rsidR="002D25EA" w:rsidRDefault="002D25EA" w:rsidP="002D25EA">
      <w:pPr>
        <w:spacing w:after="140"/>
      </w:pPr>
      <w:r>
        <w:rPr>
          <w:i/>
          <w:iCs/>
          <w:color w:val="555555"/>
        </w:rPr>
        <w:t>Diagrams in this document are the Organization-adapted renderings of the pattern each article describes, not reproductions of Microsoft's own diagrams. Refer to the linked articles for Microsoft's original diagrams and downloadable Visio files.</w:t>
      </w:r>
    </w:p>
    <w:p w14:paraId="22AE9618" w14:textId="77777777" w:rsidR="002D25EA" w:rsidRDefault="002D25EA" w:rsidP="002D25EA">
      <w:pPr>
        <w:pStyle w:val="ListParagraph"/>
        <w:numPr>
          <w:ilvl w:val="0"/>
          <w:numId w:val="2"/>
        </w:numPr>
        <w:spacing w:after="70"/>
      </w:pPr>
      <w:r>
        <w:t>Basic enterprise integration on Azure: learn.microsoft.com/azure/architecture/reference-architectures/enterprise-integration/basic-enterprise-integration</w:t>
      </w:r>
    </w:p>
    <w:p w14:paraId="1EC0E924" w14:textId="77777777" w:rsidR="002D25EA" w:rsidRDefault="002D25EA" w:rsidP="002D25EA">
      <w:pPr>
        <w:pStyle w:val="ListParagraph"/>
        <w:numPr>
          <w:ilvl w:val="0"/>
          <w:numId w:val="2"/>
        </w:numPr>
        <w:spacing w:after="70"/>
      </w:pPr>
      <w:r>
        <w:t>Protect APIs with Application Gateway and API Management: learn.microsoft.com/azure/architecture/web-apps/api-management/architectures/protect-apis</w:t>
      </w:r>
    </w:p>
    <w:p w14:paraId="69BCDC6C" w14:textId="77777777" w:rsidR="002D25EA" w:rsidRDefault="002D25EA" w:rsidP="002D25EA">
      <w:pPr>
        <w:pStyle w:val="ListParagraph"/>
        <w:numPr>
          <w:ilvl w:val="0"/>
          <w:numId w:val="2"/>
        </w:numPr>
        <w:spacing w:after="70"/>
      </w:pPr>
      <w:r>
        <w:t>Azure API Management landing zone accelerator: learn.microsoft.com/azure/cloud-adoption-framework/scenarios/app-platform/api-management/landing-zone-accelerator</w:t>
      </w:r>
    </w:p>
    <w:p w14:paraId="0D610CFB"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7" w:name="_Toc240539771"/>
      <w:r>
        <w:rPr>
          <w:rFonts w:asciiTheme="minorHAnsi" w:eastAsia="Times New Roman" w:hAnsiTheme="minorHAnsi" w:cs="Times New Roman"/>
          <w:b w:val="0"/>
          <w:color w:val="132040" w:themeColor="accent1" w:themeShade="BF"/>
          <w:sz w:val="24"/>
          <w:szCs w:val="26"/>
          <w:lang w:eastAsia="en-US"/>
        </w:rPr>
        <w:t>Companion Documents</w:t>
      </w:r>
      <w:bookmarkEnd w:id="47"/>
    </w:p>
    <w:p w14:paraId="5F3BA251" w14:textId="77777777" w:rsidR="002D25EA" w:rsidRDefault="002D25EA" w:rsidP="002D25EA">
      <w:pPr>
        <w:pStyle w:val="ListParagraph"/>
        <w:numPr>
          <w:ilvl w:val="0"/>
          <w:numId w:val="2"/>
        </w:numPr>
        <w:spacing w:after="70"/>
      </w:pPr>
      <w:r>
        <w:t>Validation and Architecture Decisions (ADR register and approval gates)</w:t>
      </w:r>
    </w:p>
    <w:p w14:paraId="0DCEF2EB" w14:textId="77777777" w:rsidR="002D25EA" w:rsidRDefault="002D25EA" w:rsidP="002D25EA">
      <w:pPr>
        <w:pStyle w:val="ListParagraph"/>
        <w:numPr>
          <w:ilvl w:val="0"/>
          <w:numId w:val="2"/>
        </w:numPr>
        <w:spacing w:after="70"/>
      </w:pPr>
      <w:r>
        <w:t>Setup Handoff and Operating Model (team responsibilities)</w:t>
      </w:r>
    </w:p>
    <w:p w14:paraId="5749CDA7" w14:textId="77777777" w:rsidR="002D25EA" w:rsidRDefault="002D25EA" w:rsidP="002D25EA">
      <w:pPr>
        <w:pStyle w:val="ListParagraph"/>
        <w:numPr>
          <w:ilvl w:val="0"/>
          <w:numId w:val="2"/>
        </w:numPr>
        <w:spacing w:after="70"/>
      </w:pPr>
      <w:r>
        <w:t>Build Runbook, Scratch to Live (step-by-step task list)</w:t>
      </w:r>
    </w:p>
    <w:p w14:paraId="456366EB"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8" w:name="_Toc240539772"/>
      <w:r>
        <w:rPr>
          <w:rFonts w:asciiTheme="minorHAnsi" w:eastAsia="Times New Roman" w:hAnsiTheme="minorHAnsi" w:cs="Times New Roman"/>
          <w:b w:val="0"/>
          <w:color w:val="132040" w:themeColor="accent1" w:themeShade="BF"/>
          <w:sz w:val="24"/>
          <w:szCs w:val="26"/>
          <w:lang w:eastAsia="en-US"/>
        </w:rPr>
        <w:t>Alignment with the Azure Well-Architected Framework</w:t>
      </w:r>
      <w:bookmarkEnd w:id="48"/>
    </w:p>
    <w:p w14:paraId="11702AC1" w14:textId="77777777" w:rsidR="002D25EA" w:rsidRDefault="002D25EA" w:rsidP="002D25EA">
      <w:pPr>
        <w:spacing w:after="160"/>
      </w:pPr>
      <w:r>
        <w:t>This design has been benchmarked against Microsoft's Well-Architected Framework (WAF) guidance for API Management, which sets out best practice across five pillars. The table below summarises each pillar, the key practices Microsoft recommends, and where this HLD addresses them. The alignment is high because the design was built to these patterns; the few items marked as configuration are settings to apply at build time rather than design gaps.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65"/>
        <w:gridCol w:w="3779"/>
        <w:gridCol w:w="3572"/>
      </w:tblGrid>
      <w:tr w:rsidR="002D25EA" w14:paraId="07EE12C3" w14:textId="77777777" w:rsidTr="00D9409F">
        <w:tc>
          <w:tcPr>
            <w:tcW w:w="1700" w:type="dxa"/>
            <w:shd w:val="clear" w:color="auto" w:fill="1E2761"/>
          </w:tcPr>
          <w:p w14:paraId="1724D860" w14:textId="77777777" w:rsidR="002D25EA" w:rsidRDefault="002D25EA" w:rsidP="00D9409F">
            <w:r>
              <w:rPr>
                <w:b/>
                <w:color w:val="FFFFFF"/>
                <w:sz w:val="18"/>
              </w:rPr>
              <w:t>WAF pillar</w:t>
            </w:r>
          </w:p>
        </w:tc>
        <w:tc>
          <w:tcPr>
            <w:tcW w:w="3900" w:type="dxa"/>
            <w:shd w:val="clear" w:color="auto" w:fill="1E2761"/>
          </w:tcPr>
          <w:p w14:paraId="7B8D9F6E" w14:textId="77777777" w:rsidR="002D25EA" w:rsidRDefault="002D25EA" w:rsidP="00D9409F">
            <w:r>
              <w:rPr>
                <w:b/>
                <w:color w:val="FFFFFF"/>
                <w:sz w:val="18"/>
              </w:rPr>
              <w:t>Key Microsoft recommendations</w:t>
            </w:r>
          </w:p>
        </w:tc>
        <w:tc>
          <w:tcPr>
            <w:tcW w:w="3700" w:type="dxa"/>
            <w:shd w:val="clear" w:color="auto" w:fill="1E2761"/>
          </w:tcPr>
          <w:p w14:paraId="032A46E3" w14:textId="77777777" w:rsidR="002D25EA" w:rsidRDefault="002D25EA" w:rsidP="00D9409F">
            <w:r>
              <w:rPr>
                <w:b/>
                <w:color w:val="FFFFFF"/>
                <w:sz w:val="18"/>
              </w:rPr>
              <w:t>How this design addresses it</w:t>
            </w:r>
          </w:p>
        </w:tc>
      </w:tr>
      <w:tr w:rsidR="002D25EA" w14:paraId="4974FC3C" w14:textId="77777777" w:rsidTr="00D9409F">
        <w:tc>
          <w:tcPr>
            <w:tcW w:w="1700" w:type="dxa"/>
          </w:tcPr>
          <w:p w14:paraId="53528155" w14:textId="77777777" w:rsidR="002D25EA" w:rsidRDefault="002D25EA" w:rsidP="00D9409F">
            <w:r>
              <w:rPr>
                <w:sz w:val="18"/>
              </w:rPr>
              <w:t>Reliability</w:t>
            </w:r>
          </w:p>
        </w:tc>
        <w:tc>
          <w:tcPr>
            <w:tcW w:w="3900" w:type="dxa"/>
          </w:tcPr>
          <w:p w14:paraId="1F387715" w14:textId="77777777" w:rsidR="002D25EA" w:rsidRDefault="002D25EA" w:rsidP="00D9409F">
            <w:r>
              <w:rPr>
                <w:sz w:val="18"/>
              </w:rPr>
              <w:t>Zone redundancy; auto-scale; multi-region topology; isolate APIs with workspaces; test policies; collect reliability metrics; use backup and restore.</w:t>
            </w:r>
          </w:p>
        </w:tc>
        <w:tc>
          <w:tcPr>
            <w:tcW w:w="3700" w:type="dxa"/>
          </w:tcPr>
          <w:p w14:paraId="543D29AF" w14:textId="77777777" w:rsidR="002D25EA" w:rsidRDefault="002D25EA" w:rsidP="00D9409F">
            <w:r>
              <w:rPr>
                <w:sz w:val="18"/>
              </w:rPr>
              <w:t>Classic Premium across Availability Zones (15); active-active UK South / UK West behind Front Door; workspaces per domain (10); APIOps config-as-code gives rebuild-from-Git (14).</w:t>
            </w:r>
          </w:p>
        </w:tc>
      </w:tr>
      <w:tr w:rsidR="002D25EA" w14:paraId="2D10AB0F" w14:textId="77777777" w:rsidTr="00D9409F">
        <w:tc>
          <w:tcPr>
            <w:tcW w:w="1700" w:type="dxa"/>
          </w:tcPr>
          <w:p w14:paraId="27FD6596" w14:textId="77777777" w:rsidR="002D25EA" w:rsidRDefault="002D25EA" w:rsidP="00D9409F">
            <w:r>
              <w:rPr>
                <w:sz w:val="18"/>
              </w:rPr>
              <w:t>Security</w:t>
            </w:r>
          </w:p>
        </w:tc>
        <w:tc>
          <w:tcPr>
            <w:tcW w:w="3900" w:type="dxa"/>
          </w:tcPr>
          <w:p w14:paraId="3F2EF286" w14:textId="77777777" w:rsidR="002D25EA" w:rsidRDefault="002D25EA" w:rsidP="00D9409F">
            <w:r>
              <w:rPr>
                <w:sz w:val="18"/>
              </w:rPr>
              <w:t>ARM control plane only; narrow TLS; certificates and secrets in Key Vault; backends accept traffic only from the gateway; OAuth 2.0; managed identity; WAF in front of internet-facing APIs; private connectivity; no tracing in production.</w:t>
            </w:r>
          </w:p>
        </w:tc>
        <w:tc>
          <w:tcPr>
            <w:tcW w:w="3700" w:type="dxa"/>
          </w:tcPr>
          <w:p w14:paraId="071AE004" w14:textId="77777777" w:rsidR="002D25EA" w:rsidRDefault="002D25EA" w:rsidP="00D9409F">
            <w:r>
              <w:rPr>
                <w:sz w:val="18"/>
              </w:rPr>
              <w:t>Entra ID and OAuth 2.0 with JWT validation (9); TLS 1.2 minimum; Key Vault-backed named values; backends private behind APIM; Front Door / App Gateway WAF; managed identity to backends; verbose tracing restricted to Dev (13).</w:t>
            </w:r>
          </w:p>
        </w:tc>
      </w:tr>
      <w:tr w:rsidR="002D25EA" w14:paraId="5F9036DA" w14:textId="77777777" w:rsidTr="00D9409F">
        <w:tc>
          <w:tcPr>
            <w:tcW w:w="1700" w:type="dxa"/>
          </w:tcPr>
          <w:p w14:paraId="737F1B5D" w14:textId="77777777" w:rsidR="002D25EA" w:rsidRDefault="002D25EA" w:rsidP="00D9409F">
            <w:r>
              <w:rPr>
                <w:sz w:val="18"/>
              </w:rPr>
              <w:t>Cost Optimization</w:t>
            </w:r>
          </w:p>
        </w:tc>
        <w:tc>
          <w:tcPr>
            <w:tcW w:w="3900" w:type="dxa"/>
          </w:tcPr>
          <w:p w14:paraId="6E49B279" w14:textId="77777777" w:rsidR="002D25EA" w:rsidRDefault="002D25EA" w:rsidP="00D9409F">
            <w:r>
              <w:rPr>
                <w:sz w:val="18"/>
              </w:rPr>
              <w:t>Least-expensive tier that meets need; non-production on lower tiers; scale in on low demand; evaluate workspace cost model; use built-in cache; block malicious traffic before the gateway; optimise policy compute.</w:t>
            </w:r>
          </w:p>
        </w:tc>
        <w:tc>
          <w:tcPr>
            <w:tcW w:w="3700" w:type="dxa"/>
          </w:tcPr>
          <w:p w14:paraId="1C50B72F" w14:textId="77777777" w:rsidR="002D25EA" w:rsidRDefault="002D25EA" w:rsidP="00D9409F">
            <w:r>
              <w:rPr>
                <w:sz w:val="18"/>
              </w:rPr>
              <w:t>Developer tier for Dev, Standard v2 for UAT, Premium for Prod (14, 16); scale units only when metrics require; DDoS and WAF at the edge; indicative cost model with cost-reduction guidance (16).</w:t>
            </w:r>
          </w:p>
        </w:tc>
      </w:tr>
      <w:tr w:rsidR="002D25EA" w14:paraId="6DBCBC86" w14:textId="77777777" w:rsidTr="00D9409F">
        <w:tc>
          <w:tcPr>
            <w:tcW w:w="1700" w:type="dxa"/>
          </w:tcPr>
          <w:p w14:paraId="3A952C8D" w14:textId="77777777" w:rsidR="002D25EA" w:rsidRDefault="002D25EA" w:rsidP="00D9409F">
            <w:r>
              <w:rPr>
                <w:sz w:val="18"/>
              </w:rPr>
              <w:t>Operational Excellence</w:t>
            </w:r>
          </w:p>
        </w:tc>
        <w:tc>
          <w:tcPr>
            <w:tcW w:w="3900" w:type="dxa"/>
          </w:tcPr>
          <w:p w14:paraId="07DAF185" w14:textId="77777777" w:rsidR="002D25EA" w:rsidRDefault="002D25EA" w:rsidP="00D9409F">
            <w:r>
              <w:rPr>
                <w:sz w:val="18"/>
              </w:rPr>
              <w:t>Diagnostic resource logs; APIOps / GitOps; govern with Azure Policy; define operational metrics and logs; load testing; consistent API onboarding process; standardise hostnames; define backends via the backends feature.</w:t>
            </w:r>
          </w:p>
        </w:tc>
        <w:tc>
          <w:tcPr>
            <w:tcW w:w="3700" w:type="dxa"/>
          </w:tcPr>
          <w:p w14:paraId="75703C0D" w14:textId="77777777" w:rsidR="002D25EA" w:rsidRDefault="002D25EA" w:rsidP="00D9409F">
            <w:r>
              <w:rPr>
                <w:sz w:val="18"/>
              </w:rPr>
              <w:t>Azure Monitor / Log Analytics / App Insights with correlation IDs (13); APIOps pipeline through Dev/UAT/Prod (14); repeatable API onboarding process (11.2); alert thresholds and audience dashboards (13).</w:t>
            </w:r>
          </w:p>
        </w:tc>
      </w:tr>
      <w:tr w:rsidR="002D25EA" w14:paraId="51D83757" w14:textId="77777777" w:rsidTr="00D9409F">
        <w:tc>
          <w:tcPr>
            <w:tcW w:w="1700" w:type="dxa"/>
          </w:tcPr>
          <w:p w14:paraId="7C995FFB" w14:textId="77777777" w:rsidR="002D25EA" w:rsidRDefault="002D25EA" w:rsidP="00D9409F">
            <w:r>
              <w:rPr>
                <w:sz w:val="18"/>
              </w:rPr>
              <w:t>Performance Efficiency</w:t>
            </w:r>
          </w:p>
        </w:tc>
        <w:tc>
          <w:tcPr>
            <w:tcW w:w="3900" w:type="dxa"/>
          </w:tcPr>
          <w:p w14:paraId="23041167" w14:textId="77777777" w:rsidR="002D25EA" w:rsidRDefault="002D25EA" w:rsidP="00D9409F">
            <w:r>
              <w:rPr>
                <w:sz w:val="18"/>
              </w:rPr>
              <w:t>Dynamically scale to demand; minimise expensive policy processing; collect performance metrics; set an Application Insights sampling percentage; evaluate logic placement; review service limits.</w:t>
            </w:r>
          </w:p>
        </w:tc>
        <w:tc>
          <w:tcPr>
            <w:tcW w:w="3700" w:type="dxa"/>
          </w:tcPr>
          <w:p w14:paraId="6E1C6193" w14:textId="77777777" w:rsidR="002D25EA" w:rsidRDefault="002D25EA" w:rsidP="00D9409F">
            <w:r>
              <w:rPr>
                <w:sz w:val="18"/>
              </w:rPr>
              <w:t>Auto-scale on capacity metrics (15); reusable, lean policy library (11.2); p95 latency and capacity alerting (13); App Insights sampling in production to control cost and overhead (13).</w:t>
            </w:r>
          </w:p>
        </w:tc>
      </w:tr>
    </w:tbl>
    <w:p w14:paraId="6ECFF705" w14:textId="77777777" w:rsidR="002D25EA" w:rsidRDefault="002D25EA" w:rsidP="002D25EA">
      <w:pPr>
        <w:spacing w:after="160"/>
      </w:pPr>
      <w:r>
        <w:rPr>
          <w:i/>
          <w:sz w:val="19"/>
        </w:rPr>
        <w:t>Two items from the WAF guidance are worth carrying forward as explicit build-time actions rather than design assumptions: enabling Microsoft Defender for APIs for runtime threat detection, and applying the built-in Azure Policy regulatory-compliance controls for API Management. Both strengthen the security and governance posture and should be picked up during detailed design.</w:t>
      </w:r>
    </w:p>
    <w:p w14:paraId="3B4462AB" w14:textId="77777777" w:rsidR="002D25EA" w:rsidRDefault="002D25EA" w:rsidP="002D25EA">
      <w:pPr>
        <w:spacing w:after="160"/>
      </w:pPr>
      <w:r>
        <w:rPr>
          <w:i/>
          <w:sz w:val="18"/>
        </w:rPr>
        <w:lastRenderedPageBreak/>
        <w:t>Source: Microsoft Azure Well-Architected Framework, Architecture best practices for Azure API Management. The full checklist and per-recommendation detail are maintained by Microsoft at learn.microsoft.com and are summarised, not reproduced, here.</w:t>
      </w:r>
    </w:p>
    <w:p w14:paraId="498A0AAB"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49" w:name="_Toc240539773"/>
      <w:r>
        <w:rPr>
          <w:rFonts w:asciiTheme="minorHAnsi" w:eastAsia="Times New Roman" w:hAnsiTheme="minorHAnsi" w:cs="Times New Roman"/>
          <w:b w:val="0"/>
          <w:color w:val="132040" w:themeColor="accent1" w:themeShade="BF"/>
          <w:sz w:val="24"/>
          <w:szCs w:val="26"/>
          <w:lang w:eastAsia="en-US"/>
        </w:rPr>
        <w:t>Glossary and Definitions</w:t>
      </w:r>
      <w:bookmarkEnd w:id="49"/>
    </w:p>
    <w:p w14:paraId="4FC82613" w14:textId="77777777" w:rsidR="002D25EA" w:rsidRDefault="002D25EA" w:rsidP="002D25EA">
      <w:pPr>
        <w:spacing w:after="140"/>
      </w:pPr>
      <w:r>
        <w:t>The terms below are used throughout this document. This glossary was relocated here from the introduction so that section 4 stays focused on scope and audience, and so the definitions sit alongside the other reference material in the appendices.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2D25EA" w14:paraId="0BEE42C8" w14:textId="77777777" w:rsidTr="00D9409F">
        <w:trPr>
          <w:tblHeader/>
        </w:trPr>
        <w:tc>
          <w:tcPr>
            <w:tcW w:w="4650" w:type="dxa"/>
            <w:shd w:val="clear" w:color="auto" w:fill="1E2761"/>
            <w:tcMar>
              <w:top w:w="70" w:type="dxa"/>
              <w:left w:w="100" w:type="dxa"/>
              <w:bottom w:w="70" w:type="dxa"/>
              <w:right w:w="100" w:type="dxa"/>
            </w:tcMar>
            <w:vAlign w:val="center"/>
          </w:tcPr>
          <w:p w14:paraId="4C698C94" w14:textId="77777777" w:rsidR="002D25EA" w:rsidRDefault="002D25EA" w:rsidP="00D9409F">
            <w:r>
              <w:rPr>
                <w:b/>
                <w:bCs/>
                <w:color w:val="FFFFFF"/>
                <w:sz w:val="18"/>
                <w:szCs w:val="18"/>
              </w:rPr>
              <w:t>Term</w:t>
            </w:r>
          </w:p>
        </w:tc>
        <w:tc>
          <w:tcPr>
            <w:tcW w:w="4650" w:type="dxa"/>
            <w:shd w:val="clear" w:color="auto" w:fill="1E2761"/>
            <w:tcMar>
              <w:top w:w="70" w:type="dxa"/>
              <w:left w:w="100" w:type="dxa"/>
              <w:bottom w:w="70" w:type="dxa"/>
              <w:right w:w="100" w:type="dxa"/>
            </w:tcMar>
            <w:vAlign w:val="center"/>
          </w:tcPr>
          <w:p w14:paraId="0842F644" w14:textId="77777777" w:rsidR="002D25EA" w:rsidRDefault="002D25EA" w:rsidP="00D9409F">
            <w:r>
              <w:rPr>
                <w:b/>
                <w:bCs/>
                <w:color w:val="FFFFFF"/>
                <w:sz w:val="18"/>
                <w:szCs w:val="18"/>
              </w:rPr>
              <w:t>Meaning</w:t>
            </w:r>
          </w:p>
        </w:tc>
      </w:tr>
      <w:tr w:rsidR="002D25EA" w14:paraId="03D4F820" w14:textId="77777777" w:rsidTr="00D9409F">
        <w:tc>
          <w:tcPr>
            <w:tcW w:w="4650" w:type="dxa"/>
            <w:tcMar>
              <w:top w:w="70" w:type="dxa"/>
              <w:left w:w="100" w:type="dxa"/>
              <w:bottom w:w="70" w:type="dxa"/>
              <w:right w:w="100" w:type="dxa"/>
            </w:tcMar>
            <w:vAlign w:val="center"/>
          </w:tcPr>
          <w:p w14:paraId="4E84AF59" w14:textId="77777777" w:rsidR="002D25EA" w:rsidRDefault="002D25EA" w:rsidP="00D9409F">
            <w:r>
              <w:rPr>
                <w:sz w:val="18"/>
                <w:szCs w:val="18"/>
              </w:rPr>
              <w:t>APIM</w:t>
            </w:r>
          </w:p>
        </w:tc>
        <w:tc>
          <w:tcPr>
            <w:tcW w:w="4650" w:type="dxa"/>
            <w:tcMar>
              <w:top w:w="70" w:type="dxa"/>
              <w:left w:w="100" w:type="dxa"/>
              <w:bottom w:w="70" w:type="dxa"/>
              <w:right w:w="100" w:type="dxa"/>
            </w:tcMar>
            <w:vAlign w:val="center"/>
          </w:tcPr>
          <w:p w14:paraId="5347C81E" w14:textId="77777777" w:rsidR="002D25EA" w:rsidRDefault="002D25EA" w:rsidP="00D9409F">
            <w:r>
              <w:rPr>
                <w:sz w:val="18"/>
                <w:szCs w:val="18"/>
              </w:rPr>
              <w:t>Azure API Management, the managed API gateway service</w:t>
            </w:r>
          </w:p>
        </w:tc>
      </w:tr>
      <w:tr w:rsidR="002D25EA" w14:paraId="4E68DFF9" w14:textId="77777777" w:rsidTr="00D9409F">
        <w:tc>
          <w:tcPr>
            <w:tcW w:w="4650" w:type="dxa"/>
            <w:tcMar>
              <w:top w:w="70" w:type="dxa"/>
              <w:left w:w="100" w:type="dxa"/>
              <w:bottom w:w="70" w:type="dxa"/>
              <w:right w:w="100" w:type="dxa"/>
            </w:tcMar>
            <w:vAlign w:val="center"/>
          </w:tcPr>
          <w:p w14:paraId="1C3F9335" w14:textId="77777777" w:rsidR="002D25EA" w:rsidRDefault="002D25EA" w:rsidP="00D9409F">
            <w:r>
              <w:rPr>
                <w:sz w:val="18"/>
                <w:szCs w:val="18"/>
              </w:rPr>
              <w:t>WAF</w:t>
            </w:r>
          </w:p>
        </w:tc>
        <w:tc>
          <w:tcPr>
            <w:tcW w:w="4650" w:type="dxa"/>
            <w:tcMar>
              <w:top w:w="70" w:type="dxa"/>
              <w:left w:w="100" w:type="dxa"/>
              <w:bottom w:w="70" w:type="dxa"/>
              <w:right w:w="100" w:type="dxa"/>
            </w:tcMar>
            <w:vAlign w:val="center"/>
          </w:tcPr>
          <w:p w14:paraId="4DFF18D7" w14:textId="77777777" w:rsidR="002D25EA" w:rsidRDefault="002D25EA" w:rsidP="00D9409F">
            <w:r>
              <w:rPr>
                <w:sz w:val="18"/>
                <w:szCs w:val="18"/>
              </w:rPr>
              <w:t>Web Application Firewall</w:t>
            </w:r>
          </w:p>
        </w:tc>
      </w:tr>
      <w:tr w:rsidR="002D25EA" w14:paraId="501858F0" w14:textId="77777777" w:rsidTr="00D9409F">
        <w:tc>
          <w:tcPr>
            <w:tcW w:w="4650" w:type="dxa"/>
            <w:tcMar>
              <w:top w:w="70" w:type="dxa"/>
              <w:left w:w="100" w:type="dxa"/>
              <w:bottom w:w="70" w:type="dxa"/>
              <w:right w:w="100" w:type="dxa"/>
            </w:tcMar>
            <w:vAlign w:val="center"/>
          </w:tcPr>
          <w:p w14:paraId="28653491" w14:textId="77777777" w:rsidR="002D25EA" w:rsidRDefault="002D25EA" w:rsidP="00D9409F">
            <w:r>
              <w:rPr>
                <w:sz w:val="18"/>
                <w:szCs w:val="18"/>
              </w:rPr>
              <w:t>Entra ID</w:t>
            </w:r>
          </w:p>
        </w:tc>
        <w:tc>
          <w:tcPr>
            <w:tcW w:w="4650" w:type="dxa"/>
            <w:tcMar>
              <w:top w:w="70" w:type="dxa"/>
              <w:left w:w="100" w:type="dxa"/>
              <w:bottom w:w="70" w:type="dxa"/>
              <w:right w:w="100" w:type="dxa"/>
            </w:tcMar>
            <w:vAlign w:val="center"/>
          </w:tcPr>
          <w:p w14:paraId="4D9E61BC" w14:textId="77777777" w:rsidR="002D25EA" w:rsidRDefault="002D25EA" w:rsidP="00D9409F">
            <w:r>
              <w:rPr>
                <w:sz w:val="18"/>
                <w:szCs w:val="18"/>
              </w:rPr>
              <w:t>Microsoft Entra ID, the identity provider (formerly Azure AD)</w:t>
            </w:r>
          </w:p>
        </w:tc>
      </w:tr>
      <w:tr w:rsidR="002D25EA" w14:paraId="14B20E4B" w14:textId="77777777" w:rsidTr="00D9409F">
        <w:tc>
          <w:tcPr>
            <w:tcW w:w="4650" w:type="dxa"/>
            <w:tcMar>
              <w:top w:w="70" w:type="dxa"/>
              <w:left w:w="100" w:type="dxa"/>
              <w:bottom w:w="70" w:type="dxa"/>
              <w:right w:w="100" w:type="dxa"/>
            </w:tcMar>
            <w:vAlign w:val="center"/>
          </w:tcPr>
          <w:p w14:paraId="5118E1C1" w14:textId="77777777" w:rsidR="002D25EA" w:rsidRDefault="002D25EA" w:rsidP="00D9409F">
            <w:r>
              <w:rPr>
                <w:sz w:val="18"/>
                <w:szCs w:val="18"/>
              </w:rPr>
              <w:t>UDR</w:t>
            </w:r>
          </w:p>
        </w:tc>
        <w:tc>
          <w:tcPr>
            <w:tcW w:w="4650" w:type="dxa"/>
            <w:tcMar>
              <w:top w:w="70" w:type="dxa"/>
              <w:left w:w="100" w:type="dxa"/>
              <w:bottom w:w="70" w:type="dxa"/>
              <w:right w:w="100" w:type="dxa"/>
            </w:tcMar>
            <w:vAlign w:val="center"/>
          </w:tcPr>
          <w:p w14:paraId="4299788A" w14:textId="77777777" w:rsidR="002D25EA" w:rsidRDefault="002D25EA" w:rsidP="00D9409F">
            <w:r>
              <w:rPr>
                <w:sz w:val="18"/>
                <w:szCs w:val="18"/>
              </w:rPr>
              <w:t>User-Defined Route, a custom route-table entry</w:t>
            </w:r>
          </w:p>
        </w:tc>
      </w:tr>
      <w:tr w:rsidR="002D25EA" w14:paraId="6283739C" w14:textId="77777777" w:rsidTr="00D9409F">
        <w:tc>
          <w:tcPr>
            <w:tcW w:w="4650" w:type="dxa"/>
            <w:tcMar>
              <w:top w:w="70" w:type="dxa"/>
              <w:left w:w="100" w:type="dxa"/>
              <w:bottom w:w="70" w:type="dxa"/>
              <w:right w:w="100" w:type="dxa"/>
            </w:tcMar>
            <w:vAlign w:val="center"/>
          </w:tcPr>
          <w:p w14:paraId="0DDB03A7" w14:textId="77777777" w:rsidR="002D25EA" w:rsidRDefault="002D25EA" w:rsidP="00D9409F">
            <w:r>
              <w:rPr>
                <w:sz w:val="18"/>
                <w:szCs w:val="18"/>
              </w:rPr>
              <w:t>NVA</w:t>
            </w:r>
          </w:p>
        </w:tc>
        <w:tc>
          <w:tcPr>
            <w:tcW w:w="4650" w:type="dxa"/>
            <w:tcMar>
              <w:top w:w="70" w:type="dxa"/>
              <w:left w:w="100" w:type="dxa"/>
              <w:bottom w:w="70" w:type="dxa"/>
              <w:right w:w="100" w:type="dxa"/>
            </w:tcMar>
            <w:vAlign w:val="center"/>
          </w:tcPr>
          <w:p w14:paraId="2627DE2F" w14:textId="77777777" w:rsidR="002D25EA" w:rsidRDefault="002D25EA" w:rsidP="00D9409F">
            <w:r>
              <w:rPr>
                <w:sz w:val="18"/>
                <w:szCs w:val="18"/>
              </w:rPr>
              <w:t>Network Virtual Appliance, here the Palo Alto firewall</w:t>
            </w:r>
          </w:p>
        </w:tc>
      </w:tr>
      <w:tr w:rsidR="002D25EA" w14:paraId="7C6E531B" w14:textId="77777777" w:rsidTr="00D9409F">
        <w:tc>
          <w:tcPr>
            <w:tcW w:w="4650" w:type="dxa"/>
            <w:tcMar>
              <w:top w:w="70" w:type="dxa"/>
              <w:left w:w="100" w:type="dxa"/>
              <w:bottom w:w="70" w:type="dxa"/>
              <w:right w:w="100" w:type="dxa"/>
            </w:tcMar>
            <w:vAlign w:val="center"/>
          </w:tcPr>
          <w:p w14:paraId="67F70CE6" w14:textId="77777777" w:rsidR="002D25EA" w:rsidRDefault="002D25EA" w:rsidP="00D9409F">
            <w:r>
              <w:rPr>
                <w:sz w:val="18"/>
                <w:szCs w:val="18"/>
              </w:rPr>
              <w:t>APIOps</w:t>
            </w:r>
          </w:p>
        </w:tc>
        <w:tc>
          <w:tcPr>
            <w:tcW w:w="4650" w:type="dxa"/>
            <w:tcMar>
              <w:top w:w="70" w:type="dxa"/>
              <w:left w:w="100" w:type="dxa"/>
              <w:bottom w:w="70" w:type="dxa"/>
              <w:right w:w="100" w:type="dxa"/>
            </w:tcMar>
            <w:vAlign w:val="center"/>
          </w:tcPr>
          <w:p w14:paraId="0BB6BC9C" w14:textId="77777777" w:rsidR="002D25EA" w:rsidRDefault="002D25EA" w:rsidP="00D9409F">
            <w:r>
              <w:rPr>
                <w:sz w:val="18"/>
                <w:szCs w:val="18"/>
              </w:rPr>
              <w:t>Managing APIM configuration as code through a CI/CD pipeline</w:t>
            </w:r>
          </w:p>
        </w:tc>
      </w:tr>
      <w:tr w:rsidR="002D25EA" w14:paraId="48E64910" w14:textId="77777777" w:rsidTr="00D9409F">
        <w:tc>
          <w:tcPr>
            <w:tcW w:w="4650" w:type="dxa"/>
            <w:tcMar>
              <w:top w:w="70" w:type="dxa"/>
              <w:left w:w="100" w:type="dxa"/>
              <w:bottom w:w="70" w:type="dxa"/>
              <w:right w:w="100" w:type="dxa"/>
            </w:tcMar>
            <w:vAlign w:val="center"/>
          </w:tcPr>
          <w:p w14:paraId="2F7739FB" w14:textId="77777777" w:rsidR="002D25EA" w:rsidRDefault="002D25EA" w:rsidP="00D9409F">
            <w:r>
              <w:rPr>
                <w:sz w:val="18"/>
                <w:szCs w:val="18"/>
              </w:rPr>
              <w:t>RTO / RPO</w:t>
            </w:r>
          </w:p>
        </w:tc>
        <w:tc>
          <w:tcPr>
            <w:tcW w:w="4650" w:type="dxa"/>
            <w:tcMar>
              <w:top w:w="70" w:type="dxa"/>
              <w:left w:w="100" w:type="dxa"/>
              <w:bottom w:w="70" w:type="dxa"/>
              <w:right w:w="100" w:type="dxa"/>
            </w:tcMar>
            <w:vAlign w:val="center"/>
          </w:tcPr>
          <w:p w14:paraId="0BF81FBD" w14:textId="77777777" w:rsidR="002D25EA" w:rsidRDefault="002D25EA" w:rsidP="00D9409F">
            <w:r>
              <w:rPr>
                <w:sz w:val="18"/>
                <w:szCs w:val="18"/>
              </w:rPr>
              <w:t>Recovery Time / Point Objective</w:t>
            </w:r>
          </w:p>
        </w:tc>
      </w:tr>
      <w:tr w:rsidR="002D25EA" w14:paraId="145CB115" w14:textId="77777777" w:rsidTr="00D9409F">
        <w:tc>
          <w:tcPr>
            <w:tcW w:w="4650" w:type="dxa"/>
            <w:tcMar>
              <w:top w:w="70" w:type="dxa"/>
              <w:left w:w="100" w:type="dxa"/>
              <w:bottom w:w="70" w:type="dxa"/>
              <w:right w:w="100" w:type="dxa"/>
            </w:tcMar>
            <w:vAlign w:val="center"/>
          </w:tcPr>
          <w:p w14:paraId="458DB584" w14:textId="77777777" w:rsidR="002D25EA" w:rsidRDefault="002D25EA" w:rsidP="00D9409F">
            <w:r>
              <w:rPr>
                <w:sz w:val="18"/>
                <w:szCs w:val="18"/>
              </w:rPr>
              <w:t>mTLS</w:t>
            </w:r>
          </w:p>
        </w:tc>
        <w:tc>
          <w:tcPr>
            <w:tcW w:w="4650" w:type="dxa"/>
            <w:tcMar>
              <w:top w:w="70" w:type="dxa"/>
              <w:left w:w="100" w:type="dxa"/>
              <w:bottom w:w="70" w:type="dxa"/>
              <w:right w:w="100" w:type="dxa"/>
            </w:tcMar>
            <w:vAlign w:val="center"/>
          </w:tcPr>
          <w:p w14:paraId="68796676" w14:textId="77777777" w:rsidR="002D25EA" w:rsidRDefault="002D25EA" w:rsidP="00D9409F">
            <w:r>
              <w:rPr>
                <w:sz w:val="18"/>
                <w:szCs w:val="18"/>
              </w:rPr>
              <w:t>Mutual TLS</w:t>
            </w:r>
          </w:p>
        </w:tc>
      </w:tr>
    </w:tbl>
    <w:p w14:paraId="430241E7"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50" w:name="_Toc240539774"/>
      <w:r>
        <w:rPr>
          <w:rFonts w:asciiTheme="minorHAnsi" w:eastAsia="Times New Roman" w:hAnsiTheme="minorHAnsi" w:cs="Times New Roman"/>
          <w:b w:val="0"/>
          <w:color w:val="132040" w:themeColor="accent1" w:themeShade="BF"/>
          <w:sz w:val="24"/>
          <w:szCs w:val="26"/>
          <w:lang w:eastAsia="en-US"/>
        </w:rPr>
        <w:t>Non-Functional Requirements</w:t>
      </w:r>
      <w:bookmarkEnd w:id="50"/>
    </w:p>
    <w:p w14:paraId="48A71B80" w14:textId="77777777" w:rsidR="002D25EA" w:rsidRDefault="002D25EA" w:rsidP="002D25EA">
      <w:pPr>
        <w:spacing w:after="140"/>
      </w:pPr>
      <w:r>
        <w:t>These are the measurable targets the design is assured against (see section 13 testing). Values marked to confirm depend on the Organization inputs: chiefly expected and peak load: and are placeholders until provided.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00"/>
      </w:tblGrid>
      <w:tr w:rsidR="002D25EA" w14:paraId="27E2064B" w14:textId="77777777" w:rsidTr="00D9409F">
        <w:trPr>
          <w:tblHeader/>
        </w:trPr>
        <w:tc>
          <w:tcPr>
            <w:tcW w:w="2600" w:type="dxa"/>
            <w:shd w:val="clear" w:color="auto" w:fill="1E2761"/>
            <w:tcMar>
              <w:top w:w="70" w:type="dxa"/>
              <w:left w:w="100" w:type="dxa"/>
              <w:bottom w:w="70" w:type="dxa"/>
              <w:right w:w="100" w:type="dxa"/>
            </w:tcMar>
          </w:tcPr>
          <w:p w14:paraId="4DD6DC82" w14:textId="77777777" w:rsidR="002D25EA" w:rsidRDefault="002D25EA" w:rsidP="00D9409F">
            <w:r>
              <w:rPr>
                <w:b/>
                <w:bCs/>
                <w:color w:val="FFFFFF"/>
                <w:sz w:val="18"/>
                <w:szCs w:val="18"/>
              </w:rPr>
              <w:t>Non-functional requirement</w:t>
            </w:r>
          </w:p>
        </w:tc>
        <w:tc>
          <w:tcPr>
            <w:tcW w:w="3800" w:type="dxa"/>
            <w:shd w:val="clear" w:color="auto" w:fill="1E2761"/>
            <w:tcMar>
              <w:top w:w="70" w:type="dxa"/>
              <w:left w:w="100" w:type="dxa"/>
              <w:bottom w:w="70" w:type="dxa"/>
              <w:right w:w="100" w:type="dxa"/>
            </w:tcMar>
          </w:tcPr>
          <w:p w14:paraId="46D64D5B" w14:textId="77777777" w:rsidR="002D25EA" w:rsidRDefault="002D25EA" w:rsidP="00D9409F">
            <w:r>
              <w:rPr>
                <w:b/>
                <w:bCs/>
                <w:color w:val="FFFFFF"/>
                <w:sz w:val="18"/>
                <w:szCs w:val="18"/>
              </w:rPr>
              <w:t>Target</w:t>
            </w:r>
          </w:p>
        </w:tc>
        <w:tc>
          <w:tcPr>
            <w:tcW w:w="2900" w:type="dxa"/>
            <w:shd w:val="clear" w:color="auto" w:fill="1E2761"/>
            <w:tcMar>
              <w:top w:w="70" w:type="dxa"/>
              <w:left w:w="100" w:type="dxa"/>
              <w:bottom w:w="70" w:type="dxa"/>
              <w:right w:w="100" w:type="dxa"/>
            </w:tcMar>
          </w:tcPr>
          <w:p w14:paraId="266265A4" w14:textId="77777777" w:rsidR="002D25EA" w:rsidRDefault="002D25EA" w:rsidP="00D9409F">
            <w:r>
              <w:rPr>
                <w:b/>
                <w:bCs/>
                <w:color w:val="FFFFFF"/>
                <w:sz w:val="18"/>
                <w:szCs w:val="18"/>
              </w:rPr>
              <w:t>Notes</w:t>
            </w:r>
          </w:p>
        </w:tc>
      </w:tr>
      <w:tr w:rsidR="002D25EA" w14:paraId="5EBD4C3C" w14:textId="77777777" w:rsidTr="00D9409F">
        <w:tc>
          <w:tcPr>
            <w:tcW w:w="2600" w:type="dxa"/>
            <w:tcMar>
              <w:top w:w="70" w:type="dxa"/>
              <w:left w:w="100" w:type="dxa"/>
              <w:bottom w:w="70" w:type="dxa"/>
              <w:right w:w="100" w:type="dxa"/>
            </w:tcMar>
          </w:tcPr>
          <w:p w14:paraId="25182A30" w14:textId="77777777" w:rsidR="002D25EA" w:rsidRDefault="002D25EA" w:rsidP="00D9409F">
            <w:r>
              <w:rPr>
                <w:sz w:val="18"/>
                <w:szCs w:val="18"/>
              </w:rPr>
              <w:t>Gateway-added latency</w:t>
            </w:r>
          </w:p>
        </w:tc>
        <w:tc>
          <w:tcPr>
            <w:tcW w:w="3800" w:type="dxa"/>
            <w:tcMar>
              <w:top w:w="70" w:type="dxa"/>
              <w:left w:w="100" w:type="dxa"/>
              <w:bottom w:w="70" w:type="dxa"/>
              <w:right w:w="100" w:type="dxa"/>
            </w:tcMar>
          </w:tcPr>
          <w:p w14:paraId="2B173D18" w14:textId="77777777" w:rsidR="002D25EA" w:rsidRDefault="002D25EA" w:rsidP="00D9409F">
            <w:r>
              <w:rPr>
                <w:sz w:val="18"/>
                <w:szCs w:val="18"/>
              </w:rPr>
              <w:t>p95 &lt; 50 ms, p99 &lt; 100 ms added by APIM (excluding backend)</w:t>
            </w:r>
          </w:p>
        </w:tc>
        <w:tc>
          <w:tcPr>
            <w:tcW w:w="2900" w:type="dxa"/>
            <w:tcMar>
              <w:top w:w="70" w:type="dxa"/>
              <w:left w:w="100" w:type="dxa"/>
              <w:bottom w:w="70" w:type="dxa"/>
              <w:right w:w="100" w:type="dxa"/>
            </w:tcMar>
          </w:tcPr>
          <w:p w14:paraId="358F8A66" w14:textId="77777777" w:rsidR="002D25EA" w:rsidRDefault="002D25EA" w:rsidP="00D9409F">
            <w:r>
              <w:rPr>
                <w:sz w:val="18"/>
                <w:szCs w:val="18"/>
              </w:rPr>
              <w:t>Policy-dependent; validate under load</w:t>
            </w:r>
          </w:p>
        </w:tc>
      </w:tr>
      <w:tr w:rsidR="002D25EA" w14:paraId="304422D1" w14:textId="77777777" w:rsidTr="00D9409F">
        <w:tc>
          <w:tcPr>
            <w:tcW w:w="2600" w:type="dxa"/>
            <w:tcMar>
              <w:top w:w="70" w:type="dxa"/>
              <w:left w:w="100" w:type="dxa"/>
              <w:bottom w:w="70" w:type="dxa"/>
              <w:right w:w="100" w:type="dxa"/>
            </w:tcMar>
          </w:tcPr>
          <w:p w14:paraId="1F228A31" w14:textId="77777777" w:rsidR="002D25EA" w:rsidRDefault="002D25EA" w:rsidP="00D9409F">
            <w:r>
              <w:rPr>
                <w:sz w:val="18"/>
                <w:szCs w:val="18"/>
              </w:rPr>
              <w:t>End-to-end latency</w:t>
            </w:r>
          </w:p>
        </w:tc>
        <w:tc>
          <w:tcPr>
            <w:tcW w:w="3800" w:type="dxa"/>
            <w:tcMar>
              <w:top w:w="70" w:type="dxa"/>
              <w:left w:w="100" w:type="dxa"/>
              <w:bottom w:w="70" w:type="dxa"/>
              <w:right w:w="100" w:type="dxa"/>
            </w:tcMar>
          </w:tcPr>
          <w:p w14:paraId="0B1C3EF7" w14:textId="77777777" w:rsidR="002D25EA" w:rsidRDefault="002D25EA" w:rsidP="00D9409F">
            <w:r>
              <w:rPr>
                <w:sz w:val="18"/>
                <w:szCs w:val="18"/>
              </w:rPr>
              <w:t>p95 &lt; 500 ms</w:t>
            </w:r>
          </w:p>
        </w:tc>
        <w:tc>
          <w:tcPr>
            <w:tcW w:w="2900" w:type="dxa"/>
            <w:tcMar>
              <w:top w:w="70" w:type="dxa"/>
              <w:left w:w="100" w:type="dxa"/>
              <w:bottom w:w="70" w:type="dxa"/>
              <w:right w:w="100" w:type="dxa"/>
            </w:tcMar>
          </w:tcPr>
          <w:p w14:paraId="55A82FF1" w14:textId="77777777" w:rsidR="002D25EA" w:rsidRDefault="002D25EA" w:rsidP="00D9409F">
            <w:r>
              <w:rPr>
                <w:sz w:val="18"/>
                <w:szCs w:val="18"/>
              </w:rPr>
              <w:t>Aligns with the existing p95 alert; backend-dependent</w:t>
            </w:r>
          </w:p>
        </w:tc>
      </w:tr>
      <w:tr w:rsidR="002D25EA" w14:paraId="376148A2" w14:textId="77777777" w:rsidTr="00D9409F">
        <w:tc>
          <w:tcPr>
            <w:tcW w:w="2600" w:type="dxa"/>
            <w:tcMar>
              <w:top w:w="70" w:type="dxa"/>
              <w:left w:w="100" w:type="dxa"/>
              <w:bottom w:w="70" w:type="dxa"/>
              <w:right w:w="100" w:type="dxa"/>
            </w:tcMar>
          </w:tcPr>
          <w:p w14:paraId="40F885D7" w14:textId="77777777" w:rsidR="002D25EA" w:rsidRDefault="002D25EA" w:rsidP="00D9409F">
            <w:r>
              <w:rPr>
                <w:sz w:val="18"/>
                <w:szCs w:val="18"/>
              </w:rPr>
              <w:t>Throughput</w:t>
            </w:r>
          </w:p>
        </w:tc>
        <w:tc>
          <w:tcPr>
            <w:tcW w:w="3800" w:type="dxa"/>
            <w:tcMar>
              <w:top w:w="70" w:type="dxa"/>
              <w:left w:w="100" w:type="dxa"/>
              <w:bottom w:w="70" w:type="dxa"/>
              <w:right w:w="100" w:type="dxa"/>
            </w:tcMar>
          </w:tcPr>
          <w:p w14:paraId="193361C0" w14:textId="77777777" w:rsidR="002D25EA" w:rsidRDefault="002D25EA" w:rsidP="00D9409F">
            <w:r>
              <w:rPr>
                <w:sz w:val="18"/>
                <w:szCs w:val="18"/>
              </w:rPr>
              <w:t>Sized to the Organization peak RPS (to confirm); ~1,000 req/s per unit planning figure</w:t>
            </w:r>
          </w:p>
        </w:tc>
        <w:tc>
          <w:tcPr>
            <w:tcW w:w="2900" w:type="dxa"/>
            <w:tcMar>
              <w:top w:w="70" w:type="dxa"/>
              <w:left w:w="100" w:type="dxa"/>
              <w:bottom w:w="70" w:type="dxa"/>
              <w:right w:w="100" w:type="dxa"/>
            </w:tcMar>
          </w:tcPr>
          <w:p w14:paraId="6339B1A7" w14:textId="77777777" w:rsidR="002D25EA" w:rsidRDefault="002D25EA" w:rsidP="00D9409F">
            <w:r>
              <w:rPr>
                <w:sz w:val="18"/>
                <w:szCs w:val="18"/>
              </w:rPr>
              <w:t>Scale on the capacity metric</w:t>
            </w:r>
          </w:p>
        </w:tc>
      </w:tr>
      <w:tr w:rsidR="002D25EA" w14:paraId="70AA4F8E" w14:textId="77777777" w:rsidTr="00D9409F">
        <w:tc>
          <w:tcPr>
            <w:tcW w:w="2600" w:type="dxa"/>
            <w:tcMar>
              <w:top w:w="70" w:type="dxa"/>
              <w:left w:w="100" w:type="dxa"/>
              <w:bottom w:w="70" w:type="dxa"/>
              <w:right w:w="100" w:type="dxa"/>
            </w:tcMar>
          </w:tcPr>
          <w:p w14:paraId="2A2C3716" w14:textId="77777777" w:rsidR="002D25EA" w:rsidRDefault="002D25EA" w:rsidP="00D9409F">
            <w:r>
              <w:rPr>
                <w:sz w:val="18"/>
                <w:szCs w:val="18"/>
              </w:rPr>
              <w:t>Concurrent connections</w:t>
            </w:r>
          </w:p>
        </w:tc>
        <w:tc>
          <w:tcPr>
            <w:tcW w:w="3800" w:type="dxa"/>
            <w:tcMar>
              <w:top w:w="70" w:type="dxa"/>
              <w:left w:w="100" w:type="dxa"/>
              <w:bottom w:w="70" w:type="dxa"/>
              <w:right w:w="100" w:type="dxa"/>
            </w:tcMar>
          </w:tcPr>
          <w:p w14:paraId="7D49FE5C" w14:textId="77777777" w:rsidR="002D25EA" w:rsidRDefault="002D25EA" w:rsidP="00D9409F">
            <w:r>
              <w:rPr>
                <w:sz w:val="18"/>
                <w:szCs w:val="18"/>
              </w:rPr>
              <w:t>Meet peak concurrency within gateway limits</w:t>
            </w:r>
          </w:p>
        </w:tc>
        <w:tc>
          <w:tcPr>
            <w:tcW w:w="2900" w:type="dxa"/>
            <w:tcMar>
              <w:top w:w="70" w:type="dxa"/>
              <w:left w:w="100" w:type="dxa"/>
              <w:bottom w:w="70" w:type="dxa"/>
              <w:right w:w="100" w:type="dxa"/>
            </w:tcMar>
          </w:tcPr>
          <w:p w14:paraId="1AB0188B" w14:textId="77777777" w:rsidR="002D25EA" w:rsidRDefault="002D25EA" w:rsidP="00D9409F">
            <w:r>
              <w:rPr>
                <w:sz w:val="18"/>
                <w:szCs w:val="18"/>
              </w:rPr>
              <w:t>Validate against documented APIM gateway limits</w:t>
            </w:r>
          </w:p>
        </w:tc>
      </w:tr>
      <w:tr w:rsidR="002D25EA" w14:paraId="2DEB8884" w14:textId="77777777" w:rsidTr="00D9409F">
        <w:tc>
          <w:tcPr>
            <w:tcW w:w="2600" w:type="dxa"/>
            <w:tcMar>
              <w:top w:w="70" w:type="dxa"/>
              <w:left w:w="100" w:type="dxa"/>
              <w:bottom w:w="70" w:type="dxa"/>
              <w:right w:w="100" w:type="dxa"/>
            </w:tcMar>
          </w:tcPr>
          <w:p w14:paraId="50BAEA3A" w14:textId="77777777" w:rsidR="002D25EA" w:rsidRDefault="002D25EA" w:rsidP="00D9409F">
            <w:r>
              <w:rPr>
                <w:sz w:val="18"/>
                <w:szCs w:val="18"/>
              </w:rPr>
              <w:t>Gateway availability</w:t>
            </w:r>
          </w:p>
        </w:tc>
        <w:tc>
          <w:tcPr>
            <w:tcW w:w="3800" w:type="dxa"/>
            <w:tcMar>
              <w:top w:w="70" w:type="dxa"/>
              <w:left w:w="100" w:type="dxa"/>
              <w:bottom w:w="70" w:type="dxa"/>
              <w:right w:w="100" w:type="dxa"/>
            </w:tcMar>
          </w:tcPr>
          <w:p w14:paraId="2DB8A5C9" w14:textId="77777777" w:rsidR="002D25EA" w:rsidRDefault="002D25EA" w:rsidP="00D9409F">
            <w:r>
              <w:rPr>
                <w:sz w:val="18"/>
                <w:szCs w:val="18"/>
              </w:rPr>
              <w:t>≥ 99.95% (multi-region + zones support higher)</w:t>
            </w:r>
          </w:p>
        </w:tc>
        <w:tc>
          <w:tcPr>
            <w:tcW w:w="2900" w:type="dxa"/>
            <w:tcMar>
              <w:top w:w="70" w:type="dxa"/>
              <w:left w:w="100" w:type="dxa"/>
              <w:bottom w:w="70" w:type="dxa"/>
              <w:right w:w="100" w:type="dxa"/>
            </w:tcMar>
          </w:tcPr>
          <w:p w14:paraId="1FBCED62" w14:textId="77777777" w:rsidR="002D25EA" w:rsidRDefault="002D25EA" w:rsidP="00D9409F">
            <w:r>
              <w:rPr>
                <w:sz w:val="18"/>
                <w:szCs w:val="18"/>
              </w:rPr>
              <w:t>SLA-backed</w:t>
            </w:r>
          </w:p>
        </w:tc>
      </w:tr>
      <w:tr w:rsidR="002D25EA" w14:paraId="154C4E48" w14:textId="77777777" w:rsidTr="00D9409F">
        <w:tc>
          <w:tcPr>
            <w:tcW w:w="2600" w:type="dxa"/>
            <w:tcMar>
              <w:top w:w="70" w:type="dxa"/>
              <w:left w:w="100" w:type="dxa"/>
              <w:bottom w:w="70" w:type="dxa"/>
              <w:right w:w="100" w:type="dxa"/>
            </w:tcMar>
          </w:tcPr>
          <w:p w14:paraId="3FE10778" w14:textId="77777777" w:rsidR="002D25EA" w:rsidRDefault="002D25EA" w:rsidP="00D9409F">
            <w:r>
              <w:rPr>
                <w:sz w:val="18"/>
                <w:szCs w:val="18"/>
              </w:rPr>
              <w:t>RTO (regional failover)</w:t>
            </w:r>
          </w:p>
        </w:tc>
        <w:tc>
          <w:tcPr>
            <w:tcW w:w="3800" w:type="dxa"/>
            <w:tcMar>
              <w:top w:w="70" w:type="dxa"/>
              <w:left w:w="100" w:type="dxa"/>
              <w:bottom w:w="70" w:type="dxa"/>
              <w:right w:w="100" w:type="dxa"/>
            </w:tcMar>
          </w:tcPr>
          <w:p w14:paraId="36E8666E" w14:textId="77777777" w:rsidR="002D25EA" w:rsidRDefault="002D25EA" w:rsidP="00D9409F">
            <w:r>
              <w:rPr>
                <w:sz w:val="18"/>
                <w:szCs w:val="18"/>
              </w:rPr>
              <w:t>&lt; 30 minutes</w:t>
            </w:r>
          </w:p>
        </w:tc>
        <w:tc>
          <w:tcPr>
            <w:tcW w:w="2900" w:type="dxa"/>
            <w:tcMar>
              <w:top w:w="70" w:type="dxa"/>
              <w:left w:w="100" w:type="dxa"/>
              <w:bottom w:w="70" w:type="dxa"/>
              <w:right w:w="100" w:type="dxa"/>
            </w:tcMar>
          </w:tcPr>
          <w:p w14:paraId="0CAE49A7" w14:textId="77777777" w:rsidR="002D25EA" w:rsidRDefault="002D25EA" w:rsidP="00D9409F">
            <w:r>
              <w:rPr>
                <w:sz w:val="18"/>
                <w:szCs w:val="18"/>
              </w:rPr>
              <w:t>Front Door automatic failover; proven by DR test</w:t>
            </w:r>
          </w:p>
        </w:tc>
      </w:tr>
      <w:tr w:rsidR="002D25EA" w14:paraId="5B05AF71" w14:textId="77777777" w:rsidTr="00D9409F">
        <w:tc>
          <w:tcPr>
            <w:tcW w:w="2600" w:type="dxa"/>
            <w:tcMar>
              <w:top w:w="70" w:type="dxa"/>
              <w:left w:w="100" w:type="dxa"/>
              <w:bottom w:w="70" w:type="dxa"/>
              <w:right w:w="100" w:type="dxa"/>
            </w:tcMar>
          </w:tcPr>
          <w:p w14:paraId="2B63E5FE" w14:textId="77777777" w:rsidR="002D25EA" w:rsidRDefault="002D25EA" w:rsidP="00D9409F">
            <w:r>
              <w:rPr>
                <w:sz w:val="18"/>
                <w:szCs w:val="18"/>
              </w:rPr>
              <w:t>RPO (configuration)</w:t>
            </w:r>
          </w:p>
        </w:tc>
        <w:tc>
          <w:tcPr>
            <w:tcW w:w="3800" w:type="dxa"/>
            <w:tcMar>
              <w:top w:w="70" w:type="dxa"/>
              <w:left w:w="100" w:type="dxa"/>
              <w:bottom w:w="70" w:type="dxa"/>
              <w:right w:w="100" w:type="dxa"/>
            </w:tcMar>
          </w:tcPr>
          <w:p w14:paraId="327AFFD7" w14:textId="77777777" w:rsidR="002D25EA" w:rsidRDefault="002D25EA" w:rsidP="00D9409F">
            <w:r>
              <w:rPr>
                <w:sz w:val="18"/>
                <w:szCs w:val="18"/>
              </w:rPr>
              <w:t>~0</w:t>
            </w:r>
          </w:p>
        </w:tc>
        <w:tc>
          <w:tcPr>
            <w:tcW w:w="2900" w:type="dxa"/>
            <w:tcMar>
              <w:top w:w="70" w:type="dxa"/>
              <w:left w:w="100" w:type="dxa"/>
              <w:bottom w:w="70" w:type="dxa"/>
              <w:right w:w="100" w:type="dxa"/>
            </w:tcMar>
          </w:tcPr>
          <w:p w14:paraId="33B5A848" w14:textId="77777777" w:rsidR="002D25EA" w:rsidRDefault="002D25EA" w:rsidP="00D9409F">
            <w:r>
              <w:rPr>
                <w:sz w:val="18"/>
                <w:szCs w:val="18"/>
              </w:rPr>
              <w:t>APIOps/Git is the source of truth</w:t>
            </w:r>
          </w:p>
        </w:tc>
      </w:tr>
      <w:tr w:rsidR="002D25EA" w14:paraId="507005DB" w14:textId="77777777" w:rsidTr="00D9409F">
        <w:tc>
          <w:tcPr>
            <w:tcW w:w="2600" w:type="dxa"/>
            <w:tcMar>
              <w:top w:w="70" w:type="dxa"/>
              <w:left w:w="100" w:type="dxa"/>
              <w:bottom w:w="70" w:type="dxa"/>
              <w:right w:w="100" w:type="dxa"/>
            </w:tcMar>
          </w:tcPr>
          <w:p w14:paraId="0428615D" w14:textId="77777777" w:rsidR="002D25EA" w:rsidRDefault="002D25EA" w:rsidP="00D9409F">
            <w:r>
              <w:rPr>
                <w:sz w:val="18"/>
                <w:szCs w:val="18"/>
              </w:rPr>
              <w:t>Error budget</w:t>
            </w:r>
          </w:p>
        </w:tc>
        <w:tc>
          <w:tcPr>
            <w:tcW w:w="3800" w:type="dxa"/>
            <w:tcMar>
              <w:top w:w="70" w:type="dxa"/>
              <w:left w:w="100" w:type="dxa"/>
              <w:bottom w:w="70" w:type="dxa"/>
              <w:right w:w="100" w:type="dxa"/>
            </w:tcMar>
          </w:tcPr>
          <w:p w14:paraId="1C2BE210" w14:textId="77777777" w:rsidR="002D25EA" w:rsidRDefault="002D25EA" w:rsidP="00D9409F">
            <w:r>
              <w:rPr>
                <w:sz w:val="18"/>
                <w:szCs w:val="18"/>
              </w:rPr>
              <w:t>&lt; 0.1% gateway-originated 5xx</w:t>
            </w:r>
          </w:p>
        </w:tc>
        <w:tc>
          <w:tcPr>
            <w:tcW w:w="2900" w:type="dxa"/>
            <w:tcMar>
              <w:top w:w="70" w:type="dxa"/>
              <w:left w:w="100" w:type="dxa"/>
              <w:bottom w:w="70" w:type="dxa"/>
              <w:right w:w="100" w:type="dxa"/>
            </w:tcMar>
          </w:tcPr>
          <w:p w14:paraId="5A8C38E8" w14:textId="77777777" w:rsidR="002D25EA" w:rsidRDefault="002D25EA" w:rsidP="00D9409F">
            <w:r>
              <w:rPr>
                <w:sz w:val="18"/>
                <w:szCs w:val="18"/>
              </w:rPr>
              <w:t>Drives alerting threshold</w:t>
            </w:r>
          </w:p>
        </w:tc>
      </w:tr>
    </w:tbl>
    <w:p w14:paraId="749D79C6"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51" w:name="_Toc240539775"/>
      <w:r>
        <w:rPr>
          <w:rFonts w:asciiTheme="minorHAnsi" w:eastAsia="Times New Roman" w:hAnsiTheme="minorHAnsi" w:cs="Times New Roman"/>
          <w:b w:val="0"/>
          <w:color w:val="132040" w:themeColor="accent1" w:themeShade="BF"/>
          <w:sz w:val="24"/>
          <w:szCs w:val="26"/>
          <w:lang w:eastAsia="en-US"/>
        </w:rPr>
        <w:t>Sample Policy Fragments, Naming and OpenAPI Skeleton</w:t>
      </w:r>
      <w:bookmarkEnd w:id="51"/>
    </w:p>
    <w:p w14:paraId="58558B40" w14:textId="77777777" w:rsidR="002D25EA" w:rsidRDefault="002D25EA" w:rsidP="002D25EA">
      <w:pPr>
        <w:spacing w:after="140"/>
      </w:pPr>
      <w:r>
        <w:t>Illustrative artefacts to make the standards concrete for build teams. These are examples to adapt, not final the Organization policy.</w:t>
      </w:r>
    </w:p>
    <w:p w14:paraId="64CC0CDC" w14:textId="77777777" w:rsidR="002D25EA" w:rsidRDefault="002D25EA" w:rsidP="002D25EA">
      <w:pPr>
        <w:spacing w:after="140"/>
      </w:pPr>
      <w:r>
        <w:t>JWT validation (inbound), Entra ID:</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10ED5DA" w14:textId="77777777" w:rsidTr="00D9409F">
        <w:tc>
          <w:tcPr>
            <w:tcW w:w="9300" w:type="dxa"/>
            <w:shd w:val="clear" w:color="auto" w:fill="F5F5F5"/>
            <w:tcMar>
              <w:top w:w="90" w:type="dxa"/>
              <w:left w:w="140" w:type="dxa"/>
              <w:bottom w:w="90" w:type="dxa"/>
              <w:right w:w="140" w:type="dxa"/>
            </w:tcMar>
          </w:tcPr>
          <w:p w14:paraId="0316425F" w14:textId="77777777" w:rsidR="002D25EA" w:rsidRDefault="002D25EA" w:rsidP="00D9409F">
            <w:r>
              <w:rPr>
                <w:rFonts w:ascii="Consolas" w:eastAsia="Consolas" w:hAnsi="Consolas" w:cs="Consolas"/>
                <w:color w:val="1E2761"/>
                <w:sz w:val="16"/>
                <w:szCs w:val="16"/>
              </w:rPr>
              <w:lastRenderedPageBreak/>
              <w:t>&lt;validate-jwt header-name="Authorization" failed-validation-httpcode="401"</w:t>
            </w:r>
          </w:p>
          <w:p w14:paraId="07FCDFF3" w14:textId="77777777" w:rsidR="002D25EA" w:rsidRDefault="002D25EA" w:rsidP="00D9409F">
            <w:r>
              <w:rPr>
                <w:rFonts w:ascii="Consolas" w:eastAsia="Consolas" w:hAnsi="Consolas" w:cs="Consolas"/>
                <w:color w:val="1E2761"/>
                <w:sz w:val="16"/>
                <w:szCs w:val="16"/>
              </w:rPr>
              <w:t xml:space="preserve">             failed-validation-error-message="Unauthorized"&gt;</w:t>
            </w:r>
          </w:p>
          <w:p w14:paraId="0B2831EB" w14:textId="77777777" w:rsidR="002D25EA" w:rsidRDefault="002D25EA" w:rsidP="00D9409F">
            <w:r>
              <w:rPr>
                <w:rFonts w:ascii="Consolas" w:eastAsia="Consolas" w:hAnsi="Consolas" w:cs="Consolas"/>
                <w:color w:val="1E2761"/>
                <w:sz w:val="16"/>
                <w:szCs w:val="16"/>
              </w:rPr>
              <w:t xml:space="preserve">  &lt;openid-config url="https://login.microsoftonline.com/{tenant}/v2.0/.well-known/openid-configuration" /&gt;</w:t>
            </w:r>
          </w:p>
          <w:p w14:paraId="200FB72A" w14:textId="77777777" w:rsidR="002D25EA" w:rsidRDefault="002D25EA" w:rsidP="00D9409F">
            <w:r>
              <w:rPr>
                <w:rFonts w:ascii="Consolas" w:eastAsia="Consolas" w:hAnsi="Consolas" w:cs="Consolas"/>
                <w:color w:val="1E2761"/>
                <w:sz w:val="16"/>
                <w:szCs w:val="16"/>
              </w:rPr>
              <w:t xml:space="preserve">  &lt;required-claims&gt;</w:t>
            </w:r>
          </w:p>
          <w:p w14:paraId="15F296B0" w14:textId="77777777" w:rsidR="002D25EA" w:rsidRDefault="002D25EA" w:rsidP="00D9409F">
            <w:r>
              <w:rPr>
                <w:rFonts w:ascii="Consolas" w:eastAsia="Consolas" w:hAnsi="Consolas" w:cs="Consolas"/>
                <w:color w:val="1E2761"/>
                <w:sz w:val="16"/>
                <w:szCs w:val="16"/>
              </w:rPr>
              <w:t xml:space="preserve">    &lt;claim name="aud"&gt;&lt;value&gt;api://organization-apim&lt;/value&gt;&lt;/claim&gt;</w:t>
            </w:r>
          </w:p>
          <w:p w14:paraId="168B9503" w14:textId="77777777" w:rsidR="002D25EA" w:rsidRDefault="002D25EA" w:rsidP="00D9409F">
            <w:r>
              <w:rPr>
                <w:rFonts w:ascii="Consolas" w:eastAsia="Consolas" w:hAnsi="Consolas" w:cs="Consolas"/>
                <w:color w:val="1E2761"/>
                <w:sz w:val="16"/>
                <w:szCs w:val="16"/>
              </w:rPr>
              <w:t xml:space="preserve">  &lt;/required-claims&gt;</w:t>
            </w:r>
          </w:p>
          <w:p w14:paraId="03E05AFA" w14:textId="77777777" w:rsidR="002D25EA" w:rsidRDefault="002D25EA" w:rsidP="00D9409F">
            <w:r>
              <w:rPr>
                <w:rFonts w:ascii="Consolas" w:eastAsia="Consolas" w:hAnsi="Consolas" w:cs="Consolas"/>
                <w:color w:val="1E2761"/>
                <w:sz w:val="16"/>
                <w:szCs w:val="16"/>
              </w:rPr>
              <w:t>&lt;/validate-jwt&gt;</w:t>
            </w:r>
          </w:p>
        </w:tc>
      </w:tr>
    </w:tbl>
    <w:p w14:paraId="412EEC67" w14:textId="77777777" w:rsidR="002D25EA" w:rsidRDefault="002D25EA" w:rsidP="002D25EA">
      <w:pPr>
        <w:spacing w:after="140"/>
      </w:pPr>
      <w:r>
        <w:t>Rate limiting and quota, per subscription:</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3C7BE62" w14:textId="77777777" w:rsidTr="00D9409F">
        <w:tc>
          <w:tcPr>
            <w:tcW w:w="9300" w:type="dxa"/>
            <w:shd w:val="clear" w:color="auto" w:fill="F5F5F5"/>
            <w:tcMar>
              <w:top w:w="90" w:type="dxa"/>
              <w:left w:w="140" w:type="dxa"/>
              <w:bottom w:w="90" w:type="dxa"/>
              <w:right w:w="140" w:type="dxa"/>
            </w:tcMar>
          </w:tcPr>
          <w:p w14:paraId="40300DF3" w14:textId="77777777" w:rsidR="002D25EA" w:rsidRDefault="002D25EA" w:rsidP="00D9409F">
            <w:r>
              <w:rPr>
                <w:rFonts w:ascii="Consolas" w:eastAsia="Consolas" w:hAnsi="Consolas" w:cs="Consolas"/>
                <w:color w:val="1E2761"/>
                <w:sz w:val="16"/>
                <w:szCs w:val="16"/>
              </w:rPr>
              <w:t>&lt;rate-limit-by-key calls="100" renewal-period="60"</w:t>
            </w:r>
          </w:p>
          <w:p w14:paraId="0E93F7A6" w14:textId="77777777" w:rsidR="002D25EA" w:rsidRDefault="002D25EA" w:rsidP="00D9409F">
            <w:r>
              <w:rPr>
                <w:rFonts w:ascii="Consolas" w:eastAsia="Consolas" w:hAnsi="Consolas" w:cs="Consolas"/>
                <w:color w:val="1E2761"/>
                <w:sz w:val="16"/>
                <w:szCs w:val="16"/>
              </w:rPr>
              <w:t xml:space="preserve">                   counter-key="@(context.Subscription.Id)" /&gt;</w:t>
            </w:r>
          </w:p>
          <w:p w14:paraId="5D906302" w14:textId="77777777" w:rsidR="002D25EA" w:rsidRDefault="002D25EA" w:rsidP="00D9409F">
            <w:r>
              <w:rPr>
                <w:rFonts w:ascii="Consolas" w:eastAsia="Consolas" w:hAnsi="Consolas" w:cs="Consolas"/>
                <w:color w:val="1E2761"/>
                <w:sz w:val="16"/>
                <w:szCs w:val="16"/>
              </w:rPr>
              <w:t>&lt;quota-by-key calls="100000" renewal-period="86400"</w:t>
            </w:r>
          </w:p>
          <w:p w14:paraId="07333D6A" w14:textId="77777777" w:rsidR="002D25EA" w:rsidRDefault="002D25EA" w:rsidP="00D9409F">
            <w:r>
              <w:rPr>
                <w:rFonts w:ascii="Consolas" w:eastAsia="Consolas" w:hAnsi="Consolas" w:cs="Consolas"/>
                <w:color w:val="1E2761"/>
                <w:sz w:val="16"/>
                <w:szCs w:val="16"/>
              </w:rPr>
              <w:t xml:space="preserve">              counter-key="@(context.Subscription.Id)" /&gt;</w:t>
            </w:r>
          </w:p>
        </w:tc>
      </w:tr>
    </w:tbl>
    <w:p w14:paraId="30DF9C41" w14:textId="77777777" w:rsidR="002D25EA" w:rsidRDefault="002D25EA" w:rsidP="002D25EA">
      <w:pPr>
        <w:spacing w:after="140"/>
      </w:pPr>
      <w:r>
        <w:t>Sunset header during a deprecation window (RFC 8594):</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55C76D9E" w14:textId="77777777" w:rsidTr="00D9409F">
        <w:tc>
          <w:tcPr>
            <w:tcW w:w="9300" w:type="dxa"/>
            <w:shd w:val="clear" w:color="auto" w:fill="F5F5F5"/>
            <w:tcMar>
              <w:top w:w="90" w:type="dxa"/>
              <w:left w:w="140" w:type="dxa"/>
              <w:bottom w:w="90" w:type="dxa"/>
              <w:right w:w="140" w:type="dxa"/>
            </w:tcMar>
          </w:tcPr>
          <w:p w14:paraId="0D7A3D9C" w14:textId="77777777" w:rsidR="002D25EA" w:rsidRDefault="002D25EA" w:rsidP="00D9409F">
            <w:r>
              <w:rPr>
                <w:rFonts w:ascii="Consolas" w:eastAsia="Consolas" w:hAnsi="Consolas" w:cs="Consolas"/>
                <w:color w:val="1E2761"/>
                <w:sz w:val="16"/>
                <w:szCs w:val="16"/>
              </w:rPr>
              <w:t>&lt;set-header name="Sunset" exists-action="override"&gt;</w:t>
            </w:r>
          </w:p>
          <w:p w14:paraId="259A54E7" w14:textId="77777777" w:rsidR="002D25EA" w:rsidRDefault="002D25EA" w:rsidP="00D9409F">
            <w:r>
              <w:rPr>
                <w:rFonts w:ascii="Consolas" w:eastAsia="Consolas" w:hAnsi="Consolas" w:cs="Consolas"/>
                <w:color w:val="1E2761"/>
                <w:sz w:val="16"/>
                <w:szCs w:val="16"/>
              </w:rPr>
              <w:t xml:space="preserve">  &lt;value&gt;Sat, 30 Nov 2026 23:59:59 GMT&lt;/value&gt;</w:t>
            </w:r>
          </w:p>
          <w:p w14:paraId="2CB7E37B" w14:textId="77777777" w:rsidR="002D25EA" w:rsidRDefault="002D25EA" w:rsidP="00D9409F">
            <w:r>
              <w:rPr>
                <w:rFonts w:ascii="Consolas" w:eastAsia="Consolas" w:hAnsi="Consolas" w:cs="Consolas"/>
                <w:color w:val="1E2761"/>
                <w:sz w:val="16"/>
                <w:szCs w:val="16"/>
              </w:rPr>
              <w:t>&lt;/set-header&gt;</w:t>
            </w:r>
          </w:p>
          <w:p w14:paraId="259EBD0D" w14:textId="77777777" w:rsidR="002D25EA" w:rsidRDefault="002D25EA" w:rsidP="00D9409F">
            <w:r>
              <w:rPr>
                <w:rFonts w:ascii="Consolas" w:eastAsia="Consolas" w:hAnsi="Consolas" w:cs="Consolas"/>
                <w:color w:val="1E2761"/>
                <w:sz w:val="16"/>
                <w:szCs w:val="16"/>
              </w:rPr>
              <w:t>&lt;set-header name="Deprecation" exists-action="override"&gt;&lt;value&gt;true&lt;/value&gt;&lt;/set-header&gt;</w:t>
            </w:r>
          </w:p>
        </w:tc>
      </w:tr>
    </w:tbl>
    <w:p w14:paraId="5EC534B1" w14:textId="77777777" w:rsidR="002D25EA" w:rsidRDefault="002D25EA" w:rsidP="002D25EA">
      <w:pPr>
        <w:spacing w:after="140"/>
      </w:pPr>
      <w:r>
        <w:t>Backend authentication using a managed identity (no secret in policy):</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1F01D1EC" w14:textId="77777777" w:rsidTr="00D9409F">
        <w:tc>
          <w:tcPr>
            <w:tcW w:w="9300" w:type="dxa"/>
            <w:shd w:val="clear" w:color="auto" w:fill="F5F5F5"/>
            <w:tcMar>
              <w:top w:w="90" w:type="dxa"/>
              <w:left w:w="140" w:type="dxa"/>
              <w:bottom w:w="90" w:type="dxa"/>
              <w:right w:w="140" w:type="dxa"/>
            </w:tcMar>
          </w:tcPr>
          <w:p w14:paraId="4E835287" w14:textId="77777777" w:rsidR="002D25EA" w:rsidRDefault="002D25EA" w:rsidP="00D9409F">
            <w:r>
              <w:rPr>
                <w:rFonts w:ascii="Consolas" w:eastAsia="Consolas" w:hAnsi="Consolas" w:cs="Consolas"/>
                <w:color w:val="1E2761"/>
                <w:sz w:val="16"/>
                <w:szCs w:val="16"/>
              </w:rPr>
              <w:t>&lt;authentication-managed-identity resource="api://organization-backend" /&gt;</w:t>
            </w:r>
          </w:p>
        </w:tc>
      </w:tr>
    </w:tbl>
    <w:p w14:paraId="23DF0C26" w14:textId="77777777" w:rsidR="002D25EA" w:rsidRDefault="002D25EA" w:rsidP="002D25EA">
      <w:pPr>
        <w:spacing w:after="140"/>
      </w:pPr>
      <w:r>
        <w:t>Resource and API naming examples:</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6CA9F603" w14:textId="77777777" w:rsidTr="00D9409F">
        <w:tc>
          <w:tcPr>
            <w:tcW w:w="9300" w:type="dxa"/>
            <w:shd w:val="clear" w:color="auto" w:fill="F5F5F5"/>
            <w:tcMar>
              <w:top w:w="90" w:type="dxa"/>
              <w:left w:w="140" w:type="dxa"/>
              <w:bottom w:w="90" w:type="dxa"/>
              <w:right w:w="140" w:type="dxa"/>
            </w:tcMar>
          </w:tcPr>
          <w:p w14:paraId="3EE1D73C" w14:textId="77777777" w:rsidR="002D25EA" w:rsidRDefault="002D25EA" w:rsidP="00D9409F">
            <w:r>
              <w:rPr>
                <w:rFonts w:ascii="Consolas" w:eastAsia="Consolas" w:hAnsi="Consolas" w:cs="Consolas"/>
                <w:color w:val="1E2761"/>
                <w:sz w:val="16"/>
                <w:szCs w:val="16"/>
              </w:rPr>
              <w:t>Resource group : rg-apim-prod-uksouth</w:t>
            </w:r>
          </w:p>
          <w:p w14:paraId="790AF2EF" w14:textId="77777777" w:rsidR="002D25EA" w:rsidRDefault="002D25EA" w:rsidP="00D9409F">
            <w:r>
              <w:rPr>
                <w:rFonts w:ascii="Consolas" w:eastAsia="Consolas" w:hAnsi="Consolas" w:cs="Consolas"/>
                <w:color w:val="1E2761"/>
                <w:sz w:val="16"/>
                <w:szCs w:val="16"/>
              </w:rPr>
              <w:t>APIM instance  : apim-organization-prod-uksouth</w:t>
            </w:r>
          </w:p>
          <w:p w14:paraId="3416A85F" w14:textId="77777777" w:rsidR="002D25EA" w:rsidRDefault="002D25EA" w:rsidP="00D9409F">
            <w:r>
              <w:rPr>
                <w:rFonts w:ascii="Consolas" w:eastAsia="Consolas" w:hAnsi="Consolas" w:cs="Consolas"/>
                <w:color w:val="1E2761"/>
                <w:sz w:val="16"/>
                <w:szCs w:val="16"/>
              </w:rPr>
              <w:t>API path       : /api/claims/v2/claims</w:t>
            </w:r>
          </w:p>
          <w:p w14:paraId="64460D91" w14:textId="77777777" w:rsidR="002D25EA" w:rsidRDefault="002D25EA" w:rsidP="00D9409F">
            <w:r>
              <w:rPr>
                <w:rFonts w:ascii="Consolas" w:eastAsia="Consolas" w:hAnsi="Consolas" w:cs="Consolas"/>
                <w:color w:val="1E2761"/>
                <w:sz w:val="16"/>
                <w:szCs w:val="16"/>
              </w:rPr>
              <w:t>Named value    : nv-claims-backend-baseurl</w:t>
            </w:r>
          </w:p>
          <w:p w14:paraId="6E835155" w14:textId="77777777" w:rsidR="002D25EA" w:rsidRDefault="002D25EA" w:rsidP="00D9409F">
            <w:r>
              <w:rPr>
                <w:rFonts w:ascii="Consolas" w:eastAsia="Consolas" w:hAnsi="Consolas" w:cs="Consolas"/>
                <w:color w:val="1E2761"/>
                <w:sz w:val="16"/>
                <w:szCs w:val="16"/>
              </w:rPr>
              <w:t>Product        : prod-external-broker</w:t>
            </w:r>
          </w:p>
          <w:p w14:paraId="3ED42C08" w14:textId="77777777" w:rsidR="002D25EA" w:rsidRDefault="002D25EA" w:rsidP="00D9409F">
            <w:r>
              <w:rPr>
                <w:rFonts w:ascii="Consolas" w:eastAsia="Consolas" w:hAnsi="Consolas" w:cs="Consolas"/>
                <w:color w:val="1E2761"/>
                <w:sz w:val="16"/>
                <w:szCs w:val="16"/>
              </w:rPr>
              <w:t>Entra group    : grp-apim-external-broker</w:t>
            </w:r>
          </w:p>
        </w:tc>
      </w:tr>
    </w:tbl>
    <w:p w14:paraId="4F4FB964" w14:textId="77777777" w:rsidR="002D25EA" w:rsidRDefault="002D25EA" w:rsidP="002D25EA">
      <w:pPr>
        <w:spacing w:after="140"/>
      </w:pPr>
      <w:r>
        <w:t>OpenAPI skeleton (the contract every API starts from):</w:t>
      </w:r>
    </w:p>
    <w:tbl>
      <w:tblPr>
        <w:tblW w:w="9300"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000" w:firstRow="0" w:lastRow="0" w:firstColumn="0" w:lastColumn="0" w:noHBand="0" w:noVBand="0"/>
      </w:tblPr>
      <w:tblGrid>
        <w:gridCol w:w="9300"/>
      </w:tblGrid>
      <w:tr w:rsidR="002D25EA" w14:paraId="7785FDF9" w14:textId="77777777" w:rsidTr="00D9409F">
        <w:tc>
          <w:tcPr>
            <w:tcW w:w="9300" w:type="dxa"/>
            <w:shd w:val="clear" w:color="auto" w:fill="F5F5F5"/>
            <w:tcMar>
              <w:top w:w="90" w:type="dxa"/>
              <w:left w:w="140" w:type="dxa"/>
              <w:bottom w:w="90" w:type="dxa"/>
              <w:right w:w="140" w:type="dxa"/>
            </w:tcMar>
          </w:tcPr>
          <w:p w14:paraId="4088052C" w14:textId="77777777" w:rsidR="002D25EA" w:rsidRDefault="002D25EA" w:rsidP="00D9409F">
            <w:r>
              <w:rPr>
                <w:rFonts w:ascii="Consolas" w:eastAsia="Consolas" w:hAnsi="Consolas" w:cs="Consolas"/>
                <w:color w:val="1E2761"/>
                <w:sz w:val="16"/>
                <w:szCs w:val="16"/>
              </w:rPr>
              <w:t>openapi: 3.0.3</w:t>
            </w:r>
          </w:p>
          <w:p w14:paraId="3D3B4CA4" w14:textId="77777777" w:rsidR="002D25EA" w:rsidRDefault="002D25EA" w:rsidP="00D9409F">
            <w:r>
              <w:rPr>
                <w:rFonts w:ascii="Consolas" w:eastAsia="Consolas" w:hAnsi="Consolas" w:cs="Consolas"/>
                <w:color w:val="1E2761"/>
                <w:sz w:val="16"/>
                <w:szCs w:val="16"/>
              </w:rPr>
              <w:t>info:</w:t>
            </w:r>
          </w:p>
          <w:p w14:paraId="26F7F962" w14:textId="77777777" w:rsidR="002D25EA" w:rsidRDefault="002D25EA" w:rsidP="00D9409F">
            <w:r>
              <w:rPr>
                <w:rFonts w:ascii="Consolas" w:eastAsia="Consolas" w:hAnsi="Consolas" w:cs="Consolas"/>
                <w:color w:val="1E2761"/>
                <w:sz w:val="16"/>
                <w:szCs w:val="16"/>
              </w:rPr>
              <w:t xml:space="preserve">  title: Claims API</w:t>
            </w:r>
          </w:p>
          <w:p w14:paraId="1226FB39" w14:textId="77777777" w:rsidR="002D25EA" w:rsidRDefault="002D25EA" w:rsidP="00D9409F">
            <w:r>
              <w:rPr>
                <w:rFonts w:ascii="Consolas" w:eastAsia="Consolas" w:hAnsi="Consolas" w:cs="Consolas"/>
                <w:color w:val="1E2761"/>
                <w:sz w:val="16"/>
                <w:szCs w:val="16"/>
              </w:rPr>
              <w:t xml:space="preserve">  version: "2.0.0"</w:t>
            </w:r>
          </w:p>
          <w:p w14:paraId="7C806C48" w14:textId="77777777" w:rsidR="002D25EA" w:rsidRDefault="002D25EA" w:rsidP="00D9409F">
            <w:r>
              <w:rPr>
                <w:rFonts w:ascii="Consolas" w:eastAsia="Consolas" w:hAnsi="Consolas" w:cs="Consolas"/>
                <w:color w:val="1E2761"/>
                <w:sz w:val="16"/>
                <w:szCs w:val="16"/>
              </w:rPr>
              <w:t>servers:</w:t>
            </w:r>
          </w:p>
          <w:p w14:paraId="65C6F74C" w14:textId="77777777" w:rsidR="002D25EA" w:rsidRDefault="002D25EA" w:rsidP="00D9409F">
            <w:r>
              <w:rPr>
                <w:rFonts w:ascii="Consolas" w:eastAsia="Consolas" w:hAnsi="Consolas" w:cs="Consolas"/>
                <w:color w:val="1E2761"/>
                <w:sz w:val="16"/>
                <w:szCs w:val="16"/>
              </w:rPr>
              <w:t xml:space="preserve">  - url: https://api.organization.example/api/claims/v2</w:t>
            </w:r>
          </w:p>
          <w:p w14:paraId="1D0A033E" w14:textId="77777777" w:rsidR="002D25EA" w:rsidRDefault="002D25EA" w:rsidP="00D9409F">
            <w:r>
              <w:rPr>
                <w:rFonts w:ascii="Consolas" w:eastAsia="Consolas" w:hAnsi="Consolas" w:cs="Consolas"/>
                <w:color w:val="1E2761"/>
                <w:sz w:val="16"/>
                <w:szCs w:val="16"/>
              </w:rPr>
              <w:t>paths:</w:t>
            </w:r>
          </w:p>
          <w:p w14:paraId="242B12D4" w14:textId="77777777" w:rsidR="002D25EA" w:rsidRDefault="002D25EA" w:rsidP="00D9409F">
            <w:r>
              <w:rPr>
                <w:rFonts w:ascii="Consolas" w:eastAsia="Consolas" w:hAnsi="Consolas" w:cs="Consolas"/>
                <w:color w:val="1E2761"/>
                <w:sz w:val="16"/>
                <w:szCs w:val="16"/>
              </w:rPr>
              <w:t xml:space="preserve">  /claims/{id}:</w:t>
            </w:r>
          </w:p>
          <w:p w14:paraId="237E166D" w14:textId="77777777" w:rsidR="002D25EA" w:rsidRDefault="002D25EA" w:rsidP="00D9409F">
            <w:r>
              <w:rPr>
                <w:rFonts w:ascii="Consolas" w:eastAsia="Consolas" w:hAnsi="Consolas" w:cs="Consolas"/>
                <w:color w:val="1E2761"/>
                <w:sz w:val="16"/>
                <w:szCs w:val="16"/>
              </w:rPr>
              <w:t xml:space="preserve">    get:</w:t>
            </w:r>
          </w:p>
          <w:p w14:paraId="372F0B0C" w14:textId="77777777" w:rsidR="002D25EA" w:rsidRDefault="002D25EA" w:rsidP="00D9409F">
            <w:r>
              <w:rPr>
                <w:rFonts w:ascii="Consolas" w:eastAsia="Consolas" w:hAnsi="Consolas" w:cs="Consolas"/>
                <w:color w:val="1E2761"/>
                <w:sz w:val="16"/>
                <w:szCs w:val="16"/>
              </w:rPr>
              <w:t xml:space="preserve">      summary: Retrieve a claim</w:t>
            </w:r>
          </w:p>
          <w:p w14:paraId="22C78EB9" w14:textId="77777777" w:rsidR="002D25EA" w:rsidRDefault="002D25EA" w:rsidP="00D9409F">
            <w:r>
              <w:rPr>
                <w:rFonts w:ascii="Consolas" w:eastAsia="Consolas" w:hAnsi="Consolas" w:cs="Consolas"/>
                <w:color w:val="1E2761"/>
                <w:sz w:val="16"/>
                <w:szCs w:val="16"/>
              </w:rPr>
              <w:t xml:space="preserve">      security:</w:t>
            </w:r>
          </w:p>
          <w:p w14:paraId="5CBB0DFF" w14:textId="77777777" w:rsidR="002D25EA" w:rsidRDefault="002D25EA" w:rsidP="00D9409F">
            <w:r>
              <w:rPr>
                <w:rFonts w:ascii="Consolas" w:eastAsia="Consolas" w:hAnsi="Consolas" w:cs="Consolas"/>
                <w:color w:val="1E2761"/>
                <w:sz w:val="16"/>
                <w:szCs w:val="16"/>
              </w:rPr>
              <w:t xml:space="preserve">        - oauth2: [claims.read]</w:t>
            </w:r>
          </w:p>
          <w:p w14:paraId="0F14D1B9" w14:textId="77777777" w:rsidR="002D25EA" w:rsidRDefault="002D25EA" w:rsidP="00D9409F">
            <w:r>
              <w:rPr>
                <w:rFonts w:ascii="Consolas" w:eastAsia="Consolas" w:hAnsi="Consolas" w:cs="Consolas"/>
                <w:color w:val="1E2761"/>
                <w:sz w:val="16"/>
                <w:szCs w:val="16"/>
              </w:rPr>
              <w:t xml:space="preserve">      parameters:</w:t>
            </w:r>
          </w:p>
          <w:p w14:paraId="2CBE50C5" w14:textId="77777777" w:rsidR="002D25EA" w:rsidRDefault="002D25EA" w:rsidP="00D9409F">
            <w:r>
              <w:rPr>
                <w:rFonts w:ascii="Consolas" w:eastAsia="Consolas" w:hAnsi="Consolas" w:cs="Consolas"/>
                <w:color w:val="1E2761"/>
                <w:sz w:val="16"/>
                <w:szCs w:val="16"/>
              </w:rPr>
              <w:t xml:space="preserve">        - name: id</w:t>
            </w:r>
          </w:p>
          <w:p w14:paraId="1C2D4FA3" w14:textId="77777777" w:rsidR="002D25EA" w:rsidRDefault="002D25EA" w:rsidP="00D9409F">
            <w:r>
              <w:rPr>
                <w:rFonts w:ascii="Consolas" w:eastAsia="Consolas" w:hAnsi="Consolas" w:cs="Consolas"/>
                <w:color w:val="1E2761"/>
                <w:sz w:val="16"/>
                <w:szCs w:val="16"/>
              </w:rPr>
              <w:t xml:space="preserve">          in: path</w:t>
            </w:r>
          </w:p>
          <w:p w14:paraId="1154F14A" w14:textId="77777777" w:rsidR="002D25EA" w:rsidRDefault="002D25EA" w:rsidP="00D9409F">
            <w:r>
              <w:rPr>
                <w:rFonts w:ascii="Consolas" w:eastAsia="Consolas" w:hAnsi="Consolas" w:cs="Consolas"/>
                <w:color w:val="1E2761"/>
                <w:sz w:val="16"/>
                <w:szCs w:val="16"/>
              </w:rPr>
              <w:t xml:space="preserve">          required: true</w:t>
            </w:r>
          </w:p>
          <w:p w14:paraId="02B96BE5" w14:textId="77777777" w:rsidR="002D25EA" w:rsidRDefault="002D25EA" w:rsidP="00D9409F">
            <w:r>
              <w:rPr>
                <w:rFonts w:ascii="Consolas" w:eastAsia="Consolas" w:hAnsi="Consolas" w:cs="Consolas"/>
                <w:color w:val="1E2761"/>
                <w:sz w:val="16"/>
                <w:szCs w:val="16"/>
              </w:rPr>
              <w:t xml:space="preserve">          schema: { type: string }</w:t>
            </w:r>
          </w:p>
          <w:p w14:paraId="1E6CD2A9" w14:textId="77777777" w:rsidR="002D25EA" w:rsidRDefault="002D25EA" w:rsidP="00D9409F">
            <w:r>
              <w:rPr>
                <w:rFonts w:ascii="Consolas" w:eastAsia="Consolas" w:hAnsi="Consolas" w:cs="Consolas"/>
                <w:color w:val="1E2761"/>
                <w:sz w:val="16"/>
                <w:szCs w:val="16"/>
              </w:rPr>
              <w:t xml:space="preserve">      responses:</w:t>
            </w:r>
          </w:p>
          <w:p w14:paraId="4FDA6627" w14:textId="77777777" w:rsidR="002D25EA" w:rsidRDefault="002D25EA" w:rsidP="00D9409F">
            <w:r>
              <w:rPr>
                <w:rFonts w:ascii="Consolas" w:eastAsia="Consolas" w:hAnsi="Consolas" w:cs="Consolas"/>
                <w:color w:val="1E2761"/>
                <w:sz w:val="16"/>
                <w:szCs w:val="16"/>
              </w:rPr>
              <w:t xml:space="preserve">        "200": { description: OK }</w:t>
            </w:r>
          </w:p>
          <w:p w14:paraId="088DBEF6" w14:textId="77777777" w:rsidR="002D25EA" w:rsidRDefault="002D25EA" w:rsidP="00D9409F">
            <w:r>
              <w:rPr>
                <w:rFonts w:ascii="Consolas" w:eastAsia="Consolas" w:hAnsi="Consolas" w:cs="Consolas"/>
                <w:color w:val="1E2761"/>
                <w:sz w:val="16"/>
                <w:szCs w:val="16"/>
              </w:rPr>
              <w:t xml:space="preserve">        "401": { description: Unauthorized }</w:t>
            </w:r>
          </w:p>
          <w:p w14:paraId="40E3A036" w14:textId="77777777" w:rsidR="002D25EA" w:rsidRDefault="002D25EA" w:rsidP="00D9409F">
            <w:r>
              <w:rPr>
                <w:rFonts w:ascii="Consolas" w:eastAsia="Consolas" w:hAnsi="Consolas" w:cs="Consolas"/>
                <w:color w:val="1E2761"/>
                <w:sz w:val="16"/>
                <w:szCs w:val="16"/>
              </w:rPr>
              <w:t xml:space="preserve">        "429": { description: Too Many Requests }</w:t>
            </w:r>
          </w:p>
        </w:tc>
      </w:tr>
    </w:tbl>
    <w:p w14:paraId="541C0583" w14:textId="77777777" w:rsidR="002D25EA" w:rsidRPr="002D25EA" w:rsidRDefault="002D25EA" w:rsidP="002D25EA">
      <w:pPr>
        <w:pStyle w:val="Heading2"/>
        <w:keepNext/>
        <w:spacing w:before="240" w:after="120"/>
        <w:ind w:left="576" w:hanging="576"/>
        <w:rPr>
          <w:rFonts w:asciiTheme="minorHAnsi" w:eastAsia="Times New Roman" w:hAnsiTheme="minorHAnsi" w:cs="Times New Roman"/>
          <w:b w:val="0"/>
          <w:color w:val="132040" w:themeColor="accent1" w:themeShade="BF"/>
          <w:sz w:val="24"/>
          <w:szCs w:val="26"/>
          <w:lang w:eastAsia="en-US"/>
        </w:rPr>
      </w:pPr>
      <w:bookmarkStart w:id="52" w:name="_Toc240539776"/>
      <w:r>
        <w:rPr>
          <w:rFonts w:asciiTheme="minorHAnsi" w:eastAsia="Times New Roman" w:hAnsiTheme="minorHAnsi" w:cs="Times New Roman"/>
          <w:b w:val="0"/>
          <w:color w:val="132040" w:themeColor="accent1" w:themeShade="BF"/>
          <w:sz w:val="24"/>
          <w:szCs w:val="26"/>
          <w:lang w:eastAsia="en-US"/>
        </w:rPr>
        <w:t>Integration Migration and Cut-over Strategy</w:t>
      </w:r>
      <w:bookmarkEnd w:id="52"/>
    </w:p>
    <w:p w14:paraId="520C4C5A" w14:textId="77777777" w:rsidR="002D25EA" w:rsidRDefault="002D25EA" w:rsidP="002D25EA">
      <w:pPr>
        <w:spacing w:after="140"/>
      </w:pPr>
      <w:r>
        <w:t>Existing integration services are moved behind APIM one integration at a time using a strangler-fig approach, not a big-bang cut-over. Each integration is fronted by APIM, run in parallel while traffic is shifted gradually, then cut over and the old direct path retired: so risk is contained to one integration at a time and rollback is always available until retirement.</w:t>
      </w:r>
    </w:p>
    <w:p w14:paraId="3CDA09C3" w14:textId="77777777" w:rsidR="002D25EA" w:rsidRDefault="002D25EA" w:rsidP="002D25EA">
      <w:pPr>
        <w:spacing w:before="80" w:after="120"/>
        <w:jc w:val="center"/>
      </w:pPr>
      <w:r>
        <w:rPr>
          <w:noProof/>
        </w:rPr>
        <w:lastRenderedPageBreak/>
        <w:drawing>
          <wp:inline distT="0" distB="0" distL="0" distR="0" wp14:anchorId="5FC000C6" wp14:editId="63EA8312">
            <wp:extent cx="5943600" cy="949714"/>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949714"/>
                    </a:xfrm>
                    <a:prstGeom prst="rect">
                      <a:avLst/>
                    </a:prstGeom>
                  </pic:spPr>
                </pic:pic>
              </a:graphicData>
            </a:graphic>
          </wp:inline>
        </w:drawing>
      </w:r>
    </w:p>
    <w:p w14:paraId="13B55B5A" w14:textId="77777777" w:rsidR="002D25EA" w:rsidRDefault="002D25EA" w:rsidP="002D25EA">
      <w:pPr>
        <w:spacing w:after="180"/>
        <w:jc w:val="center"/>
      </w:pPr>
      <w:r>
        <w:rPr>
          <w:i/>
          <w:iCs/>
          <w:color w:val="666666"/>
          <w:sz w:val="18"/>
          <w:szCs w:val="18"/>
        </w:rPr>
        <w:t>Figure 31: integration migration, strangler-fig cut-over per integration, with rollback available until retirement</w:t>
      </w:r>
    </w:p>
    <w:p w14:paraId="2F7E598C" w14:textId="77777777" w:rsidR="002D25EA" w:rsidRDefault="002D25EA" w:rsidP="002D25EA">
      <w:pPr>
        <w:spacing w:after="140"/>
      </w:pPr>
      <w:r>
        <w:t>Parallel running and dual-write. For read-style integrations, parallel running simply means routing a growing share of traffic through APIM while comparing results, with no data considerations. For write or stateful integrations, dual-write (both the old and new paths writing) is avoided unless idempotency and de-duplication are proven, because double-processing a financial or claims transaction is worse than a short cut-over; the default for write flows is a clean switch at low-traffic time with a tested rollback, rather than dual-write. Each integration keeps its old direct path available until telemetry confirms the APIM path is healthy, and only then is direct access removed so that APIM becomes the sole ingress.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00"/>
      </w:tblGrid>
      <w:tr w:rsidR="002D25EA" w14:paraId="6A78B781" w14:textId="77777777" w:rsidTr="00D9409F">
        <w:trPr>
          <w:tblHeader/>
        </w:trPr>
        <w:tc>
          <w:tcPr>
            <w:tcW w:w="2200" w:type="dxa"/>
            <w:shd w:val="clear" w:color="auto" w:fill="1E2761"/>
            <w:tcMar>
              <w:top w:w="70" w:type="dxa"/>
              <w:left w:w="100" w:type="dxa"/>
              <w:bottom w:w="70" w:type="dxa"/>
              <w:right w:w="100" w:type="dxa"/>
            </w:tcMar>
          </w:tcPr>
          <w:p w14:paraId="1D3E1F23" w14:textId="77777777" w:rsidR="002D25EA" w:rsidRDefault="002D25EA" w:rsidP="00D9409F">
            <w:r>
              <w:rPr>
                <w:b/>
                <w:bCs/>
                <w:color w:val="FFFFFF"/>
                <w:sz w:val="18"/>
                <w:szCs w:val="18"/>
              </w:rPr>
              <w:t>Phase</w:t>
            </w:r>
          </w:p>
        </w:tc>
        <w:tc>
          <w:tcPr>
            <w:tcW w:w="3400" w:type="dxa"/>
            <w:shd w:val="clear" w:color="auto" w:fill="1E2761"/>
            <w:tcMar>
              <w:top w:w="70" w:type="dxa"/>
              <w:left w:w="100" w:type="dxa"/>
              <w:bottom w:w="70" w:type="dxa"/>
              <w:right w:w="100" w:type="dxa"/>
            </w:tcMar>
          </w:tcPr>
          <w:p w14:paraId="733D3BEE" w14:textId="77777777" w:rsidR="002D25EA" w:rsidRDefault="002D25EA" w:rsidP="00D9409F">
            <w:r>
              <w:rPr>
                <w:b/>
                <w:bCs/>
                <w:color w:val="FFFFFF"/>
                <w:sz w:val="18"/>
                <w:szCs w:val="18"/>
              </w:rPr>
              <w:t>What happens</w:t>
            </w:r>
          </w:p>
        </w:tc>
        <w:tc>
          <w:tcPr>
            <w:tcW w:w="3700" w:type="dxa"/>
            <w:shd w:val="clear" w:color="auto" w:fill="1E2761"/>
            <w:tcMar>
              <w:top w:w="70" w:type="dxa"/>
              <w:left w:w="100" w:type="dxa"/>
              <w:bottom w:w="70" w:type="dxa"/>
              <w:right w:w="100" w:type="dxa"/>
            </w:tcMar>
          </w:tcPr>
          <w:p w14:paraId="0F311ED6" w14:textId="77777777" w:rsidR="002D25EA" w:rsidRDefault="002D25EA" w:rsidP="00D9409F">
            <w:r>
              <w:rPr>
                <w:b/>
                <w:bCs/>
                <w:color w:val="FFFFFF"/>
                <w:sz w:val="18"/>
                <w:szCs w:val="18"/>
              </w:rPr>
              <w:t>Notes</w:t>
            </w:r>
          </w:p>
        </w:tc>
      </w:tr>
      <w:tr w:rsidR="002D25EA" w14:paraId="1BC597F0" w14:textId="77777777" w:rsidTr="00D9409F">
        <w:tc>
          <w:tcPr>
            <w:tcW w:w="2200" w:type="dxa"/>
            <w:tcMar>
              <w:top w:w="70" w:type="dxa"/>
              <w:left w:w="100" w:type="dxa"/>
              <w:bottom w:w="70" w:type="dxa"/>
              <w:right w:w="100" w:type="dxa"/>
            </w:tcMar>
          </w:tcPr>
          <w:p w14:paraId="3424BFCF" w14:textId="77777777" w:rsidR="002D25EA" w:rsidRDefault="002D25EA" w:rsidP="00D9409F">
            <w:r>
              <w:rPr>
                <w:sz w:val="18"/>
                <w:szCs w:val="18"/>
              </w:rPr>
              <w:t>Phase 0: Baseline</w:t>
            </w:r>
          </w:p>
        </w:tc>
        <w:tc>
          <w:tcPr>
            <w:tcW w:w="3400" w:type="dxa"/>
            <w:tcMar>
              <w:top w:w="70" w:type="dxa"/>
              <w:left w:w="100" w:type="dxa"/>
              <w:bottom w:w="70" w:type="dxa"/>
              <w:right w:w="100" w:type="dxa"/>
            </w:tcMar>
          </w:tcPr>
          <w:p w14:paraId="00DF29EA" w14:textId="77777777" w:rsidR="002D25EA" w:rsidRDefault="002D25EA" w:rsidP="00D9409F">
            <w:r>
              <w:rPr>
                <w:sz w:val="18"/>
                <w:szCs w:val="18"/>
              </w:rPr>
              <w:t>Existing integrations called directly</w:t>
            </w:r>
          </w:p>
        </w:tc>
        <w:tc>
          <w:tcPr>
            <w:tcW w:w="3700" w:type="dxa"/>
            <w:tcMar>
              <w:top w:w="70" w:type="dxa"/>
              <w:left w:w="100" w:type="dxa"/>
              <w:bottom w:w="70" w:type="dxa"/>
              <w:right w:w="100" w:type="dxa"/>
            </w:tcMar>
          </w:tcPr>
          <w:p w14:paraId="0C57B4F3" w14:textId="77777777" w:rsidR="002D25EA" w:rsidRDefault="002D25EA" w:rsidP="00D9409F">
            <w:r>
              <w:rPr>
                <w:sz w:val="18"/>
                <w:szCs w:val="18"/>
              </w:rPr>
              <w:t>Inventory integrations, classify by read vs write and criticality</w:t>
            </w:r>
          </w:p>
        </w:tc>
      </w:tr>
      <w:tr w:rsidR="002D25EA" w14:paraId="58A3009C" w14:textId="77777777" w:rsidTr="00D9409F">
        <w:tc>
          <w:tcPr>
            <w:tcW w:w="2200" w:type="dxa"/>
            <w:tcMar>
              <w:top w:w="70" w:type="dxa"/>
              <w:left w:w="100" w:type="dxa"/>
              <w:bottom w:w="70" w:type="dxa"/>
              <w:right w:w="100" w:type="dxa"/>
            </w:tcMar>
          </w:tcPr>
          <w:p w14:paraId="06628003" w14:textId="77777777" w:rsidR="002D25EA" w:rsidRDefault="002D25EA" w:rsidP="00D9409F">
            <w:r>
              <w:rPr>
                <w:sz w:val="18"/>
                <w:szCs w:val="18"/>
              </w:rPr>
              <w:t>Phase 1: Front with APIM</w:t>
            </w:r>
          </w:p>
        </w:tc>
        <w:tc>
          <w:tcPr>
            <w:tcW w:w="3400" w:type="dxa"/>
            <w:tcMar>
              <w:top w:w="70" w:type="dxa"/>
              <w:left w:w="100" w:type="dxa"/>
              <w:bottom w:w="70" w:type="dxa"/>
              <w:right w:w="100" w:type="dxa"/>
            </w:tcMar>
          </w:tcPr>
          <w:p w14:paraId="0BD59632" w14:textId="77777777" w:rsidR="002D25EA" w:rsidRDefault="002D25EA" w:rsidP="00D9409F">
            <w:r>
              <w:rPr>
                <w:sz w:val="18"/>
                <w:szCs w:val="18"/>
              </w:rPr>
              <w:t>Publish the existing endpoint through APIM unchanged</w:t>
            </w:r>
          </w:p>
        </w:tc>
        <w:tc>
          <w:tcPr>
            <w:tcW w:w="3700" w:type="dxa"/>
            <w:tcMar>
              <w:top w:w="70" w:type="dxa"/>
              <w:left w:w="100" w:type="dxa"/>
              <w:bottom w:w="70" w:type="dxa"/>
              <w:right w:w="100" w:type="dxa"/>
            </w:tcMar>
          </w:tcPr>
          <w:p w14:paraId="1BEFC69C" w14:textId="77777777" w:rsidR="002D25EA" w:rsidRDefault="002D25EA" w:rsidP="00D9409F">
            <w:r>
              <w:rPr>
                <w:sz w:val="18"/>
                <w:szCs w:val="18"/>
              </w:rPr>
              <w:t>Contract captured; policies applied; no behaviour change</w:t>
            </w:r>
          </w:p>
        </w:tc>
      </w:tr>
      <w:tr w:rsidR="002D25EA" w14:paraId="3C01F419" w14:textId="77777777" w:rsidTr="00D9409F">
        <w:tc>
          <w:tcPr>
            <w:tcW w:w="2200" w:type="dxa"/>
            <w:tcMar>
              <w:top w:w="70" w:type="dxa"/>
              <w:left w:w="100" w:type="dxa"/>
              <w:bottom w:w="70" w:type="dxa"/>
              <w:right w:w="100" w:type="dxa"/>
            </w:tcMar>
          </w:tcPr>
          <w:p w14:paraId="005B5022" w14:textId="77777777" w:rsidR="002D25EA" w:rsidRDefault="002D25EA" w:rsidP="00D9409F">
            <w:r>
              <w:rPr>
                <w:sz w:val="18"/>
                <w:szCs w:val="18"/>
              </w:rPr>
              <w:t>Phase 2: Parallel run</w:t>
            </w:r>
          </w:p>
        </w:tc>
        <w:tc>
          <w:tcPr>
            <w:tcW w:w="3400" w:type="dxa"/>
            <w:tcMar>
              <w:top w:w="70" w:type="dxa"/>
              <w:left w:w="100" w:type="dxa"/>
              <w:bottom w:w="70" w:type="dxa"/>
              <w:right w:w="100" w:type="dxa"/>
            </w:tcMar>
          </w:tcPr>
          <w:p w14:paraId="4A1DCFEA" w14:textId="77777777" w:rsidR="002D25EA" w:rsidRDefault="002D25EA" w:rsidP="00D9409F">
            <w:r>
              <w:rPr>
                <w:sz w:val="18"/>
                <w:szCs w:val="18"/>
              </w:rPr>
              <w:t>Shift a growing share of traffic via APIM</w:t>
            </w:r>
          </w:p>
        </w:tc>
        <w:tc>
          <w:tcPr>
            <w:tcW w:w="3700" w:type="dxa"/>
            <w:tcMar>
              <w:top w:w="70" w:type="dxa"/>
              <w:left w:w="100" w:type="dxa"/>
              <w:bottom w:w="70" w:type="dxa"/>
              <w:right w:w="100" w:type="dxa"/>
            </w:tcMar>
          </w:tcPr>
          <w:p w14:paraId="74BE1A40" w14:textId="77777777" w:rsidR="002D25EA" w:rsidRDefault="002D25EA" w:rsidP="00D9409F">
            <w:r>
              <w:rPr>
                <w:sz w:val="18"/>
                <w:szCs w:val="18"/>
              </w:rPr>
              <w:t>Monitor and compare; no dual-write for stateful flows</w:t>
            </w:r>
          </w:p>
        </w:tc>
      </w:tr>
      <w:tr w:rsidR="002D25EA" w14:paraId="5DD48EA4" w14:textId="77777777" w:rsidTr="00D9409F">
        <w:tc>
          <w:tcPr>
            <w:tcW w:w="2200" w:type="dxa"/>
            <w:tcMar>
              <w:top w:w="70" w:type="dxa"/>
              <w:left w:w="100" w:type="dxa"/>
              <w:bottom w:w="70" w:type="dxa"/>
              <w:right w:w="100" w:type="dxa"/>
            </w:tcMar>
          </w:tcPr>
          <w:p w14:paraId="31FE3DD2" w14:textId="77777777" w:rsidR="002D25EA" w:rsidRDefault="002D25EA" w:rsidP="00D9409F">
            <w:r>
              <w:rPr>
                <w:sz w:val="18"/>
                <w:szCs w:val="18"/>
              </w:rPr>
              <w:t>Phase 3: Cut over</w:t>
            </w:r>
          </w:p>
        </w:tc>
        <w:tc>
          <w:tcPr>
            <w:tcW w:w="3400" w:type="dxa"/>
            <w:tcMar>
              <w:top w:w="70" w:type="dxa"/>
              <w:left w:w="100" w:type="dxa"/>
              <w:bottom w:w="70" w:type="dxa"/>
              <w:right w:w="100" w:type="dxa"/>
            </w:tcMar>
          </w:tcPr>
          <w:p w14:paraId="019679DC" w14:textId="77777777" w:rsidR="002D25EA" w:rsidRDefault="002D25EA" w:rsidP="00D9409F">
            <w:r>
              <w:rPr>
                <w:sz w:val="18"/>
                <w:szCs w:val="18"/>
              </w:rPr>
              <w:t>All traffic via APIM</w:t>
            </w:r>
          </w:p>
        </w:tc>
        <w:tc>
          <w:tcPr>
            <w:tcW w:w="3700" w:type="dxa"/>
            <w:tcMar>
              <w:top w:w="70" w:type="dxa"/>
              <w:left w:w="100" w:type="dxa"/>
              <w:bottom w:w="70" w:type="dxa"/>
              <w:right w:w="100" w:type="dxa"/>
            </w:tcMar>
          </w:tcPr>
          <w:p w14:paraId="04CD94DD" w14:textId="77777777" w:rsidR="002D25EA" w:rsidRDefault="002D25EA" w:rsidP="00D9409F">
            <w:r>
              <w:rPr>
                <w:sz w:val="18"/>
                <w:szCs w:val="18"/>
              </w:rPr>
              <w:t>Old direct path deprecated but still available for rollback</w:t>
            </w:r>
          </w:p>
        </w:tc>
      </w:tr>
      <w:tr w:rsidR="002D25EA" w14:paraId="23D76F0C" w14:textId="77777777" w:rsidTr="00D9409F">
        <w:tc>
          <w:tcPr>
            <w:tcW w:w="2200" w:type="dxa"/>
            <w:tcMar>
              <w:top w:w="70" w:type="dxa"/>
              <w:left w:w="100" w:type="dxa"/>
              <w:bottom w:w="70" w:type="dxa"/>
              <w:right w:w="100" w:type="dxa"/>
            </w:tcMar>
          </w:tcPr>
          <w:p w14:paraId="3E71234B" w14:textId="77777777" w:rsidR="002D25EA" w:rsidRDefault="002D25EA" w:rsidP="00D9409F">
            <w:r>
              <w:rPr>
                <w:sz w:val="18"/>
                <w:szCs w:val="18"/>
              </w:rPr>
              <w:t>Phase 4: Retire</w:t>
            </w:r>
          </w:p>
        </w:tc>
        <w:tc>
          <w:tcPr>
            <w:tcW w:w="3400" w:type="dxa"/>
            <w:tcMar>
              <w:top w:w="70" w:type="dxa"/>
              <w:left w:w="100" w:type="dxa"/>
              <w:bottom w:w="70" w:type="dxa"/>
              <w:right w:w="100" w:type="dxa"/>
            </w:tcMar>
          </w:tcPr>
          <w:p w14:paraId="1563DC8D" w14:textId="77777777" w:rsidR="002D25EA" w:rsidRDefault="002D25EA" w:rsidP="00D9409F">
            <w:r>
              <w:rPr>
                <w:sz w:val="18"/>
                <w:szCs w:val="18"/>
              </w:rPr>
              <w:t>Direct access removed</w:t>
            </w:r>
          </w:p>
        </w:tc>
        <w:tc>
          <w:tcPr>
            <w:tcW w:w="3700" w:type="dxa"/>
            <w:tcMar>
              <w:top w:w="70" w:type="dxa"/>
              <w:left w:w="100" w:type="dxa"/>
              <w:bottom w:w="70" w:type="dxa"/>
              <w:right w:w="100" w:type="dxa"/>
            </w:tcMar>
          </w:tcPr>
          <w:p w14:paraId="3310BAB5" w14:textId="77777777" w:rsidR="002D25EA" w:rsidRDefault="002D25EA" w:rsidP="00D9409F">
            <w:r>
              <w:rPr>
                <w:sz w:val="18"/>
                <w:szCs w:val="18"/>
              </w:rPr>
              <w:t>APIM is sole ingress; single-ingress principle satisfied</w:t>
            </w:r>
          </w:p>
        </w:tc>
      </w:tr>
    </w:tbl>
    <w:p w14:paraId="1ACBE92B" w14:textId="77777777" w:rsidR="002D25EA" w:rsidRDefault="002D25EA" w:rsidP="002D25EA">
      <w:pPr>
        <w:spacing w:after="60"/>
      </w:pPr>
    </w:p>
    <w:p w14:paraId="664F946E" w14:textId="77777777" w:rsidR="00FD6099" w:rsidRDefault="00FD6099" w:rsidP="00614F2E"/>
    <w:p w14:paraId="15FE335A" w14:textId="77777777" w:rsidR="00FD6099" w:rsidRDefault="00FD6099" w:rsidP="00614F2E"/>
    <w:p w14:paraId="5404D30B" w14:textId="77777777" w:rsidR="00FD6099" w:rsidRDefault="00FD6099" w:rsidP="00614F2E"/>
    <w:p w14:paraId="5821348C" w14:textId="77777777" w:rsidR="00FD6099" w:rsidRDefault="00FD6099" w:rsidP="00614F2E"/>
    <w:p w14:paraId="0CE9B9C0" w14:textId="77777777" w:rsidR="00FD6099" w:rsidRDefault="00FD6099" w:rsidP="00614F2E"/>
    <w:p w14:paraId="7D87BAE3" w14:textId="77777777" w:rsidR="00FD6099" w:rsidRDefault="00FD6099" w:rsidP="00614F2E"/>
    <w:p w14:paraId="5B1982E2" w14:textId="77777777" w:rsidR="00FD6099" w:rsidRDefault="00FD6099" w:rsidP="00614F2E"/>
    <w:p w14:paraId="7CBF1202" w14:textId="77777777" w:rsidR="00FD6099" w:rsidRDefault="00FD6099" w:rsidP="00614F2E"/>
    <w:p w14:paraId="4922C4DF" w14:textId="77777777" w:rsidR="00FD6099" w:rsidRDefault="00FD6099" w:rsidP="00614F2E"/>
    <w:p w14:paraId="55E77973" w14:textId="77777777" w:rsidR="00FD6099" w:rsidRDefault="00FD6099" w:rsidP="00614F2E"/>
    <w:p w14:paraId="2C2B13D6" w14:textId="77777777" w:rsidR="00FD6099" w:rsidRDefault="00FD6099" w:rsidP="00614F2E"/>
    <w:p w14:paraId="0BA4B12B" w14:textId="77777777" w:rsidR="00FD6099" w:rsidRDefault="00FD6099" w:rsidP="00614F2E"/>
    <w:p w14:paraId="482D697B" w14:textId="77777777" w:rsidR="00FD6099" w:rsidRDefault="00FD6099" w:rsidP="00614F2E"/>
    <w:p w14:paraId="113469A1" w14:textId="77777777" w:rsidR="00FD6099" w:rsidRDefault="00FD6099" w:rsidP="00614F2E"/>
    <w:p w14:paraId="22C50614" w14:textId="77777777" w:rsidR="00FD6099" w:rsidRDefault="00FD6099" w:rsidP="00614F2E"/>
    <w:p w14:paraId="7B86F6C4" w14:textId="77777777" w:rsidR="00FD6099" w:rsidRDefault="00FD6099" w:rsidP="00614F2E"/>
    <w:p w14:paraId="03B5C4AD" w14:textId="77777777" w:rsidR="00FD6099" w:rsidRDefault="00FD6099" w:rsidP="00614F2E"/>
    <w:p w14:paraId="6F46E3E8" w14:textId="77777777" w:rsidR="00FD6099" w:rsidRDefault="00FD6099" w:rsidP="00614F2E"/>
    <w:p w14:paraId="0DA22AEE" w14:textId="77777777" w:rsidR="00FD6099" w:rsidRDefault="00FD6099" w:rsidP="00614F2E"/>
    <w:p w14:paraId="21559274" w14:textId="77777777" w:rsidR="00FD6099" w:rsidRDefault="00FD6099" w:rsidP="00614F2E"/>
    <w:p w14:paraId="6AE02323" w14:textId="77777777" w:rsidR="00FD6099" w:rsidRDefault="00FD6099" w:rsidP="00614F2E"/>
    <w:p w14:paraId="33B0DBFE" w14:textId="77777777" w:rsidR="00FD6099" w:rsidRDefault="00FD6099" w:rsidP="00614F2E"/>
    <w:p w14:paraId="22F476DE" w14:textId="77777777" w:rsidR="00FD6099" w:rsidRDefault="00FD6099" w:rsidP="00614F2E"/>
    <w:p w14:paraId="1780E317" w14:textId="77777777" w:rsidR="00FD6099" w:rsidRDefault="00FD6099" w:rsidP="00614F2E"/>
    <w:p w14:paraId="4694A4EC" w14:textId="77777777" w:rsidR="00FD6099" w:rsidRDefault="00FD6099" w:rsidP="00614F2E"/>
    <w:p w14:paraId="4F87DB15" w14:textId="77777777" w:rsidR="00FD6099" w:rsidRPr="00614F2E" w:rsidRDefault="00FD6099" w:rsidP="00614F2E"/>
    <w:p>
      <w:r>
        <w:br w:type="page"/>
      </w:r>
    </w:p>
    <w:p>
      <w:pPr>
        <w:pStyle w:val="Heading2"/>
      </w:pPr>
      <w:r>
        <w:t>Threat model: STRIDE and OWASP in detail</w:t>
      </w:r>
    </w:p>
    <w:p>
      <w:pPr>
        <w:spacing w:after="140"/>
      </w:pPr>
      <w:r>
        <w:rPr>
          <w:rFonts w:ascii="Noe Text" w:cs="Noe Text" w:eastAsia="Noe Text" w:hAnsi="Noe Text"/>
          <w:color w:val="333333"/>
          <w:sz w:val="21"/>
          <w:szCs w:val="21"/>
        </w:rPr>
        <w:t xml:space="preserve">This appendix holds the full framework-by-framework threat mapping summarised in section 9 (Authentication and Security Design). It is written for the security architect reviewing the design against recognised threat models. The one-page summary in section 9 is the quick reference; this is the complete mapping behind it.</w:t>
      </w:r>
    </w:p>
    <w:p w14:paraId="6DB36FDC" w14:textId="77777777" w:rsidR="002D25EA" w:rsidRDefault="002D25EA" w:rsidP="002D25EA">
      <w:pPr>
        <w:spacing w:after="140"/>
      </w:pPr>
      <w:r>
        <w:t>The design has so far been described control by control; this maps those controls to two recognised frameworks so gaps are visible. The STRIDE view covers platform-level threat categories; the OWASP API Security Top 10 (2023) view covers the API-specific risks Compliance and Security will expect to see addressed. Where a risk can only be closed at the backend, that is stated plainly rather than implied to be handled at the gateway.</w:t>
      </w:r>
    </w:p>
    <w:p>
      <w:pPr>
        <w:pStyle w:val="Heading3"/>
        <w:spacing w:after="90" w:before="160"/>
      </w:pPr>
      <w:r>
        <w:rPr>
          <w:rFonts w:ascii="Noe Text Regular" w:cs="Noe Text Regular" w:eastAsia="Noe Text Regular" w:hAnsi="Noe Text Regular"/>
        </w:rPr>
        <w:t xml:space="preserve">STRIDE: platform-level threats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00"/>
      </w:tblGrid>
      <w:tr>
        <w:trPr>
          <w:tblHeader/>
        </w:trPr>
        <w:tc>
          <w:tcPr>
            <w:tcW w:type="dxa" w:w="18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Threat category</w:t>
            </w:r>
          </w:p>
        </w:tc>
        <w:tc>
          <w:tcPr>
            <w:tcW w:type="dxa" w:w="28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Example</w:t>
            </w:r>
          </w:p>
        </w:tc>
        <w:tc>
          <w:tcPr>
            <w:tcW w:type="dxa" w:w="47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How this design addresses it</w:t>
            </w:r>
          </w:p>
        </w:tc>
      </w:tr>
      <w:tr>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Spoofing</w:t>
            </w:r>
          </w:p>
        </w:tc>
        <w:tc>
          <w:tcPr>
            <w:tcW w:type="dxa" w:w="2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caller impersonates a legitimate consumer</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OAuth 2.0 + JWT validation at the gateway; single IdP; mTLS/certificate for approved exceptions</w:t>
            </w:r>
          </w:p>
        </w:tc>
      </w:tr>
      <w:tr>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Tampering</w:t>
            </w:r>
          </w:p>
        </w:tc>
        <w:tc>
          <w:tcPr>
            <w:tcW w:type="dxa" w:w="2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Request or response altered in transit</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TLS 1.2+ end-to-end; Front Door WAF; request schema validation</w:t>
            </w:r>
          </w:p>
        </w:tc>
      </w:tr>
      <w:tr>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Repudiation</w:t>
            </w:r>
          </w:p>
        </w:tc>
        <w:tc>
          <w:tcPr>
            <w:tcW w:type="dxa" w:w="2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caller denies an action they performed</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Correlation IDs on every request; per-consumer logging to Log Analytics/SIEM; immutable audit trail</w:t>
            </w:r>
          </w:p>
        </w:tc>
      </w:tr>
      <w:tr>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Information disclosure</w:t>
            </w:r>
          </w:p>
        </w:tc>
        <w:tc>
          <w:tcPr>
            <w:tcW w:type="dxa" w:w="2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Sensitive data leaks to an unauthorised party</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Least-privilege products/scopes; payload logging off by default with redaction; Private Endpoints; no secrets in policy</w:t>
            </w:r>
          </w:p>
        </w:tc>
      </w:tr>
      <w:tr>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Denial of service</w:t>
            </w:r>
          </w:p>
        </w:tc>
        <w:tc>
          <w:tcPr>
            <w:tcW w:type="dxa" w:w="2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The platform is overwhelmed</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Front Door DDoS + WAF; per-subscription rate limits and quotas; capacity-based autoscale</w:t>
            </w:r>
          </w:p>
        </w:tc>
      </w:tr>
      <w:tr>
        <w:tc>
          <w:tcPr>
            <w:tcW w:type="dxa" w:w="1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Elevation of privilege</w:t>
            </w:r>
          </w:p>
        </w:tc>
        <w:tc>
          <w:tcPr>
            <w:tcW w:type="dxa" w:w="28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 caller gains access beyond their grant</w:t>
            </w:r>
          </w:p>
        </w:tc>
        <w:tc>
          <w:tcPr>
            <w:tcW w:type="dxa" w:w="47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Product/group-scoped access and scopes; backend function/object-level checks; RBAC on the control plane; logged break-glass</w:t>
            </w:r>
          </w:p>
        </w:tc>
      </w:tr>
    </w:tbl>
    <w:p>
      <w:pPr>
        <w:spacing w:after="140"/>
      </w:pPr>
      <w:r>
        <w:rPr>
          <w:rFonts w:ascii="Noe Text" w:cs="Noe Text" w:eastAsia="Noe Text" w:hAnsi="Noe Text"/>
          <w:color w:val="333333"/>
          <w:sz w:val="21"/>
          <w:szCs w:val="21"/>
        </w:rPr>
        <w:t xml:space="preserve">The OWASP API Security Top 10 (2023) below covers API-specific risks, the ones a platform-level threat model alone would miss:</w:t>
      </w:r>
    </w:p>
    <w:p>
      <w:pPr>
        <w:pStyle w:val="Heading3"/>
        <w:spacing w:after="90" w:before="160"/>
      </w:pPr>
      <w:r>
        <w:rPr>
          <w:rFonts w:ascii="Noe Text Regular" w:cs="Noe Text Regular" w:eastAsia="Noe Text Regular" w:hAnsi="Noe Text Regular"/>
        </w:rPr>
        <w:t xml:space="preserve">OWASP API Security Top 10 (2023)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00"/>
      </w:tblGrid>
      <w:tr>
        <w:trPr>
          <w:tblHeader/>
        </w:trPr>
        <w:tc>
          <w:tcPr>
            <w:tcW w:type="dxa" w:w="26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Risk</w:t>
            </w:r>
          </w:p>
        </w:tc>
        <w:tc>
          <w:tcPr>
            <w:tcW w:type="dxa" w:w="52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How this design mitigates it</w:t>
            </w:r>
          </w:p>
        </w:tc>
        <w:tc>
          <w:tcPr>
            <w:tcW w:type="dxa" w:w="1500"/>
            <w:shd w:fill="1E2761" w:val="clear"/>
            <w:tcMar>
              <w:top w:type="dxa" w:w="70"/>
              <w:left w:type="dxa" w:w="100"/>
              <w:bottom w:type="dxa" w:w="70"/>
              <w:right w:type="dxa" w:w="100"/>
            </w:tcMar>
            <w:vAlign w:val="center"/>
          </w:tcPr>
          <w:p>
            <w:r>
              <w:rPr>
                <w:rFonts w:ascii="Noe Text" w:cs="Noe Text" w:eastAsia="Noe Text" w:hAnsi="Noe Text"/>
                <w:b/>
                <w:bCs/>
                <w:color w:val="FFFFFF"/>
                <w:sz w:val="18"/>
                <w:szCs w:val="18"/>
              </w:rPr>
              <w:t xml:space="preserve">Primary owner</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API1 Broken Object Level Authorization</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Backend must authorize each object; APIM forwards validated identity/claims but cannot authorize objects itself</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Domain teams</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API2 Broken Authentication</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Entra ID OAuth 2.0; JWT signature/issuer/audience/expiry validated at the gateway; no anonymous production APIs</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 Identity</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API3 Broken Object Property Level Authorization</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Response field filtering/schema validation in policy where applicable; backend enforces property-level access</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Domain teams</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API4 Unrestricted Resource Consumption</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Per-subscription rate limit and quota; payload size limits; timeouts; autoscale</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API5 Broken Function Level Authorization</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Product/group scoping and JWT scopes; backend enforces function-level authorization</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 Domain</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API6 Unrestricted Access to Sensitive Business Flows</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Tighter per-flow rate/quota and Front Door bot protection on sensitive flows</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 + Domain</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API7 Server-Side Request Forgery</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Backend URLs are allow-listed, never user-controlled; egress inspected by the firewall</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Domain + Network</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API8 Security Misconfiguration</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Everything-as-code (APIOps); baseline policies; WAF managed rules; no portal edits in Production</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API9 Improper Inventory Management</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Central catalogue and developer portal; lifecycle/audience tagging; versioning + deprecation; single ingress prevents shadow APIs</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Platform</w:t>
            </w:r>
          </w:p>
        </w:tc>
      </w:tr>
      <w:tr>
        <w:tc>
          <w:tcPr>
            <w:tcW w:type="dxa" w:w="26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API10 Unsafe Consumption of APIs</w:t>
            </w:r>
          </w:p>
        </w:tc>
        <w:tc>
          <w:tcPr>
            <w:tcW w:type="dxa" w:w="52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Validate, schema-check and time-limit calls to third-party APIs; TLS; circuit-breaking</w:t>
            </w:r>
          </w:p>
        </w:tc>
        <w:tc>
          <w:tcPr>
            <w:tcW w:type="dxa" w:w="1500"/>
            <w:tcMar>
              <w:top w:type="dxa" w:w="70"/>
              <w:left w:type="dxa" w:w="100"/>
              <w:bottom w:type="dxa" w:w="70"/>
              <w:right w:type="dxa" w:w="100"/>
            </w:tcMar>
            <w:vAlign w:val="center"/>
          </w:tcPr>
          <w:p>
            <w:r>
              <w:rPr>
                <w:rFonts w:ascii="Noe Text" w:cs="Noe Text" w:eastAsia="Noe Text" w:hAnsi="Noe Text"/>
                <w:b w:val="false"/>
                <w:bCs w:val="false"/>
                <w:color w:val="333333"/>
                <w:sz w:val="18"/>
                <w:szCs w:val="18"/>
              </w:rPr>
              <w:t xml:space="preserve">Domain teams</w:t>
            </w:r>
          </w:p>
        </w:tc>
      </w:tr>
    </w:tbl>
    <w:p>
      <w:r>
        <w:br w:type="page"/>
      </w:r>
    </w:p>
    <w:p>
      <w:pPr>
        <w:pStyle w:val="Heading2"/>
      </w:pPr>
      <w:r>
        <w:t>Network traffic flows in detail</w:t>
      </w:r>
    </w:p>
    <w:p>
      <w:pPr>
        <w:spacing w:after="140"/>
      </w:pPr>
      <w:r>
        <w:rPr>
          <w:rFonts w:ascii="Noe Text" w:cs="Noe Text" w:eastAsia="Noe Text" w:hAnsi="Noe Text"/>
          <w:color w:val="333333"/>
          <w:sz w:val="21"/>
          <w:szCs w:val="21"/>
        </w:rPr>
        <w:t xml:space="preserve">This appendix holds the step-by-step configuration of the five traffic flows summarised in section 7 (Network and Connectivity Design). It is written for the network engineer building the platform and is deliberately kept out of the main design narrative. Each flow states what it is, how it is routed through or around the Palo Alto firewall, and the specific routing and firewall rules it needs. The summary table in section 7 is the quick reference; this is the build detail behind it.</w:t>
      </w:r>
    </w:p>
    <w:p w14:paraId="58DDA623" w14:textId="77777777" w:rsidR="002D25EA" w:rsidRDefault="002D25EA" w:rsidP="002D25EA">
      <w:pPr>
        <w:spacing w:after="140"/>
      </w:pPr>
      <w:r>
        <w:rPr>
          <w:b/>
          <w:bCs/>
        </w:rPr>
        <w:t>Flow 1: external inbound (external to internal)</w:t>
      </w:r>
    </w:p>
    <w:p w14:paraId="4A3B6475" w14:textId="77777777" w:rsidR="002D25EA" w:rsidRDefault="002D25EA" w:rsidP="002D25EA">
      <w:pPr>
        <w:spacing w:after="140"/>
      </w:pPr>
      <w:r>
        <w:t>Scope note: this flow is the firewall-inspected inbound path. It always applies to internal inbound traffic, and it applies to external inbound only under Model B above. Under the recommended Model A, external and partner traffic instead enters through Front Door over Private Link and does not traverse the Palo Alto: so read the description below as the internal-inbound path, and as the external-inbound path only if the Organization adopts Model B.</w:t>
      </w:r>
    </w:p>
    <w:p w14:paraId="6389AAE1" w14:textId="77777777" w:rsidR="002D25EA" w:rsidRDefault="002D25EA" w:rsidP="002D25EA">
      <w:pPr>
        <w:spacing w:after="140"/>
      </w:pPr>
      <w:r>
        <w:t>An external consumer, a broker or Lloyd's market system, reaches the Organization over the internet. Traffic lands on the Palo Alto's public interface, where a destination NAT (DNAT) rule and the threat-prevention and URL-filtering policies inspect it, then forwards it to APIM's internal gateway private VIP in the spoke. Because APIM is internal-mode, it is never directly reachable from the internet; the only way in is through the Palo Alto. If the Organization also wants a WAF at the edge, Azure Front Door or Application Gateway (per the ingress topology in section 7) can sit in front of the Palo Alto or in the hub, adding OWASP inspection on top of the firewall's own.</w:t>
      </w:r>
    </w:p>
    <w:p w14:paraId="336D536E" w14:textId="77777777" w:rsidR="002D25EA" w:rsidRDefault="002D25EA" w:rsidP="002D25EA">
      <w:pPr>
        <w:pStyle w:val="ListParagraph"/>
        <w:numPr>
          <w:ilvl w:val="0"/>
          <w:numId w:val="2"/>
        </w:numPr>
        <w:spacing w:after="70"/>
      </w:pPr>
      <w:r>
        <w:t>Palo Alto: DNAT rule mapping the public listener to the APIM internal VIP, with security policy allowing only the intended ports (443).</w:t>
      </w:r>
    </w:p>
    <w:p w14:paraId="042666B3" w14:textId="77777777" w:rsidR="002D25EA" w:rsidRDefault="002D25EA" w:rsidP="002D25EA">
      <w:pPr>
        <w:pStyle w:val="ListParagraph"/>
        <w:numPr>
          <w:ilvl w:val="0"/>
          <w:numId w:val="2"/>
        </w:numPr>
        <w:spacing w:after="70"/>
      </w:pPr>
      <w:r>
        <w:t>APIM subnet NSG: allow inbound from the hub/firewall subnet on 443; deny direct internet inbound.</w:t>
      </w:r>
    </w:p>
    <w:p w14:paraId="503E9C4C" w14:textId="77777777" w:rsidR="002D25EA" w:rsidRDefault="002D25EA" w:rsidP="002D25EA">
      <w:pPr>
        <w:pStyle w:val="ListParagraph"/>
        <w:numPr>
          <w:ilvl w:val="0"/>
          <w:numId w:val="2"/>
        </w:numPr>
        <w:spacing w:after="70"/>
      </w:pPr>
      <w:r>
        <w:t>Return path: the response follows the established firewall session back out, so no asymmetric-routing issue arises for this inspected data-plane flow.</w:t>
      </w:r>
    </w:p>
    <w:p w14:paraId="0CFEDD17" w14:textId="77777777" w:rsidR="002D25EA" w:rsidRDefault="002D25EA" w:rsidP="002D25EA">
      <w:pPr>
        <w:spacing w:after="140"/>
      </w:pPr>
      <w:r>
        <w:rPr>
          <w:b/>
          <w:bCs/>
        </w:rPr>
        <w:t>Flow 2: internal inbound (internal to APIM)</w:t>
      </w:r>
    </w:p>
    <w:p w14:paraId="287467CA" w14:textId="77777777" w:rsidR="002D25EA" w:rsidRDefault="002D25EA" w:rsidP="002D25EA">
      <w:pPr>
        <w:spacing w:after="140"/>
      </w:pPr>
      <w:r>
        <w:t xml:space="preserve">An internal the Organization system, or an on-premises system reaching Azure over ExpressRoute or VPN, calls an internal API. The call is routed to the Palo Alto (either directly in-hub or via the on-premises firewall path), inspected, and forwarded to the same APIM internal VIP. Internal consumers never bypass the gateway: the design treats an internal call exactly like an external one for inspection and </w:t>
        <w:lastRenderedPageBreak/>
        <w:t>authentication, in line with the zero-trust principle in the security section. For on-premises sources, gateway route propagation must be enabled so the return path stays symmetric.</w:t>
      </w:r>
    </w:p>
    <w:p w14:paraId="14BE7F36" w14:textId="77777777" w:rsidR="002D25EA" w:rsidRDefault="002D25EA" w:rsidP="002D25EA">
      <w:pPr>
        <w:spacing w:after="140"/>
      </w:pPr>
      <w:r>
        <w:rPr>
          <w:b/>
          <w:bCs/>
        </w:rPr>
        <w:t>Flow 3: outbound (internal to external)</w:t>
      </w:r>
    </w:p>
    <w:p w14:paraId="6B22F163" w14:textId="77777777" w:rsidR="002D25EA" w:rsidRDefault="002D25EA" w:rsidP="002D25EA">
      <w:pPr>
        <w:spacing w:after="140"/>
      </w:pPr>
      <w:r>
        <w:t>When APIM or a backend needs to call out, to a public SaaS provider such as Salesforce, or to any internet endpoint, that traffic must be inspected on the way out. A UDR on the APIM subnet with destination 0.0.0.0/0 and next hop set to the Palo Alto's internal load-balancer IP forces all outbound data-plane traffic through the firewall, where egress policy and threat prevention apply. This is the flow that gives the Organization the outbound inspection and audit it runs the Palo Alto for in the first place.</w:t>
      </w:r>
    </w:p>
    <w:p w14:paraId="36935AB3" w14:textId="77777777" w:rsidR="002D25EA" w:rsidRDefault="002D25EA" w:rsidP="002D25EA">
      <w:pPr>
        <w:pStyle w:val="ListParagraph"/>
        <w:numPr>
          <w:ilvl w:val="0"/>
          <w:numId w:val="2"/>
        </w:numPr>
        <w:spacing w:after="70"/>
      </w:pPr>
      <w:r>
        <w:t>APIM subnet UDR: 0.0.0.0/0 with next hop = Palo Alto internal LB IP (forced tunnelling).</w:t>
      </w:r>
    </w:p>
    <w:p w14:paraId="4E0B690E" w14:textId="77777777" w:rsidR="002D25EA" w:rsidRDefault="002D25EA" w:rsidP="002D25EA">
      <w:pPr>
        <w:pStyle w:val="ListParagraph"/>
        <w:numPr>
          <w:ilvl w:val="0"/>
          <w:numId w:val="2"/>
        </w:numPr>
        <w:spacing w:after="70"/>
      </w:pPr>
      <w:r>
        <w:t>Palo Alto: outbound security and URL-filtering policy for the destinations APIM is permitted to reach; SNAT as required.</w:t>
      </w:r>
    </w:p>
    <w:p w14:paraId="26CA2ABC" w14:textId="77777777" w:rsidR="002D25EA" w:rsidRDefault="002D25EA" w:rsidP="002D25EA">
      <w:pPr>
        <w:pStyle w:val="ListParagraph"/>
        <w:numPr>
          <w:ilvl w:val="0"/>
          <w:numId w:val="2"/>
        </w:numPr>
        <w:spacing w:after="70"/>
      </w:pPr>
      <w:r>
        <w:t>Credentials for SaaS calls stay in Key Vault-backed named values; the firewall controls the path, not the secret.</w:t>
      </w:r>
    </w:p>
    <w:p w14:paraId="34D6304F" w14:textId="77777777" w:rsidR="002D25EA" w:rsidRDefault="002D25EA" w:rsidP="002D25EA">
      <w:pPr>
        <w:spacing w:after="140"/>
      </w:pPr>
      <w:r>
        <w:rPr>
          <w:b/>
          <w:bCs/>
        </w:rPr>
        <w:t>Flow 4: APIM to private backends</w:t>
      </w:r>
    </w:p>
    <w:p w14:paraId="18082184" w14:textId="77777777" w:rsidR="002D25EA" w:rsidRDefault="002D25EA" w:rsidP="002D25EA">
      <w:pPr>
        <w:spacing w:after="140"/>
      </w:pPr>
      <w:r>
        <w:t>Calls from APIM to backends that live inside the Organization’s own network, integration services and Functions, or PaaS reached over Private Endpoint, stay on the private network. These do not need to traverse the Palo Alto to reach the internet, since they never leave Azure's backbone. If the Organization’s security standard requires even east-west private traffic to be inspected, Private Endpoint traffic can be forced to the firewall with a /32 UDR per endpoint, at the cost of route-table management; most designs inspect north-south (internet-facing) traffic at the firewall and rely on NSGs and Private Link for east-west, which is the approach recommended here unless the Organization’s policy says otherwise.</w:t>
      </w:r>
    </w:p>
    <w:p w14:paraId="0AFA7E21" w14:textId="77777777" w:rsidR="002D25EA" w:rsidRDefault="002D25EA" w:rsidP="002D25EA">
      <w:pPr>
        <w:spacing w:after="140"/>
      </w:pPr>
      <w:r>
        <w:rPr>
          <w:b/>
          <w:bCs/>
        </w:rPr>
        <w:t>Flow 5: the control-plane exception (mandatory)</w:t>
      </w:r>
    </w:p>
    <w:p w14:paraId="46C55BCE" w14:textId="77777777" w:rsidR="002D25EA" w:rsidRDefault="002D25EA" w:rsidP="002D25EA">
      <w:pPr>
        <w:spacing w:after="140"/>
      </w:pPr>
      <w:r>
        <w:t>Azure manages APIM over a control-plane channel using the ApiManagement service tag. This traffic uses Azure's own public IP ranges, so if it is force-tunnelled through the Palo Alto the responses do not map symmetrically back and the stateful firewall drops them. The required, Microsoft-documented configuration is a UDR on the APIM subnet for the ApiManagement service tag with next hop set to Internet, so control-plane traffic bypasses the firewall. Microsoft is explicit that allowing this management traffic to bypass the NVA is not a significant security risk, because it is Azure's own management channel, not the Organization’s data. The same bypass applies to the platform dependencies APIM needs (Azure Monitor, Storage, Key Vault, and similar), which should be allowed by service tag rather than by IP.</w:t>
      </w:r>
    </w:p>
    <w:p>
      <w:r>
        <w:br w:type="page"/>
      </w:r>
    </w:p>
    <w:p>
      <w:pPr>
        <w:pStyle w:val="Heading2"/>
      </w:pPr>
      <w:r>
        <w:t>End-to-end build and onboarding swimlane</w:t>
      </w:r>
    </w:p>
    <w:p>
      <w:pPr>
        <w:spacing w:after="140"/>
      </w:pPr>
      <w:r>
        <w:rPr>
          <w:rFonts w:ascii="Noe Text" w:cs="Noe Text" w:eastAsia="Noe Text" w:hAnsi="Noe Text"/>
          <w:color w:val="333333"/>
          <w:sz w:val="21"/>
          <w:szCs w:val="21"/>
        </w:rPr>
        <w:t xml:space="preserve">This appendix brings the whole document together in one picture. Now that the foundational components, network modes, and security model have been described in the sections above, the swimlane below shows the complete journey, which team owns each stage, where responsibility hands over, where the approval gates sit, and which section of this document each team should read. It is placed here deliberately, as a final synthesis, so it can be read with the detail of the preceding sections already in mind.</w:t>
      </w:r>
    </w:p>
    <w:p>
      <w:pPr>
        <w:pStyle w:val="Heading2"/>
      </w:pPr>
      <w:r>
        <w:t>How the platform gets built and who owns each stage</w:t>
      </w:r>
    </w:p>
    <w:p>
      <w:pPr>
        <w:spacing w:after="140"/>
      </w:pPr>
      <w:r>
        <w:rPr>
          <w:rFonts w:ascii="Noe Text" w:cs="Noe Text" w:eastAsia="Noe Text" w:hAnsi="Noe Text"/>
          <w:color w:val="333333"/>
          <w:sz w:val="21"/>
          <w:szCs w:val="21"/>
        </w:rPr>
        <w:t xml:space="preserve">Purpose of the diagram below: to show the whole journey from a business need to a live platform ready for APIs, and exactly which team owns each stage. What to look at: read it left to right as seven phases across the top, and top to bottom to see which team (each row) is active in each phase; the arrows are the handovers, and the red dots are the two points where the Technical Design Authority must approve before work continues. Key takeaway: this is a sequenced, multi-team effort with clear ownership and two hard approval gates, not a single team’s task, and it does not end at go-live, API onboarding is an ongoing activity the platform is built to support. Each box also names the section of this document that team should read for the detail behind its activity.</w:t>
      </w:r>
    </w:p>
    <w:p>
      <w:pPr>
        <w:spacing w:after="120" w:before="120"/>
        <w:jc w:val="center"/>
      </w:pPr>
      <w:r>
        <w:drawing>
          <wp:inline distT="0" distB="0" distL="0" distR="0">
            <wp:extent cx="5943600" cy="3566160"/>
            <wp:effectExtent l="0" t="0" r="0" b="0"/>
            <wp:docPr id="9301" name="APIM build and onboarding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0"/>
                    <a:srcRect/>
                    <a:stretch>
                      <a:fillRect/>
                    </a:stretch>
                  </pic:blipFill>
                  <pic:spPr bwMode="auto">
                    <a:xfrm>
                      <a:off x="0" y="0"/>
                      <a:ext cx="5943600" cy="3566160"/>
                    </a:xfrm>
                    <a:prstGeom prst="rect">
                      <a:avLst/>
                    </a:prstGeom>
                  </pic:spPr>
                </pic:pic>
              </a:graphicData>
            </a:graphic>
          </wp:inline>
        </w:drawing>
      </w:r>
    </w:p>
    <w:p>
      <w:pPr>
        <w:spacing w:after="180"/>
        <w:jc w:val="center"/>
      </w:pPr>
      <w:r>
        <w:rPr>
          <w:i/>
          <w:iCs/>
          <w:color w:val="666666"/>
          <w:sz w:val="18"/>
          <w:szCs w:val="18"/>
        </w:rPr>
        <w:t>Figure 3: APIM platform build and API onboarding swimlane, from business requirement to production consumption</w:t>
      </w:r>
    </w:p>
    <w:p>
      <w:pPr>
        <w:spacing w:after="140"/>
      </w:pPr>
      <w:r>
        <w:rPr>
          <w:rFonts w:ascii="Noe Text" w:cs="Noe Text" w:eastAsia="Noe Text" w:hAnsi="Noe Text"/>
          <w:i/>
          <w:iCs/>
          <w:color w:val="333333"/>
          <w:sz w:val="21"/>
          <w:szCs w:val="21"/>
        </w:rPr>
        <w:t xml:space="preserve">What this means for planning: standing the platform up is a cross-team programme with a clear critical path, architecture and TDA sign-off first, then a parallel platform-and-network build, then security validation and operational readiness, then a final go-live gate. Only after that milestone do application teams begin onboarding APIs, which then runs continuously. The sections that follow detail what each phase involves.</w:t>
      </w:r>
    </w:p>
    <w:sectPr w:rsidR="00FD6099" w:rsidRPr="00614F2E" w:rsidSect="00C2163D">
      <w:headerReference w:type="first" r:id="rId46"/>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Puneet Kumar - Chaucer" w:date="2026-09-17T10:41:00Z" w:initials="PK">
    <w:p w14:paraId="6ECAA636" w14:textId="77777777" w:rsidR="00BC187B" w:rsidRDefault="00BC187B" w:rsidP="00BC187B">
      <w:pPr>
        <w:pStyle w:val="CommentText"/>
      </w:pPr>
      <w:r>
        <w:rPr>
          <w:rStyle w:val="CommentReference"/>
        </w:rPr>
        <w:annotationRef/>
      </w:r>
      <w:r>
        <w:t>Check Palo Alto Configuration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CAA6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ABB37" w16cex:dateUtc="2026-09-17T0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CAA636" w16cid:durableId="4E5ABB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371E4" w14:textId="77777777" w:rsidR="005646FB" w:rsidRDefault="005646FB" w:rsidP="00614F2E">
      <w:r>
        <w:separator/>
      </w:r>
    </w:p>
  </w:endnote>
  <w:endnote w:type="continuationSeparator" w:id="0">
    <w:p w14:paraId="27E4E245" w14:textId="77777777" w:rsidR="005646FB" w:rsidRDefault="005646FB" w:rsidP="0061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e Text">
    <w:altName w:val="Cambria"/>
    <w:panose1 w:val="00000000000000000000"/>
    <w:charset w:val="00"/>
    <w:family w:val="roman"/>
    <w:notTrueType/>
    <w:pitch w:val="default"/>
  </w:font>
  <w:font w:name="Noe Text Regular">
    <w:altName w:val="Cambria"/>
    <w:panose1 w:val="00000000000000000000"/>
    <w:charset w:val="00"/>
    <w:family w:val="roman"/>
    <w:notTrueType/>
    <w:pitch w:val="variable"/>
    <w:sig w:usb0="A000002F" w:usb1="40000053" w:usb2="00000000" w:usb3="00000000" w:csb0="00000093" w:csb1="00000000"/>
  </w:font>
  <w:font w:name="Regular">
    <w:altName w:val="Cambria"/>
    <w:panose1 w:val="00000000000000000000"/>
    <w:charset w:val="00"/>
    <w:family w:val="modern"/>
    <w:notTrueType/>
    <w:pitch w:val="variable"/>
    <w:sig w:usb0="A00000EF" w:usb1="5000207B"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5F86E" w14:textId="77777777" w:rsidR="005646FB" w:rsidRDefault="005646FB" w:rsidP="00614F2E">
      <w:r>
        <w:separator/>
      </w:r>
    </w:p>
  </w:footnote>
  <w:footnote w:type="continuationSeparator" w:id="0">
    <w:p w14:paraId="05A731A2" w14:textId="77777777" w:rsidR="005646FB" w:rsidRDefault="005646FB" w:rsidP="0061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5BC3" w14:textId="77777777" w:rsidR="00614F2E" w:rsidRDefault="00614F2E">
    <w:pPr>
      <w:pStyle w:val="Header"/>
    </w:pPr>
    <w:r>
      <w:rPr>
        <w:noProof/>
      </w:rPr>
      <w:drawing>
        <wp:anchor distT="0" distB="0" distL="114300" distR="114300" simplePos="0" relativeHeight="251659264" behindDoc="1" locked="1" layoutInCell="1" allowOverlap="1" wp14:anchorId="52B0C553" wp14:editId="628EE8B4">
          <wp:simplePos x="0" y="0"/>
          <wp:positionH relativeFrom="page">
            <wp:posOffset>457200</wp:posOffset>
          </wp:positionH>
          <wp:positionV relativeFrom="page">
            <wp:posOffset>504190</wp:posOffset>
          </wp:positionV>
          <wp:extent cx="6663600" cy="9727200"/>
          <wp:effectExtent l="0" t="0" r="4445" b="1270"/>
          <wp:wrapNone/>
          <wp:docPr id="1" name="Picture 1"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600" cy="9727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1" layoutInCell="1" allowOverlap="1" wp14:anchorId="1F821C48" wp14:editId="5D83B64B">
          <wp:simplePos x="0" y="0"/>
          <wp:positionH relativeFrom="page">
            <wp:posOffset>817245</wp:posOffset>
          </wp:positionH>
          <wp:positionV relativeFrom="page">
            <wp:posOffset>817245</wp:posOffset>
          </wp:positionV>
          <wp:extent cx="1969200" cy="723600"/>
          <wp:effectExtent l="0" t="0" r="0" b="635"/>
          <wp:wrapNone/>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nsid w:val="0DBE5A51"/>
    <w:multiLevelType w:val="multilevel"/>
    <w:tmpl w:val="59D8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6510F5"/>
    <w:multiLevelType w:val="hybridMultilevel"/>
    <w:tmpl w:val="6C9AB22A"/>
    <w:lvl w:ilvl="0" w:tplc="A13E2EC2">
      <w:start w:val="1"/>
      <w:numFmt w:val="bullet"/>
      <w:lvlText w:val="•"/>
      <w:lvlJc w:val="left"/>
      <w:pPr>
        <w:ind w:left="460" w:hanging="260"/>
      </w:pPr>
    </w:lvl>
    <w:lvl w:ilvl="1" w:tplc="223219EE">
      <w:numFmt w:val="decimal"/>
      <w:lvlText w:val=""/>
      <w:lvlJc w:val="left"/>
    </w:lvl>
    <w:lvl w:ilvl="2" w:tplc="320070C4">
      <w:numFmt w:val="decimal"/>
      <w:lvlText w:val=""/>
      <w:lvlJc w:val="left"/>
    </w:lvl>
    <w:lvl w:ilvl="3" w:tplc="8D463EAE">
      <w:numFmt w:val="decimal"/>
      <w:lvlText w:val=""/>
      <w:lvlJc w:val="left"/>
    </w:lvl>
    <w:lvl w:ilvl="4" w:tplc="00E0C9F0">
      <w:numFmt w:val="decimal"/>
      <w:lvlText w:val=""/>
      <w:lvlJc w:val="left"/>
    </w:lvl>
    <w:lvl w:ilvl="5" w:tplc="995499B8">
      <w:numFmt w:val="decimal"/>
      <w:lvlText w:val=""/>
      <w:lvlJc w:val="left"/>
    </w:lvl>
    <w:lvl w:ilvl="6" w:tplc="D0806108">
      <w:numFmt w:val="decimal"/>
      <w:lvlText w:val=""/>
      <w:lvlJc w:val="left"/>
    </w:lvl>
    <w:lvl w:ilvl="7" w:tplc="08260E84">
      <w:numFmt w:val="decimal"/>
      <w:lvlText w:val=""/>
      <w:lvlJc w:val="left"/>
    </w:lvl>
    <w:lvl w:ilvl="8" w:tplc="30EA0A82">
      <w:numFmt w:val="decimal"/>
      <w:lvlText w:val=""/>
      <w:lvlJc w:val="left"/>
    </w:lvl>
  </w:abstractNum>
  <w:abstractNum w:abstractNumId="2">
    <w:nsid w:val="16ED49F4"/>
    <w:multiLevelType w:val="multilevel"/>
    <w:tmpl w:val="D19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7A35A7"/>
    <w:multiLevelType w:val="multilevel"/>
    <w:tmpl w:val="30D6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AD1EFA"/>
    <w:multiLevelType w:val="multilevel"/>
    <w:tmpl w:val="294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5F5DA8"/>
    <w:multiLevelType w:val="multilevel"/>
    <w:tmpl w:val="614A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566F49"/>
    <w:multiLevelType w:val="multilevel"/>
    <w:tmpl w:val="0EF2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953575E"/>
    <w:multiLevelType w:val="multilevel"/>
    <w:tmpl w:val="040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1A6524"/>
    <w:multiLevelType w:val="multilevel"/>
    <w:tmpl w:val="BC5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D24DAA"/>
    <w:multiLevelType w:val="multilevel"/>
    <w:tmpl w:val="7D04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4A09D4"/>
    <w:multiLevelType w:val="multilevel"/>
    <w:tmpl w:val="851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00734D"/>
    <w:multiLevelType w:val="hybridMultilevel"/>
    <w:tmpl w:val="642C6FEA"/>
    <w:lvl w:ilvl="0" w:tplc="C332F0C6">
      <w:start w:val="1"/>
      <w:numFmt w:val="bullet"/>
      <w:lvlText w:val="●"/>
      <w:lvlJc w:val="left"/>
      <w:pPr>
        <w:ind w:left="720" w:hanging="360"/>
      </w:pPr>
    </w:lvl>
    <w:lvl w:ilvl="1" w:tplc="5A863FE6">
      <w:start w:val="1"/>
      <w:numFmt w:val="bullet"/>
      <w:lvlText w:val="○"/>
      <w:lvlJc w:val="left"/>
      <w:pPr>
        <w:ind w:left="1440" w:hanging="360"/>
      </w:pPr>
    </w:lvl>
    <w:lvl w:ilvl="2" w:tplc="DADE1980">
      <w:start w:val="1"/>
      <w:numFmt w:val="bullet"/>
      <w:lvlText w:val="■"/>
      <w:lvlJc w:val="left"/>
      <w:pPr>
        <w:ind w:left="2160" w:hanging="360"/>
      </w:pPr>
    </w:lvl>
    <w:lvl w:ilvl="3" w:tplc="CB10B51C">
      <w:start w:val="1"/>
      <w:numFmt w:val="bullet"/>
      <w:lvlText w:val="●"/>
      <w:lvlJc w:val="left"/>
      <w:pPr>
        <w:ind w:left="2880" w:hanging="360"/>
      </w:pPr>
    </w:lvl>
    <w:lvl w:ilvl="4" w:tplc="93301A6E">
      <w:start w:val="1"/>
      <w:numFmt w:val="bullet"/>
      <w:lvlText w:val="○"/>
      <w:lvlJc w:val="left"/>
      <w:pPr>
        <w:ind w:left="3600" w:hanging="360"/>
      </w:pPr>
    </w:lvl>
    <w:lvl w:ilvl="5" w:tplc="777649A4">
      <w:start w:val="1"/>
      <w:numFmt w:val="bullet"/>
      <w:lvlText w:val="■"/>
      <w:lvlJc w:val="left"/>
      <w:pPr>
        <w:ind w:left="4320" w:hanging="360"/>
      </w:pPr>
    </w:lvl>
    <w:lvl w:ilvl="6" w:tplc="95AA3EB6">
      <w:start w:val="1"/>
      <w:numFmt w:val="bullet"/>
      <w:lvlText w:val="●"/>
      <w:lvlJc w:val="left"/>
      <w:pPr>
        <w:ind w:left="5040" w:hanging="360"/>
      </w:pPr>
    </w:lvl>
    <w:lvl w:ilvl="7" w:tplc="3B9E8A3A">
      <w:start w:val="1"/>
      <w:numFmt w:val="bullet"/>
      <w:lvlText w:val="●"/>
      <w:lvlJc w:val="left"/>
      <w:pPr>
        <w:ind w:left="5760" w:hanging="360"/>
      </w:pPr>
    </w:lvl>
    <w:lvl w:ilvl="8" w:tplc="66E28A28">
      <w:start w:val="1"/>
      <w:numFmt w:val="bullet"/>
      <w:lvlText w:val="●"/>
      <w:lvlJc w:val="left"/>
      <w:pPr>
        <w:ind w:left="6480" w:hanging="360"/>
      </w:pPr>
    </w:lvl>
  </w:abstractNum>
  <w:abstractNum w:abstractNumId="12">
    <w:nsid w:val="6A8A0279"/>
    <w:multiLevelType w:val="multilevel"/>
    <w:tmpl w:val="FBD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7314B5"/>
    <w:multiLevelType w:val="multilevel"/>
    <w:tmpl w:val="205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9268D9"/>
    <w:multiLevelType w:val="multilevel"/>
    <w:tmpl w:val="450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multiLevelType w:val="multilevel"/>
    <w:lvl w:ilvl="0">
      <w:start w:val="1"/>
      <w:numFmt w:val="decimal"/>
      <w:lvlText w:val="%1."/>
      <w:lvlJc w:val="left"/>
      <w:pPr>
        <w:ind w:left="432" w:hanging="432"/>
      </w:pPr>
    </w:lvl>
    <w:lvl w:ilvl="1">
      <w:start w:val="1"/>
      <w:numFmt w:val="decimal"/>
      <w:lvlText w:val="%1.%2."/>
      <w:lvlJc w:val="left"/>
      <w:pPr>
        <w:ind w:left="576" w:hanging="576"/>
      </w:pPr>
    </w:lvl>
  </w:abstractNum>
  <w:num w:numId="1" w16cid:durableId="1664315691">
    <w:abstractNumId w:val="11"/>
    <w:lvlOverride w:ilvl="0">
      <w:startOverride w:val="1"/>
    </w:lvlOverride>
  </w:num>
  <w:num w:numId="2" w16cid:durableId="1470900455">
    <w:abstractNumId w:val="1"/>
    <w:lvlOverride w:ilvl="0">
      <w:startOverride w:val="1"/>
    </w:lvlOverride>
  </w:num>
  <w:num w:numId="3" w16cid:durableId="866648454">
    <w:abstractNumId w:val="13"/>
  </w:num>
  <w:num w:numId="4" w16cid:durableId="1171681179">
    <w:abstractNumId w:val="6"/>
  </w:num>
  <w:num w:numId="5" w16cid:durableId="1424296415">
    <w:abstractNumId w:val="10"/>
  </w:num>
  <w:num w:numId="6" w16cid:durableId="1991589832">
    <w:abstractNumId w:val="12"/>
  </w:num>
  <w:num w:numId="7" w16cid:durableId="876891402">
    <w:abstractNumId w:val="5"/>
  </w:num>
  <w:num w:numId="8" w16cid:durableId="1079209754">
    <w:abstractNumId w:val="9"/>
  </w:num>
  <w:num w:numId="9" w16cid:durableId="1558204310">
    <w:abstractNumId w:val="0"/>
  </w:num>
  <w:num w:numId="10" w16cid:durableId="201409134">
    <w:abstractNumId w:val="4"/>
  </w:num>
  <w:num w:numId="11" w16cid:durableId="1872109610">
    <w:abstractNumId w:val="8"/>
  </w:num>
  <w:num w:numId="12" w16cid:durableId="262156456">
    <w:abstractNumId w:val="2"/>
  </w:num>
  <w:num w:numId="13" w16cid:durableId="1733429548">
    <w:abstractNumId w:val="3"/>
  </w:num>
  <w:num w:numId="14" w16cid:durableId="227762280">
    <w:abstractNumId w:val="14"/>
  </w:num>
  <w:num w:numId="15" w16cid:durableId="1345396674">
    <w:abstractNumId w:val="7"/>
  </w:num>
  <w:num w:numId="100">
    <w:abstractNumId w:val="10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A"/>
    <w:rsid w:val="00007E30"/>
    <w:rsid w:val="000206BD"/>
    <w:rsid w:val="00026313"/>
    <w:rsid w:val="00050DBF"/>
    <w:rsid w:val="00052E38"/>
    <w:rsid w:val="000E24C5"/>
    <w:rsid w:val="00145D75"/>
    <w:rsid w:val="0017165F"/>
    <w:rsid w:val="001910E5"/>
    <w:rsid w:val="00197BB3"/>
    <w:rsid w:val="001C4E1E"/>
    <w:rsid w:val="001E78F6"/>
    <w:rsid w:val="001F3B65"/>
    <w:rsid w:val="00284C6E"/>
    <w:rsid w:val="00295BF6"/>
    <w:rsid w:val="002B5639"/>
    <w:rsid w:val="002B7A4B"/>
    <w:rsid w:val="002C2E30"/>
    <w:rsid w:val="002D25EA"/>
    <w:rsid w:val="002E4C5E"/>
    <w:rsid w:val="002E76EF"/>
    <w:rsid w:val="00321A20"/>
    <w:rsid w:val="003433FC"/>
    <w:rsid w:val="0035470A"/>
    <w:rsid w:val="00356C84"/>
    <w:rsid w:val="00371292"/>
    <w:rsid w:val="0045726B"/>
    <w:rsid w:val="004E636E"/>
    <w:rsid w:val="0052320C"/>
    <w:rsid w:val="005646FB"/>
    <w:rsid w:val="00572FAB"/>
    <w:rsid w:val="00593888"/>
    <w:rsid w:val="00600C43"/>
    <w:rsid w:val="00614651"/>
    <w:rsid w:val="00614F2E"/>
    <w:rsid w:val="006C1835"/>
    <w:rsid w:val="006D7D8A"/>
    <w:rsid w:val="007766BC"/>
    <w:rsid w:val="00792311"/>
    <w:rsid w:val="007C3CE8"/>
    <w:rsid w:val="007C61F3"/>
    <w:rsid w:val="007F5718"/>
    <w:rsid w:val="0082236C"/>
    <w:rsid w:val="00AB5027"/>
    <w:rsid w:val="00B04AA7"/>
    <w:rsid w:val="00B97A46"/>
    <w:rsid w:val="00BC187B"/>
    <w:rsid w:val="00C2163D"/>
    <w:rsid w:val="00C8018D"/>
    <w:rsid w:val="00D05087"/>
    <w:rsid w:val="00D11DDB"/>
    <w:rsid w:val="00DA5FAC"/>
    <w:rsid w:val="00DD57F4"/>
    <w:rsid w:val="00DF73B7"/>
    <w:rsid w:val="00E335CD"/>
    <w:rsid w:val="00E37810"/>
    <w:rsid w:val="00E765E4"/>
    <w:rsid w:val="00EE7E29"/>
    <w:rsid w:val="00F236D1"/>
    <w:rsid w:val="00F67D03"/>
    <w:rsid w:val="00F978FA"/>
    <w:rsid w:val="00FC4645"/>
    <w:rsid w:val="00FD3C7F"/>
    <w:rsid w:val="00FD6099"/>
    <w:rsid w:val="00FE4B1D"/>
    <w:rsid w:val="00FF4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DC84"/>
  <w15:chartTrackingRefBased/>
  <w15:docId w15:val="{A410D16D-A373-4508-8EB1-9C4F973C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EA"/>
    <w:pPr>
      <w:spacing w:after="0" w:line="240" w:lineRule="auto"/>
    </w:pPr>
    <w:rPr>
      <w:rFonts w:ascii="Noe Text" w:eastAsia="Noe Text" w:hAnsi="Noe Text" w:cs="Noe Text"/>
      <w:color w:val="333333"/>
      <w:sz w:val="21"/>
      <w:szCs w:val="21"/>
      <w:lang w:eastAsia="en-GB"/>
    </w:rPr>
  </w:style>
  <w:style w:type="paragraph" w:styleId="Heading1">
    <w:name w:val="heading 1"/>
    <w:link w:val="Heading1Char"/>
    <w:uiPriority w:val="9"/>
    <w:qFormat/>
    <w:rsid w:val="002D25EA"/>
    <w:pPr>
      <w:numPr>
        <w:ilvl w:val="0"/>
        <w:numId w:val="100"/>
      </w:numPr>
      <w:spacing w:after="160" w:line="240" w:lineRule="auto"/>
      <w:outlineLvl w:val="0"/>
    </w:pPr>
    <w:rPr>
      <w:rFonts w:ascii="Noe Text Regular" w:eastAsia="Noe Text Regular" w:hAnsi="Noe Text Regular" w:cs="Noe Text Regular"/>
      <w:b/>
      <w:bCs/>
      <w:color w:val="1E2761"/>
      <w:sz w:val="30"/>
      <w:szCs w:val="30"/>
      <w:lang w:eastAsia="en-GB"/>
    </w:rPr>
  </w:style>
  <w:style w:type="paragraph" w:styleId="Heading2">
    <w:name w:val="heading 2"/>
    <w:link w:val="Heading2Char"/>
    <w:uiPriority w:val="9"/>
    <w:unhideWhenUsed/>
    <w:qFormat/>
    <w:rsid w:val="002D25EA"/>
    <w:pPr>
      <w:numPr>
        <w:ilvl w:val="1"/>
        <w:numId w:val="100"/>
      </w:numPr>
      <w:spacing w:before="200" w:after="100" w:line="240" w:lineRule="auto"/>
      <w:outlineLvl w:val="1"/>
    </w:pPr>
    <w:rPr>
      <w:rFonts w:ascii="Noe Text Regular" w:eastAsia="Noe Text Regular" w:hAnsi="Noe Text Regular" w:cs="Noe Text Regular"/>
      <w:b/>
      <w:bCs/>
      <w:color w:val="132040"/>
      <w:sz w:val="25"/>
      <w:szCs w:val="25"/>
      <w:lang w:eastAsia="en-GB"/>
    </w:rPr>
  </w:style>
  <w:style w:type="paragraph" w:styleId="Heading3">
    <w:name w:val="heading 3"/>
    <w:link w:val="Heading3Char"/>
    <w:uiPriority w:val="9"/>
    <w:unhideWhenUsed/>
    <w:qFormat/>
    <w:rsid w:val="002D25EA"/>
    <w:pPr>
      <w:spacing w:before="160" w:after="90" w:line="240" w:lineRule="auto"/>
      <w:outlineLvl w:val="2"/>
    </w:pPr>
    <w:rPr>
      <w:rFonts w:ascii="Noe Text Regular" w:eastAsia="Noe Text Regular" w:hAnsi="Noe Text Regular" w:cs="Noe Text Regular"/>
      <w:b/>
      <w:bCs/>
      <w:color w:val="323232"/>
      <w:lang w:eastAsia="en-GB"/>
    </w:rPr>
  </w:style>
  <w:style w:type="paragraph" w:styleId="Heading4">
    <w:name w:val="heading 4"/>
    <w:link w:val="Heading4Char"/>
    <w:uiPriority w:val="9"/>
    <w:semiHidden/>
    <w:unhideWhenUsed/>
    <w:qFormat/>
    <w:rsid w:val="002D25EA"/>
    <w:pPr>
      <w:spacing w:after="0" w:line="240" w:lineRule="auto"/>
      <w:outlineLvl w:val="3"/>
    </w:pPr>
    <w:rPr>
      <w:rFonts w:ascii="Noe Text" w:eastAsia="Noe Text" w:hAnsi="Noe Text" w:cs="Noe Text"/>
      <w:i/>
      <w:iCs/>
      <w:color w:val="2E74B5"/>
      <w:sz w:val="21"/>
      <w:szCs w:val="21"/>
      <w:lang w:eastAsia="en-GB"/>
    </w:rPr>
  </w:style>
  <w:style w:type="paragraph" w:styleId="Heading5">
    <w:name w:val="heading 5"/>
    <w:link w:val="Heading5Char"/>
    <w:uiPriority w:val="9"/>
    <w:semiHidden/>
    <w:unhideWhenUsed/>
    <w:qFormat/>
    <w:rsid w:val="002D25EA"/>
    <w:pPr>
      <w:spacing w:after="0" w:line="240" w:lineRule="auto"/>
      <w:outlineLvl w:val="4"/>
    </w:pPr>
    <w:rPr>
      <w:rFonts w:ascii="Noe Text" w:eastAsia="Noe Text" w:hAnsi="Noe Text" w:cs="Noe Text"/>
      <w:color w:val="2E74B5"/>
      <w:sz w:val="21"/>
      <w:szCs w:val="21"/>
      <w:lang w:eastAsia="en-GB"/>
    </w:rPr>
  </w:style>
  <w:style w:type="paragraph" w:styleId="Heading6">
    <w:name w:val="heading 6"/>
    <w:link w:val="Heading6Char"/>
    <w:uiPriority w:val="9"/>
    <w:semiHidden/>
    <w:unhideWhenUsed/>
    <w:qFormat/>
    <w:rsid w:val="002D25EA"/>
    <w:pPr>
      <w:spacing w:after="0" w:line="240" w:lineRule="auto"/>
      <w:outlineLvl w:val="5"/>
    </w:pPr>
    <w:rPr>
      <w:rFonts w:ascii="Noe Text" w:eastAsia="Noe Text" w:hAnsi="Noe Text" w:cs="Noe Text"/>
      <w:color w:val="1F4D78"/>
      <w:sz w:val="21"/>
      <w:szCs w:val="21"/>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614F2E"/>
    <w:rPr>
      <w:rFonts w:asciiTheme="majorHAnsi" w:eastAsiaTheme="majorEastAsia" w:hAnsiTheme="majorHAnsi" w:cstheme="majorBidi"/>
      <w:b/>
      <w:spacing w:val="-10"/>
      <w:kern w:val="28"/>
      <w:sz w:val="48"/>
      <w:szCs w:val="56"/>
    </w:rPr>
  </w:style>
  <w:style w:type="paragraph" w:styleId="Header">
    <w:name w:val="header"/>
    <w:basedOn w:val="Normal"/>
    <w:link w:val="HeaderChar"/>
    <w:uiPriority w:val="99"/>
    <w:semiHidden/>
    <w:rsid w:val="00614F2E"/>
    <w:pPr>
      <w:tabs>
        <w:tab w:val="center" w:pos="4680"/>
        <w:tab w:val="right" w:pos="9360"/>
      </w:tabs>
    </w:pPr>
  </w:style>
  <w:style w:type="character" w:customStyle="1" w:styleId="HeaderChar">
    <w:name w:val="Header Char"/>
    <w:basedOn w:val="DefaultParagraphFont"/>
    <w:link w:val="Header"/>
    <w:uiPriority w:val="99"/>
    <w:semiHidden/>
    <w:rsid w:val="00614F2E"/>
  </w:style>
  <w:style w:type="paragraph" w:styleId="Footer">
    <w:name w:val="footer"/>
    <w:basedOn w:val="Normal"/>
    <w:link w:val="FooterChar"/>
    <w:uiPriority w:val="99"/>
    <w:semiHidden/>
    <w:rsid w:val="00614F2E"/>
    <w:pPr>
      <w:tabs>
        <w:tab w:val="center" w:pos="4680"/>
        <w:tab w:val="right" w:pos="9360"/>
      </w:tabs>
    </w:pPr>
  </w:style>
  <w:style w:type="character" w:customStyle="1" w:styleId="FooterChar">
    <w:name w:val="Footer Char"/>
    <w:basedOn w:val="DefaultParagraphFont"/>
    <w:link w:val="Footer"/>
    <w:uiPriority w:val="99"/>
    <w:semiHidden/>
    <w:rsid w:val="00614F2E"/>
  </w:style>
  <w:style w:type="character" w:customStyle="1" w:styleId="Heading1Char">
    <w:name w:val="Heading 1 Char"/>
    <w:basedOn w:val="DefaultParagraphFont"/>
    <w:link w:val="Heading1"/>
    <w:uiPriority w:val="9"/>
    <w:rsid w:val="002D25EA"/>
    <w:rPr>
      <w:rFonts w:ascii="Noe Text Regular" w:eastAsia="Noe Text Regular" w:hAnsi="Noe Text Regular" w:cs="Noe Text Regular"/>
      <w:b/>
      <w:bCs/>
      <w:color w:val="1E2761"/>
      <w:sz w:val="30"/>
      <w:szCs w:val="30"/>
      <w:lang w:eastAsia="en-GB"/>
    </w:rPr>
  </w:style>
  <w:style w:type="character" w:customStyle="1" w:styleId="Heading2Char">
    <w:name w:val="Heading 2 Char"/>
    <w:basedOn w:val="DefaultParagraphFont"/>
    <w:link w:val="Heading2"/>
    <w:uiPriority w:val="9"/>
    <w:rsid w:val="002D25EA"/>
    <w:rPr>
      <w:rFonts w:ascii="Noe Text Regular" w:eastAsia="Noe Text Regular" w:hAnsi="Noe Text Regular" w:cs="Noe Text Regular"/>
      <w:b/>
      <w:bCs/>
      <w:color w:val="132040"/>
      <w:sz w:val="25"/>
      <w:szCs w:val="25"/>
      <w:lang w:eastAsia="en-GB"/>
    </w:rPr>
  </w:style>
  <w:style w:type="character" w:customStyle="1" w:styleId="Heading3Char">
    <w:name w:val="Heading 3 Char"/>
    <w:basedOn w:val="DefaultParagraphFont"/>
    <w:link w:val="Heading3"/>
    <w:uiPriority w:val="9"/>
    <w:rsid w:val="002D25EA"/>
    <w:rPr>
      <w:rFonts w:ascii="Noe Text Regular" w:eastAsia="Noe Text Regular" w:hAnsi="Noe Text Regular" w:cs="Noe Text Regular"/>
      <w:b/>
      <w:bCs/>
      <w:color w:val="323232"/>
      <w:lang w:eastAsia="en-GB"/>
    </w:rPr>
  </w:style>
  <w:style w:type="character" w:customStyle="1" w:styleId="Heading4Char">
    <w:name w:val="Heading 4 Char"/>
    <w:basedOn w:val="DefaultParagraphFont"/>
    <w:link w:val="Heading4"/>
    <w:uiPriority w:val="9"/>
    <w:semiHidden/>
    <w:rsid w:val="002D25EA"/>
    <w:rPr>
      <w:rFonts w:ascii="Noe Text" w:eastAsia="Noe Text" w:hAnsi="Noe Text" w:cs="Noe Text"/>
      <w:i/>
      <w:iCs/>
      <w:color w:val="2E74B5"/>
      <w:sz w:val="21"/>
      <w:szCs w:val="21"/>
      <w:lang w:eastAsia="en-GB"/>
    </w:rPr>
  </w:style>
  <w:style w:type="character" w:customStyle="1" w:styleId="Heading5Char">
    <w:name w:val="Heading 5 Char"/>
    <w:basedOn w:val="DefaultParagraphFont"/>
    <w:link w:val="Heading5"/>
    <w:uiPriority w:val="9"/>
    <w:semiHidden/>
    <w:rsid w:val="002D25EA"/>
    <w:rPr>
      <w:rFonts w:ascii="Noe Text" w:eastAsia="Noe Text" w:hAnsi="Noe Text" w:cs="Noe Text"/>
      <w:color w:val="2E74B5"/>
      <w:sz w:val="21"/>
      <w:szCs w:val="21"/>
      <w:lang w:eastAsia="en-GB"/>
    </w:rPr>
  </w:style>
  <w:style w:type="character" w:customStyle="1" w:styleId="Heading6Char">
    <w:name w:val="Heading 6 Char"/>
    <w:basedOn w:val="DefaultParagraphFont"/>
    <w:link w:val="Heading6"/>
    <w:uiPriority w:val="9"/>
    <w:semiHidden/>
    <w:rsid w:val="002D25EA"/>
    <w:rPr>
      <w:rFonts w:ascii="Noe Text" w:eastAsia="Noe Text" w:hAnsi="Noe Text" w:cs="Noe Text"/>
      <w:color w:val="1F4D78"/>
      <w:sz w:val="21"/>
      <w:szCs w:val="21"/>
      <w:lang w:eastAsia="en-GB"/>
    </w:rPr>
  </w:style>
  <w:style w:type="paragraph" w:customStyle="1" w:styleId="Strong1">
    <w:name w:val="Strong1"/>
    <w:qFormat/>
    <w:rsid w:val="002D25EA"/>
    <w:pPr>
      <w:spacing w:after="0" w:line="240" w:lineRule="auto"/>
    </w:pPr>
    <w:rPr>
      <w:rFonts w:ascii="Noe Text" w:eastAsia="Noe Text" w:hAnsi="Noe Text" w:cs="Noe Text"/>
      <w:b/>
      <w:bCs/>
      <w:color w:val="333333"/>
      <w:sz w:val="21"/>
      <w:szCs w:val="21"/>
      <w:lang w:eastAsia="en-GB"/>
    </w:rPr>
  </w:style>
  <w:style w:type="paragraph" w:styleId="ListParagraph">
    <w:name w:val="List Paragraph"/>
    <w:qFormat/>
    <w:rsid w:val="002D25EA"/>
    <w:pPr>
      <w:spacing w:after="0" w:line="240" w:lineRule="auto"/>
    </w:pPr>
    <w:rPr>
      <w:rFonts w:ascii="Noe Text" w:eastAsia="Noe Text" w:hAnsi="Noe Text" w:cs="Noe Text"/>
      <w:color w:val="333333"/>
      <w:sz w:val="21"/>
      <w:szCs w:val="21"/>
      <w:lang w:eastAsia="en-GB"/>
    </w:rPr>
  </w:style>
  <w:style w:type="character" w:styleId="Hyperlink">
    <w:name w:val="Hyperlink"/>
    <w:uiPriority w:val="99"/>
    <w:unhideWhenUsed/>
    <w:rsid w:val="002D25EA"/>
    <w:rPr>
      <w:color w:val="0563C1"/>
      <w:u w:val="single"/>
    </w:rPr>
  </w:style>
  <w:style w:type="character" w:styleId="FootnoteReference">
    <w:name w:val="footnote reference"/>
    <w:uiPriority w:val="99"/>
    <w:semiHidden/>
    <w:unhideWhenUsed/>
    <w:rsid w:val="002D25EA"/>
    <w:rPr>
      <w:vertAlign w:val="superscript"/>
    </w:rPr>
  </w:style>
  <w:style w:type="paragraph" w:styleId="FootnoteText">
    <w:name w:val="footnote text"/>
    <w:link w:val="Foot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FootnoteTextChar">
    <w:name w:val="Footnote Text Char"/>
    <w:basedOn w:val="DefaultParagraphFont"/>
    <w:link w:val="FootnoteText"/>
    <w:uiPriority w:val="99"/>
    <w:semiHidden/>
    <w:rsid w:val="002D25EA"/>
    <w:rPr>
      <w:rFonts w:ascii="Noe Text" w:eastAsia="Noe Text" w:hAnsi="Noe Text" w:cs="Noe Text"/>
      <w:color w:val="333333"/>
      <w:sz w:val="20"/>
      <w:szCs w:val="20"/>
      <w:lang w:eastAsia="en-GB"/>
    </w:rPr>
  </w:style>
  <w:style w:type="character" w:styleId="EndnoteReference">
    <w:name w:val="endnote reference"/>
    <w:uiPriority w:val="99"/>
    <w:semiHidden/>
    <w:unhideWhenUsed/>
    <w:rsid w:val="002D25EA"/>
    <w:rPr>
      <w:vertAlign w:val="superscript"/>
    </w:rPr>
  </w:style>
  <w:style w:type="paragraph" w:styleId="EndnoteText">
    <w:name w:val="endnote text"/>
    <w:link w:val="EndnoteTextChar"/>
    <w:uiPriority w:val="99"/>
    <w:semiHidden/>
    <w:unhideWhenUsed/>
    <w:rsid w:val="002D25EA"/>
    <w:pPr>
      <w:spacing w:after="0" w:line="240" w:lineRule="auto"/>
    </w:pPr>
    <w:rPr>
      <w:rFonts w:ascii="Noe Text" w:eastAsia="Noe Text" w:hAnsi="Noe Text" w:cs="Noe Text"/>
      <w:color w:val="333333"/>
      <w:sz w:val="20"/>
      <w:szCs w:val="20"/>
      <w:lang w:eastAsia="en-GB"/>
    </w:rPr>
  </w:style>
  <w:style w:type="character" w:customStyle="1" w:styleId="EndnoteTextChar">
    <w:name w:val="Endnote Text Char"/>
    <w:basedOn w:val="DefaultParagraphFont"/>
    <w:link w:val="EndnoteText"/>
    <w:uiPriority w:val="99"/>
    <w:semiHidden/>
    <w:rsid w:val="002D25EA"/>
    <w:rPr>
      <w:rFonts w:ascii="Noe Text" w:eastAsia="Noe Text" w:hAnsi="Noe Text" w:cs="Noe Text"/>
      <w:color w:val="333333"/>
      <w:sz w:val="20"/>
      <w:szCs w:val="20"/>
      <w:lang w:eastAsia="en-GB"/>
    </w:rPr>
  </w:style>
  <w:style w:type="paragraph" w:styleId="TOCHeading">
    <w:name w:val="TOC Heading"/>
    <w:basedOn w:val="Heading1"/>
    <w:next w:val="Normal"/>
    <w:uiPriority w:val="39"/>
    <w:unhideWhenUsed/>
    <w:qFormat/>
    <w:rsid w:val="002D25EA"/>
    <w:pPr>
      <w:keepNext/>
      <w:keepLines/>
      <w:numPr>
        <w:ilvl w:val="0"/>
        <w:numId w:val="0"/>
      </w:numPr>
      <w:spacing w:before="240" w:after="0" w:line="259" w:lineRule="auto"/>
      <w:outlineLvl w:val="9"/>
    </w:pPr>
    <w:rPr>
      <w:rFonts w:asciiTheme="majorHAnsi" w:eastAsiaTheme="majorEastAsia" w:hAnsiTheme="majorHAnsi" w:cstheme="majorBidi"/>
      <w:b w:val="0"/>
      <w:bCs w:val="0"/>
      <w:color w:val="132040" w:themeColor="accent1" w:themeShade="BF"/>
      <w:sz w:val="32"/>
      <w:szCs w:val="32"/>
    </w:rPr>
  </w:style>
  <w:style w:type="paragraph" w:styleId="TOC1">
    <w:name w:val="toc 1"/>
    <w:basedOn w:val="Normal"/>
    <w:next w:val="Normal"/>
    <w:autoRedefine/>
    <w:uiPriority w:val="39"/>
    <w:rsid w:val="002D25EA"/>
    <w:pPr>
      <w:spacing w:after="100"/>
    </w:pPr>
  </w:style>
  <w:style w:type="paragraph" w:styleId="TOC2">
    <w:name w:val="toc 2"/>
    <w:basedOn w:val="Normal"/>
    <w:next w:val="Normal"/>
    <w:autoRedefine/>
    <w:uiPriority w:val="39"/>
    <w:rsid w:val="002D25EA"/>
    <w:pPr>
      <w:spacing w:after="100"/>
      <w:ind w:left="210"/>
    </w:pPr>
  </w:style>
  <w:style w:type="paragraph" w:styleId="TOC3">
    <w:name w:val="toc 3"/>
    <w:basedOn w:val="Normal"/>
    <w:next w:val="Normal"/>
    <w:autoRedefine/>
    <w:uiPriority w:val="39"/>
    <w:rsid w:val="002D25EA"/>
    <w:pPr>
      <w:spacing w:after="100"/>
      <w:ind w:left="420"/>
    </w:pPr>
  </w:style>
  <w:style w:type="paragraph" w:styleId="TOC4">
    <w:name w:val="toc 4"/>
    <w:basedOn w:val="Normal"/>
    <w:next w:val="Normal"/>
    <w:autoRedefine/>
    <w:uiPriority w:val="39"/>
    <w:unhideWhenUsed/>
    <w:rsid w:val="002D25E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D25E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D25E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D25E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D25E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D25E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D25EA"/>
    <w:rPr>
      <w:color w:val="605E5C"/>
      <w:shd w:val="clear" w:color="auto" w:fill="E1DFDD"/>
    </w:rPr>
  </w:style>
  <w:style w:type="table" w:styleId="TableGrid">
    <w:name w:val="Table Grid"/>
    <w:basedOn w:val="TableNormal"/>
    <w:uiPriority w:val="39"/>
    <w:rsid w:val="00197BB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835"/>
    <w:rPr>
      <w:b/>
      <w:bCs/>
    </w:rPr>
  </w:style>
  <w:style w:type="table" w:styleId="TableGridLight">
    <w:name w:val="Grid Table Light"/>
    <w:basedOn w:val="TableNormal"/>
    <w:uiPriority w:val="40"/>
    <w:rsid w:val="00FE4B1D"/>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rsid w:val="00572FAB"/>
    <w:rPr>
      <w:sz w:val="16"/>
      <w:szCs w:val="16"/>
    </w:rPr>
  </w:style>
  <w:style w:type="paragraph" w:styleId="CommentText">
    <w:name w:val="annotation text"/>
    <w:basedOn w:val="Normal"/>
    <w:link w:val="CommentTextChar"/>
    <w:uiPriority w:val="99"/>
    <w:semiHidden/>
    <w:rsid w:val="00572FAB"/>
    <w:rPr>
      <w:sz w:val="20"/>
      <w:szCs w:val="20"/>
    </w:rPr>
  </w:style>
  <w:style w:type="character" w:customStyle="1" w:styleId="CommentTextChar">
    <w:name w:val="Comment Text Char"/>
    <w:basedOn w:val="DefaultParagraphFont"/>
    <w:link w:val="CommentText"/>
    <w:uiPriority w:val="99"/>
    <w:semiHidden/>
    <w:rsid w:val="00572FAB"/>
    <w:rPr>
      <w:rFonts w:ascii="Noe Text" w:eastAsia="Noe Text" w:hAnsi="Noe Text" w:cs="Noe Text"/>
      <w:color w:val="333333"/>
      <w:sz w:val="20"/>
      <w:szCs w:val="20"/>
      <w:lang w:eastAsia="en-GB"/>
    </w:rPr>
  </w:style>
  <w:style w:type="paragraph" w:styleId="CommentSubject">
    <w:name w:val="annotation subject"/>
    <w:basedOn w:val="CommentText"/>
    <w:next w:val="CommentText"/>
    <w:link w:val="CommentSubjectChar"/>
    <w:uiPriority w:val="99"/>
    <w:semiHidden/>
    <w:rsid w:val="00572FAB"/>
    <w:rPr>
      <w:b/>
      <w:bCs/>
    </w:rPr>
  </w:style>
  <w:style w:type="character" w:customStyle="1" w:styleId="CommentSubjectChar">
    <w:name w:val="Comment Subject Char"/>
    <w:basedOn w:val="CommentTextChar"/>
    <w:link w:val="CommentSubject"/>
    <w:uiPriority w:val="99"/>
    <w:semiHidden/>
    <w:rsid w:val="00572FAB"/>
    <w:rPr>
      <w:rFonts w:ascii="Noe Text" w:eastAsia="Noe Text" w:hAnsi="Noe Text" w:cs="Noe Text"/>
      <w:b/>
      <w:bCs/>
      <w:color w:val="333333"/>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commentsExtended" Target="commentsExtended.xml"/><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microsoft.com/office/2011/relationships/people" Target="people.xml"/><Relationship Id="rId8" Type="http://schemas.openxmlformats.org/officeDocument/2006/relationships/webSettings" Target="webSettings.xml"/><Relationship Id="rId200" Type="http://schemas.openxmlformats.org/officeDocument/2006/relationships/image" Target="media/image_gov.png"/><Relationship Id="rId210" Type="http://schemas.openxmlformats.org/officeDocument/2006/relationships/image" Target="media/image_principles.png"/><Relationship Id="rId211" Type="http://schemas.openxmlformats.org/officeDocument/2006/relationships/image" Target="media/image_nonoauth.png"/><Relationship Id="rId220" Type="http://schemas.openxmlformats.org/officeDocument/2006/relationships/image" Target="media/image_swimlane.png"/><Relationship Id="rId230" Type="http://schemas.openxmlformats.org/officeDocument/2006/relationships/image" Target="media/image_egress.png"/><Relationship Id="rId232" Type="http://schemas.openxmlformats.org/officeDocument/2006/relationships/image" Target="media/image_accessmodel.pn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F827DCD3E757B41BA7C0EC1CC8AA8C4" ma:contentTypeVersion="4" ma:contentTypeDescription="Create a new document." ma:contentTypeScope="" ma:versionID="addc8d5c86ad31b518a3dead28bcabfd">
  <xsd:schema xmlns:xsd="http://www.w3.org/2001/XMLSchema" xmlns:xs="http://www.w3.org/2001/XMLSchema" xmlns:p="http://schemas.microsoft.com/office/2006/metadata/properties" xmlns:ns2="688cfa7c-a8e9-4331-8c94-0a5469fa60f2" targetNamespace="http://schemas.microsoft.com/office/2006/metadata/properties" ma:root="true" ma:fieldsID="e89260f95706971919ee0ee42a61ed36" ns2:_="">
    <xsd:import namespace="688cfa7c-a8e9-4331-8c94-0a5469fa60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cfa7c-a8e9-4331-8c94-0a5469fa6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2.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3A9338-9B63-412F-A680-58B28C8D9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cfa7c-a8e9-4331-8c94-0a5469fa6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6FA09-CE96-4725-9F42-14F3575D0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22319</Words>
  <Characters>127224</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149245</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Puneet Kumar</dc:creator>
  <keywords/>
  <dc:description/>
  <lastModifiedBy>Puneet Kumar</lastModifiedBy>
  <revision>54</revision>
  <dcterms:created xsi:type="dcterms:W3CDTF">2026-09-17T15:55:11.9345782Z</dcterms:created>
  <dcterms:modified xsi:type="dcterms:W3CDTF">2026-09-17T15:55:11.9345782Z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0x0101001F827DCD3E757B41BA7C0EC1CC8AA8C4</vt:lpwstr>
  </property>
  <property fmtid="{D5CDD505-2E9C-101B-9397-08002B2CF9AE}" pid="3" name="MSIP_Label_66034dab-5829-4c7a-a87e-18a6fc150b18_Enabled">
    <vt:lpwstr>true</vt:lpwstr>
  </property>
  <property fmtid="{D5CDD505-2E9C-101B-9397-08002B2CF9AE}" pid="4" name="MSIP_Label_66034dab-5829-4c7a-a87e-18a6fc150b18_SetDate">
    <vt:lpwstr>2026-09-17T08:19:50Z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cfbc6467-e0e9-4770-97de-48a78361e58f</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ies>
</file>