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900"/>
        <w:jc w:val="center"/>
      </w:pPr>
      <w:r>
        <w:rPr>
          <w:rFonts w:ascii="Noe Text Regular" w:cs="Noe Text Regular" w:eastAsia="Noe Text Regular" w:hAnsi="Noe Text Regular"/>
          <w:b/>
          <w:bCs/>
          <w:color w:val="1E2761"/>
          <w:sz w:val="52"/>
          <w:szCs w:val="52"/>
        </w:rPr>
        <w:t xml:space="preserve">Azure API Management</w:t>
      </w:r>
    </w:p>
    <w:p>
      <w:pPr>
        <w:spacing w:after="400" w:before="180"/>
        <w:jc w:val="center"/>
      </w:pPr>
      <w:r>
        <w:rPr>
          <w:rFonts w:ascii="Noe Text Regular" w:cs="Noe Text Regular" w:eastAsia="Noe Text Regular" w:hAnsi="Noe Text Regular"/>
          <w:color w:val="132040"/>
          <w:sz w:val="32"/>
          <w:szCs w:val="32"/>
        </w:rPr>
        <w:t xml:space="preserve">High-Level Design</w:t>
      </w:r>
    </w:p>
    <w:p>
      <w:pPr>
        <w:spacing w:after="90"/>
        <w:jc w:val="center"/>
      </w:pPr>
      <w:r>
        <w:rPr>
          <w:rFonts w:ascii="Noe Text" w:cs="Noe Text" w:eastAsia="Noe Text" w:hAnsi="Noe Text"/>
          <w:color w:val="333333"/>
          <w:sz w:val="24"/>
          <w:szCs w:val="24"/>
        </w:rPr>
        <w:t xml:space="preserve">Prepared for Chaucer</w:t>
      </w:r>
    </w:p>
    <w:p>
      <w:pPr>
        <w:spacing w:after="90"/>
        <w:jc w:val="center"/>
      </w:pPr>
      <w:r>
        <w:rPr>
          <w:rFonts w:ascii="Noe Text" w:cs="Noe Text" w:eastAsia="Noe Text" w:hAnsi="Noe Text"/>
          <w:color w:val="666666"/>
          <w:sz w:val="20"/>
          <w:szCs w:val="20"/>
        </w:rPr>
        <w:t xml:space="preserve">Version 0.1, Draft for TDA review</w:t>
      </w:r>
    </w:p>
    <w:p>
      <w:pPr>
        <w:jc w:val="center"/>
      </w:pPr>
      <w:r>
        <w:rPr>
          <w:rFonts w:ascii="Noe Text" w:cs="Noe Text" w:eastAsia="Noe Text" w:hAnsi="Noe Text"/>
          <w:color w:val="666666"/>
          <w:sz w:val="20"/>
          <w:szCs w:val="20"/>
        </w:rPr>
        <w:t xml:space="preserve">September 2026</w:t>
      </w:r>
    </w:p>
    <w:p>
      <w:pPr>
        <w:pStyle w:val="Heading1"/>
        <w:pageBreakBefore/>
        <w:spacing w:after="160"/>
      </w:pPr>
      <w:r>
        <w:rPr>
          <w:rFonts w:ascii="Noe Text Regular" w:cs="Noe Text Regular" w:eastAsia="Noe Text Regular" w:hAnsi="Noe Text Regular"/>
        </w:rPr>
        <w:t xml:space="preserve">1. Table of Contents</w:t>
      </w:r>
    </w:p>
    <w:p>
      <w:pPr>
        <w:spacing w:after="140"/>
      </w:pPr>
      <w:r>
        <w:rPr>
          <w:rFonts w:ascii="Noe Text" w:cs="Noe Text" w:eastAsia="Noe Text" w:hAnsi="Noe Text"/>
          <w:b w:val="false"/>
          <w:bCs w:val="false"/>
          <w:i w:val="false"/>
          <w:iCs w:val="false"/>
          <w:color w:val="333333"/>
          <w:sz w:val="21"/>
          <w:szCs w:val="21"/>
        </w:rPr>
        <w:t xml:space="preserve">The section list below is provided for navigation. Before final issue, replace it in Word with a field-generated Table of Contents (References › Table of Contents) to add live page numbers and automatic updates.</w:t>
      </w:r>
    </w:p>
    <w:p>
      <w:pPr>
        <w:spacing w:after="70"/>
        <w:ind w:left="0"/>
      </w:pPr>
      <w:r>
        <w:rPr>
          <w:rFonts w:ascii="Noe Text" w:cs="Noe Text" w:eastAsia="Noe Text" w:hAnsi="Noe Text"/>
          <w:b/>
          <w:bCs/>
          <w:color w:val="1E2761"/>
          <w:sz w:val="21"/>
          <w:szCs w:val="21"/>
        </w:rPr>
        <w:t xml:space="preserve">2. Document Control</w:t>
      </w:r>
    </w:p>
    <w:p>
      <w:pPr>
        <w:spacing w:after="40"/>
        <w:ind w:left="360"/>
      </w:pPr>
      <w:r>
        <w:rPr>
          <w:rFonts w:ascii="Noe Text" w:cs="Noe Text" w:eastAsia="Noe Text" w:hAnsi="Noe Text"/>
          <w:color w:val="333333"/>
          <w:sz w:val="20"/>
          <w:szCs w:val="20"/>
        </w:rPr>
        <w:t xml:space="preserve">2.1 Document History</w:t>
      </w:r>
    </w:p>
    <w:p>
      <w:pPr>
        <w:spacing w:after="40"/>
        <w:ind w:left="360"/>
      </w:pPr>
      <w:r>
        <w:rPr>
          <w:rFonts w:ascii="Noe Text" w:cs="Noe Text" w:eastAsia="Noe Text" w:hAnsi="Noe Text"/>
          <w:color w:val="333333"/>
          <w:sz w:val="20"/>
          <w:szCs w:val="20"/>
        </w:rPr>
        <w:t xml:space="preserve">2.2 Document Authors</w:t>
      </w:r>
    </w:p>
    <w:p>
      <w:pPr>
        <w:spacing w:after="40"/>
        <w:ind w:left="360"/>
      </w:pPr>
      <w:r>
        <w:rPr>
          <w:rFonts w:ascii="Noe Text" w:cs="Noe Text" w:eastAsia="Noe Text" w:hAnsi="Noe Text"/>
          <w:color w:val="333333"/>
          <w:sz w:val="20"/>
          <w:szCs w:val="20"/>
        </w:rPr>
        <w:t xml:space="preserve">2.3 Document Assurance</w:t>
      </w:r>
    </w:p>
    <w:p>
      <w:pPr>
        <w:spacing w:after="40"/>
        <w:ind w:left="360"/>
      </w:pPr>
      <w:r>
        <w:rPr>
          <w:rFonts w:ascii="Noe Text" w:cs="Noe Text" w:eastAsia="Noe Text" w:hAnsi="Noe Text"/>
          <w:color w:val="333333"/>
          <w:sz w:val="20"/>
          <w:szCs w:val="20"/>
        </w:rPr>
        <w:t xml:space="preserve">2.4 TDA Approval</w:t>
      </w:r>
    </w:p>
    <w:p>
      <w:pPr>
        <w:spacing w:after="40"/>
        <w:ind w:left="360"/>
      </w:pPr>
      <w:r>
        <w:rPr>
          <w:rFonts w:ascii="Noe Text" w:cs="Noe Text" w:eastAsia="Noe Text" w:hAnsi="Noe Text"/>
          <w:color w:val="333333"/>
          <w:sz w:val="20"/>
          <w:szCs w:val="20"/>
        </w:rPr>
        <w:t xml:space="preserve">2.5 Document References</w:t>
      </w:r>
    </w:p>
    <w:p>
      <w:pPr>
        <w:spacing w:after="70"/>
        <w:ind w:left="0"/>
      </w:pPr>
      <w:r>
        <w:rPr>
          <w:rFonts w:ascii="Noe Text" w:cs="Noe Text" w:eastAsia="Noe Text" w:hAnsi="Noe Text"/>
          <w:b/>
          <w:bCs/>
          <w:color w:val="1E2761"/>
          <w:sz w:val="21"/>
          <w:szCs w:val="21"/>
        </w:rPr>
        <w:t xml:space="preserve">3. Introduction</w:t>
      </w:r>
    </w:p>
    <w:p>
      <w:pPr>
        <w:spacing w:after="40"/>
        <w:ind w:left="360"/>
      </w:pPr>
      <w:r>
        <w:rPr>
          <w:rFonts w:ascii="Noe Text" w:cs="Noe Text" w:eastAsia="Noe Text" w:hAnsi="Noe Text"/>
          <w:color w:val="333333"/>
          <w:sz w:val="20"/>
          <w:szCs w:val="20"/>
        </w:rPr>
        <w:t xml:space="preserve">3.1 Executive Summary</w:t>
      </w:r>
    </w:p>
    <w:p>
      <w:pPr>
        <w:spacing w:after="40"/>
        <w:ind w:left="360"/>
      </w:pPr>
      <w:r>
        <w:rPr>
          <w:rFonts w:ascii="Noe Text" w:cs="Noe Text" w:eastAsia="Noe Text" w:hAnsi="Noe Text"/>
          <w:color w:val="333333"/>
          <w:sz w:val="20"/>
          <w:szCs w:val="20"/>
        </w:rPr>
        <w:t xml:space="preserve">3.2 Scope</w:t>
      </w:r>
    </w:p>
    <w:p>
      <w:pPr>
        <w:spacing w:after="40"/>
        <w:ind w:left="360"/>
      </w:pPr>
      <w:r>
        <w:rPr>
          <w:rFonts w:ascii="Noe Text" w:cs="Noe Text" w:eastAsia="Noe Text" w:hAnsi="Noe Text"/>
          <w:color w:val="333333"/>
          <w:sz w:val="20"/>
          <w:szCs w:val="20"/>
        </w:rPr>
        <w:t xml:space="preserve">3.3 Target Audience</w:t>
      </w:r>
    </w:p>
    <w:p>
      <w:pPr>
        <w:spacing w:after="70"/>
        <w:ind w:left="0"/>
      </w:pPr>
      <w:r>
        <w:rPr>
          <w:rFonts w:ascii="Noe Text" w:cs="Noe Text" w:eastAsia="Noe Text" w:hAnsi="Noe Text"/>
          <w:b/>
          <w:bCs/>
          <w:color w:val="1E2761"/>
          <w:sz w:val="21"/>
          <w:szCs w:val="21"/>
        </w:rPr>
        <w:t xml:space="preserve">4. Compliance</w:t>
      </w:r>
    </w:p>
    <w:p>
      <w:pPr>
        <w:spacing w:after="40"/>
        <w:ind w:left="360"/>
      </w:pPr>
      <w:r>
        <w:rPr>
          <w:rFonts w:ascii="Noe Text" w:cs="Noe Text" w:eastAsia="Noe Text" w:hAnsi="Noe Text"/>
          <w:color w:val="333333"/>
          <w:sz w:val="20"/>
          <w:szCs w:val="20"/>
        </w:rPr>
        <w:t xml:space="preserve">4.1 Architecture Principles</w:t>
      </w:r>
    </w:p>
    <w:p>
      <w:pPr>
        <w:spacing w:after="40"/>
        <w:ind w:left="360"/>
      </w:pPr>
      <w:r>
        <w:rPr>
          <w:rFonts w:ascii="Noe Text" w:cs="Noe Text" w:eastAsia="Noe Text" w:hAnsi="Noe Text"/>
          <w:color w:val="333333"/>
          <w:sz w:val="20"/>
          <w:szCs w:val="20"/>
        </w:rPr>
        <w:t xml:space="preserve">4.2 Engineering Standards</w:t>
      </w:r>
    </w:p>
    <w:p>
      <w:pPr>
        <w:spacing w:after="40"/>
        <w:ind w:left="360"/>
      </w:pPr>
      <w:r>
        <w:rPr>
          <w:rFonts w:ascii="Noe Text" w:cs="Noe Text" w:eastAsia="Noe Text" w:hAnsi="Noe Text"/>
          <w:color w:val="333333"/>
          <w:sz w:val="20"/>
          <w:szCs w:val="20"/>
        </w:rPr>
        <w:t xml:space="preserve">4.3 Architectural Decisions</w:t>
      </w:r>
    </w:p>
    <w:p>
      <w:pPr>
        <w:spacing w:after="40"/>
        <w:ind w:left="360"/>
      </w:pPr>
      <w:r>
        <w:rPr>
          <w:rFonts w:ascii="Noe Text" w:cs="Noe Text" w:eastAsia="Noe Text" w:hAnsi="Noe Text"/>
          <w:color w:val="333333"/>
          <w:sz w:val="20"/>
          <w:szCs w:val="20"/>
        </w:rPr>
        <w:t xml:space="preserve">4.4 Requirements Traceability</w:t>
      </w:r>
    </w:p>
    <w:p>
      <w:pPr>
        <w:spacing w:after="70"/>
        <w:ind w:left="0"/>
      </w:pPr>
      <w:r>
        <w:rPr>
          <w:rFonts w:ascii="Noe Text" w:cs="Noe Text" w:eastAsia="Noe Text" w:hAnsi="Noe Text"/>
          <w:b/>
          <w:bCs/>
          <w:color w:val="1E2761"/>
          <w:sz w:val="21"/>
          <w:szCs w:val="21"/>
        </w:rPr>
        <w:t xml:space="preserve">5. Baseline Architecture</w:t>
      </w:r>
    </w:p>
    <w:p>
      <w:pPr>
        <w:spacing w:after="40"/>
        <w:ind w:left="360"/>
      </w:pPr>
      <w:r>
        <w:rPr>
          <w:rFonts w:ascii="Noe Text" w:cs="Noe Text" w:eastAsia="Noe Text" w:hAnsi="Noe Text"/>
          <w:color w:val="333333"/>
          <w:sz w:val="20"/>
          <w:szCs w:val="20"/>
        </w:rPr>
        <w:t xml:space="preserve">5.1 Current State Summary</w:t>
      </w:r>
    </w:p>
    <w:p>
      <w:pPr>
        <w:spacing w:after="40"/>
        <w:ind w:left="360"/>
      </w:pPr>
      <w:r>
        <w:rPr>
          <w:rFonts w:ascii="Noe Text" w:cs="Noe Text" w:eastAsia="Noe Text" w:hAnsi="Noe Text"/>
          <w:color w:val="333333"/>
          <w:sz w:val="20"/>
          <w:szCs w:val="20"/>
        </w:rPr>
        <w:t xml:space="preserve">5.2 Existing API and Integration Landscape</w:t>
      </w:r>
    </w:p>
    <w:p>
      <w:pPr>
        <w:spacing w:after="40"/>
        <w:ind w:left="360"/>
      </w:pPr>
      <w:r>
        <w:rPr>
          <w:rFonts w:ascii="Noe Text" w:cs="Noe Text" w:eastAsia="Noe Text" w:hAnsi="Noe Text"/>
          <w:color w:val="333333"/>
          <w:sz w:val="20"/>
          <w:szCs w:val="20"/>
        </w:rPr>
        <w:t xml:space="preserve">5.3 Current Network and Connectivity Model</w:t>
      </w:r>
    </w:p>
    <w:p>
      <w:pPr>
        <w:spacing w:after="40"/>
        <w:ind w:left="360"/>
      </w:pPr>
      <w:r>
        <w:rPr>
          <w:rFonts w:ascii="Noe Text" w:cs="Noe Text" w:eastAsia="Noe Text" w:hAnsi="Noe Text"/>
          <w:color w:val="333333"/>
          <w:sz w:val="20"/>
          <w:szCs w:val="20"/>
        </w:rPr>
        <w:t xml:space="preserve">5.4 Existing Security and Access Model</w:t>
      </w:r>
    </w:p>
    <w:p>
      <w:pPr>
        <w:spacing w:after="40"/>
        <w:ind w:left="360"/>
      </w:pPr>
      <w:r>
        <w:rPr>
          <w:rFonts w:ascii="Noe Text" w:cs="Noe Text" w:eastAsia="Noe Text" w:hAnsi="Noe Text"/>
          <w:color w:val="333333"/>
          <w:sz w:val="20"/>
          <w:szCs w:val="20"/>
        </w:rPr>
        <w:t xml:space="preserve">5.5 Current API Consumption and Exposure Model</w:t>
      </w:r>
    </w:p>
    <w:p>
      <w:pPr>
        <w:spacing w:after="70"/>
        <w:ind w:left="0"/>
      </w:pPr>
      <w:r>
        <w:rPr>
          <w:rFonts w:ascii="Noe Text" w:cs="Noe Text" w:eastAsia="Noe Text" w:hAnsi="Noe Text"/>
          <w:b/>
          <w:bCs/>
          <w:color w:val="1E2761"/>
          <w:sz w:val="21"/>
          <w:szCs w:val="21"/>
        </w:rPr>
        <w:t xml:space="preserve">6. Target Architecture</w:t>
      </w:r>
    </w:p>
    <w:p>
      <w:pPr>
        <w:spacing w:after="40"/>
        <w:ind w:left="360"/>
      </w:pPr>
      <w:r>
        <w:rPr>
          <w:rFonts w:ascii="Noe Text" w:cs="Noe Text" w:eastAsia="Noe Text" w:hAnsi="Noe Text"/>
          <w:color w:val="333333"/>
          <w:sz w:val="20"/>
          <w:szCs w:val="20"/>
        </w:rPr>
        <w:t xml:space="preserve">6.1 Solution Summary</w:t>
      </w:r>
    </w:p>
    <w:p>
      <w:pPr>
        <w:spacing w:after="40"/>
        <w:ind w:left="360"/>
      </w:pPr>
      <w:r>
        <w:rPr>
          <w:rFonts w:ascii="Noe Text" w:cs="Noe Text" w:eastAsia="Noe Text" w:hAnsi="Noe Text"/>
          <w:color w:val="333333"/>
          <w:sz w:val="20"/>
          <w:szCs w:val="20"/>
        </w:rPr>
        <w:t xml:space="preserve">6.2 APIM Reference Architecture</w:t>
      </w:r>
    </w:p>
    <w:p>
      <w:pPr>
        <w:spacing w:after="40"/>
        <w:ind w:left="360"/>
      </w:pPr>
      <w:r>
        <w:rPr>
          <w:rFonts w:ascii="Noe Text" w:cs="Noe Text" w:eastAsia="Noe Text" w:hAnsi="Noe Text"/>
          <w:color w:val="333333"/>
          <w:sz w:val="20"/>
          <w:szCs w:val="20"/>
        </w:rPr>
        <w:t xml:space="preserve">6.3 Environment and Deployment Strategy</w:t>
      </w:r>
    </w:p>
    <w:p>
      <w:pPr>
        <w:spacing w:after="40"/>
        <w:ind w:left="360"/>
      </w:pPr>
      <w:r>
        <w:rPr>
          <w:rFonts w:ascii="Noe Text" w:cs="Noe Text" w:eastAsia="Noe Text" w:hAnsi="Noe Text"/>
          <w:color w:val="333333"/>
          <w:sz w:val="20"/>
          <w:szCs w:val="20"/>
        </w:rPr>
        <w:t xml:space="preserve">6.4 Network and Connectivity Design</w:t>
      </w:r>
    </w:p>
    <w:p>
      <w:pPr>
        <w:spacing w:after="40"/>
        <w:ind w:left="360"/>
      </w:pPr>
      <w:r>
        <w:rPr>
          <w:rFonts w:ascii="Noe Text" w:cs="Noe Text" w:eastAsia="Noe Text" w:hAnsi="Noe Text"/>
          <w:color w:val="333333"/>
          <w:sz w:val="20"/>
          <w:szCs w:val="20"/>
        </w:rPr>
        <w:t xml:space="preserve">6.5 Traffic Management and Edge Security</w:t>
      </w:r>
    </w:p>
    <w:p>
      <w:pPr>
        <w:spacing w:after="40"/>
        <w:ind w:left="360"/>
      </w:pPr>
      <w:r>
        <w:rPr>
          <w:rFonts w:ascii="Noe Text" w:cs="Noe Text" w:eastAsia="Noe Text" w:hAnsi="Noe Text"/>
          <w:color w:val="333333"/>
          <w:sz w:val="20"/>
          <w:szCs w:val="20"/>
        </w:rPr>
        <w:t xml:space="preserve">6.6 Authentication and Security Design</w:t>
      </w:r>
    </w:p>
    <w:p>
      <w:pPr>
        <w:spacing w:after="40"/>
        <w:ind w:left="360"/>
      </w:pPr>
      <w:r>
        <w:rPr>
          <w:rFonts w:ascii="Noe Text" w:cs="Noe Text" w:eastAsia="Noe Text" w:hAnsi="Noe Text"/>
          <w:color w:val="333333"/>
          <w:sz w:val="20"/>
          <w:szCs w:val="20"/>
        </w:rPr>
        <w:t xml:space="preserve">6.7 API Product, Consumer and Developer Portal Model</w:t>
      </w:r>
    </w:p>
    <w:p>
      <w:pPr>
        <w:spacing w:after="40"/>
        <w:ind w:left="360"/>
      </w:pPr>
      <w:r>
        <w:rPr>
          <w:rFonts w:ascii="Noe Text" w:cs="Noe Text" w:eastAsia="Noe Text" w:hAnsi="Noe Text"/>
          <w:color w:val="333333"/>
          <w:sz w:val="20"/>
          <w:szCs w:val="20"/>
        </w:rPr>
        <w:t xml:space="preserve">6.8 API Design Standards, Policies and Governance</w:t>
      </w:r>
    </w:p>
    <w:p>
      <w:pPr>
        <w:spacing w:after="40"/>
        <w:ind w:left="360"/>
      </w:pPr>
      <w:r>
        <w:rPr>
          <w:rFonts w:ascii="Noe Text" w:cs="Noe Text" w:eastAsia="Noe Text" w:hAnsi="Noe Text"/>
          <w:color w:val="333333"/>
          <w:sz w:val="20"/>
          <w:szCs w:val="20"/>
        </w:rPr>
        <w:t xml:space="preserve">6.9 API Lifecycle and Versioning Strategy</w:t>
      </w:r>
    </w:p>
    <w:p>
      <w:pPr>
        <w:spacing w:after="40"/>
        <w:ind w:left="360"/>
      </w:pPr>
      <w:r>
        <w:rPr>
          <w:rFonts w:ascii="Noe Text" w:cs="Noe Text" w:eastAsia="Noe Text" w:hAnsi="Noe Text"/>
          <w:color w:val="333333"/>
          <w:sz w:val="20"/>
          <w:szCs w:val="20"/>
        </w:rPr>
        <w:t xml:space="preserve">6.10 Observability and Operations</w:t>
      </w:r>
    </w:p>
    <w:p>
      <w:pPr>
        <w:spacing w:after="40"/>
        <w:ind w:left="360"/>
      </w:pPr>
      <w:r>
        <w:rPr>
          <w:rFonts w:ascii="Noe Text" w:cs="Noe Text" w:eastAsia="Noe Text" w:hAnsi="Noe Text"/>
          <w:color w:val="333333"/>
          <w:sz w:val="20"/>
          <w:szCs w:val="20"/>
        </w:rPr>
        <w:t xml:space="preserve">6.11 High Availability and Disaster Recovery Design</w:t>
      </w:r>
    </w:p>
    <w:p>
      <w:pPr>
        <w:spacing w:after="40"/>
        <w:ind w:left="360"/>
      </w:pPr>
      <w:r>
        <w:rPr>
          <w:rFonts w:ascii="Noe Text" w:cs="Noe Text" w:eastAsia="Noe Text" w:hAnsi="Noe Text"/>
          <w:color w:val="333333"/>
          <w:sz w:val="20"/>
          <w:szCs w:val="20"/>
        </w:rPr>
        <w:t xml:space="preserve">6.12 Cost, Capacity and Service Tier Strategy</w:t>
      </w:r>
    </w:p>
    <w:p>
      <w:pPr>
        <w:spacing w:after="70"/>
        <w:ind w:left="0"/>
      </w:pPr>
      <w:r>
        <w:rPr>
          <w:rFonts w:ascii="Noe Text" w:cs="Noe Text" w:eastAsia="Noe Text" w:hAnsi="Noe Text"/>
          <w:b/>
          <w:bCs/>
          <w:color w:val="1E2761"/>
          <w:sz w:val="21"/>
          <w:szCs w:val="21"/>
        </w:rPr>
        <w:t xml:space="preserve">7. Architecture Impact Assessment</w:t>
      </w:r>
    </w:p>
    <w:p>
      <w:pPr>
        <w:spacing w:after="40"/>
        <w:ind w:left="360"/>
      </w:pPr>
      <w:r>
        <w:rPr>
          <w:rFonts w:ascii="Noe Text" w:cs="Noe Text" w:eastAsia="Noe Text" w:hAnsi="Noe Text"/>
          <w:color w:val="333333"/>
          <w:sz w:val="20"/>
          <w:szCs w:val="20"/>
        </w:rPr>
        <w:t xml:space="preserve">7.1 High Level Impact Assessment</w:t>
      </w:r>
    </w:p>
    <w:p>
      <w:pPr>
        <w:spacing w:after="40"/>
        <w:ind w:left="360"/>
      </w:pPr>
      <w:r>
        <w:rPr>
          <w:rFonts w:ascii="Noe Text" w:cs="Noe Text" w:eastAsia="Noe Text" w:hAnsi="Noe Text"/>
          <w:color w:val="333333"/>
          <w:sz w:val="20"/>
          <w:szCs w:val="20"/>
        </w:rPr>
        <w:t xml:space="preserve">7.2 Business Architecture</w:t>
      </w:r>
    </w:p>
    <w:p>
      <w:pPr>
        <w:spacing w:after="40"/>
        <w:ind w:left="360"/>
      </w:pPr>
      <w:r>
        <w:rPr>
          <w:rFonts w:ascii="Noe Text" w:cs="Noe Text" w:eastAsia="Noe Text" w:hAnsi="Noe Text"/>
          <w:color w:val="333333"/>
          <w:sz w:val="20"/>
          <w:szCs w:val="20"/>
        </w:rPr>
        <w:t xml:space="preserve">7.3 Data Architecture</w:t>
      </w:r>
    </w:p>
    <w:p>
      <w:pPr>
        <w:spacing w:after="40"/>
        <w:ind w:left="360"/>
      </w:pPr>
      <w:r>
        <w:rPr>
          <w:rFonts w:ascii="Noe Text" w:cs="Noe Text" w:eastAsia="Noe Text" w:hAnsi="Noe Text"/>
          <w:color w:val="333333"/>
          <w:sz w:val="20"/>
          <w:szCs w:val="20"/>
        </w:rPr>
        <w:t xml:space="preserve">7.4 Application Architecture</w:t>
      </w:r>
    </w:p>
    <w:p>
      <w:pPr>
        <w:spacing w:after="40"/>
        <w:ind w:left="360"/>
      </w:pPr>
      <w:r>
        <w:rPr>
          <w:rFonts w:ascii="Noe Text" w:cs="Noe Text" w:eastAsia="Noe Text" w:hAnsi="Noe Text"/>
          <w:color w:val="333333"/>
          <w:sz w:val="20"/>
          <w:szCs w:val="20"/>
        </w:rPr>
        <w:t xml:space="preserve">7.5 Technology Architecture</w:t>
      </w:r>
    </w:p>
    <w:p>
      <w:pPr>
        <w:spacing w:after="40"/>
        <w:ind w:left="360"/>
      </w:pPr>
      <w:r>
        <w:rPr>
          <w:rFonts w:ascii="Noe Text" w:cs="Noe Text" w:eastAsia="Noe Text" w:hAnsi="Noe Text"/>
          <w:color w:val="333333"/>
          <w:sz w:val="20"/>
          <w:szCs w:val="20"/>
        </w:rPr>
        <w:t xml:space="preserve">7.6 Service Architecture</w:t>
      </w:r>
    </w:p>
    <w:p>
      <w:pPr>
        <w:spacing w:after="70"/>
        <w:ind w:left="0"/>
      </w:pPr>
      <w:r>
        <w:rPr>
          <w:rFonts w:ascii="Noe Text" w:cs="Noe Text" w:eastAsia="Noe Text" w:hAnsi="Noe Text"/>
          <w:b/>
          <w:bCs/>
          <w:color w:val="1E2761"/>
          <w:sz w:val="21"/>
          <w:szCs w:val="21"/>
        </w:rPr>
        <w:t xml:space="preserve">8. Risks and Issues</w:t>
      </w:r>
    </w:p>
    <w:p>
      <w:pPr>
        <w:spacing w:after="40"/>
        <w:ind w:left="360"/>
      </w:pPr>
      <w:r>
        <w:rPr>
          <w:rFonts w:ascii="Noe Text" w:cs="Noe Text" w:eastAsia="Noe Text" w:hAnsi="Noe Text"/>
          <w:color w:val="333333"/>
          <w:sz w:val="20"/>
          <w:szCs w:val="20"/>
        </w:rPr>
        <w:t xml:space="preserve">8.1 Assumptions</w:t>
      </w:r>
    </w:p>
    <w:p>
      <w:pPr>
        <w:spacing w:after="40"/>
        <w:ind w:left="360"/>
      </w:pPr>
      <w:r>
        <w:rPr>
          <w:rFonts w:ascii="Noe Text" w:cs="Noe Text" w:eastAsia="Noe Text" w:hAnsi="Noe Text"/>
          <w:color w:val="333333"/>
          <w:sz w:val="20"/>
          <w:szCs w:val="20"/>
        </w:rPr>
        <w:t xml:space="preserve">8.2 Risks</w:t>
      </w:r>
    </w:p>
    <w:p>
      <w:pPr>
        <w:spacing w:after="40"/>
        <w:ind w:left="360"/>
      </w:pPr>
      <w:r>
        <w:rPr>
          <w:rFonts w:ascii="Noe Text" w:cs="Noe Text" w:eastAsia="Noe Text" w:hAnsi="Noe Text"/>
          <w:color w:val="333333"/>
          <w:sz w:val="20"/>
          <w:szCs w:val="20"/>
        </w:rPr>
        <w:t xml:space="preserve">8.3 Issues</w:t>
      </w:r>
    </w:p>
    <w:p>
      <w:pPr>
        <w:spacing w:after="40"/>
        <w:ind w:left="360"/>
      </w:pPr>
      <w:r>
        <w:rPr>
          <w:rFonts w:ascii="Noe Text" w:cs="Noe Text" w:eastAsia="Noe Text" w:hAnsi="Noe Text"/>
          <w:color w:val="333333"/>
          <w:sz w:val="20"/>
          <w:szCs w:val="20"/>
        </w:rPr>
        <w:t xml:space="preserve">8.4 Dependencies</w:t>
      </w:r>
    </w:p>
    <w:p>
      <w:pPr>
        <w:spacing w:after="70"/>
        <w:ind w:left="0"/>
      </w:pPr>
      <w:r>
        <w:rPr>
          <w:rFonts w:ascii="Noe Text" w:cs="Noe Text" w:eastAsia="Noe Text" w:hAnsi="Noe Text"/>
          <w:b/>
          <w:bCs/>
          <w:color w:val="1E2761"/>
          <w:sz w:val="21"/>
          <w:szCs w:val="21"/>
        </w:rPr>
        <w:t xml:space="preserve">9. Appendices</w:t>
      </w:r>
    </w:p>
    <w:p>
      <w:pPr>
        <w:spacing w:after="40"/>
        <w:ind w:left="360"/>
      </w:pPr>
      <w:r>
        <w:rPr>
          <w:rFonts w:ascii="Noe Text" w:cs="Noe Text" w:eastAsia="Noe Text" w:hAnsi="Noe Text"/>
          <w:color w:val="333333"/>
          <w:sz w:val="20"/>
          <w:szCs w:val="20"/>
        </w:rPr>
        <w:t xml:space="preserve">9.1 Microsoft Reference Architectures</w:t>
      </w:r>
    </w:p>
    <w:p>
      <w:pPr>
        <w:spacing w:after="40"/>
        <w:ind w:left="360"/>
      </w:pPr>
      <w:r>
        <w:rPr>
          <w:rFonts w:ascii="Noe Text" w:cs="Noe Text" w:eastAsia="Noe Text" w:hAnsi="Noe Text"/>
          <w:color w:val="333333"/>
          <w:sz w:val="20"/>
          <w:szCs w:val="20"/>
        </w:rPr>
        <w:t xml:space="preserve">9.2 Companion Documents</w:t>
      </w:r>
    </w:p>
    <w:p>
      <w:pPr>
        <w:spacing w:after="40"/>
        <w:ind w:left="360"/>
      </w:pPr>
      <w:r>
        <w:rPr>
          <w:rFonts w:ascii="Noe Text" w:cs="Noe Text" w:eastAsia="Noe Text" w:hAnsi="Noe Text"/>
          <w:color w:val="333333"/>
          <w:sz w:val="20"/>
          <w:szCs w:val="20"/>
        </w:rPr>
        <w:t xml:space="preserve">9.3 Alignment with the Azure Well-Architected Framework</w:t>
      </w:r>
    </w:p>
    <w:p>
      <w:pPr>
        <w:spacing w:after="40"/>
        <w:ind w:left="360"/>
      </w:pPr>
      <w:r>
        <w:rPr>
          <w:rFonts w:ascii="Noe Text" w:cs="Noe Text" w:eastAsia="Noe Text" w:hAnsi="Noe Text"/>
          <w:color w:val="333333"/>
          <w:sz w:val="20"/>
          <w:szCs w:val="20"/>
        </w:rPr>
        <w:t xml:space="preserve">9.4 Glossary and Definitions</w:t>
      </w:r>
    </w:p>
    <w:p>
      <w:pPr>
        <w:spacing w:after="40"/>
        <w:ind w:left="360"/>
      </w:pPr>
      <w:r>
        <w:rPr>
          <w:rFonts w:ascii="Noe Text" w:cs="Noe Text" w:eastAsia="Noe Text" w:hAnsi="Noe Text"/>
          <w:color w:val="333333"/>
          <w:sz w:val="20"/>
          <w:szCs w:val="20"/>
        </w:rPr>
        <w:t xml:space="preserve">9.5 Non-Functional Requirements</w:t>
      </w:r>
    </w:p>
    <w:p>
      <w:pPr>
        <w:spacing w:after="40"/>
        <w:ind w:left="360"/>
      </w:pPr>
      <w:r>
        <w:rPr>
          <w:rFonts w:ascii="Noe Text" w:cs="Noe Text" w:eastAsia="Noe Text" w:hAnsi="Noe Text"/>
          <w:color w:val="333333"/>
          <w:sz w:val="20"/>
          <w:szCs w:val="20"/>
        </w:rPr>
        <w:t xml:space="preserve">9.6 Sample Policy Fragments, Naming and OpenAPI Skeleton</w:t>
      </w:r>
    </w:p>
    <w:p>
      <w:pPr>
        <w:spacing w:after="40"/>
        <w:ind w:left="360"/>
      </w:pPr>
      <w:r>
        <w:rPr>
          <w:rFonts w:ascii="Noe Text" w:cs="Noe Text" w:eastAsia="Noe Text" w:hAnsi="Noe Text"/>
          <w:color w:val="333333"/>
          <w:sz w:val="20"/>
          <w:szCs w:val="20"/>
        </w:rPr>
        <w:t xml:space="preserve">9.7 Disaster Recovery Testing Approach</w:t>
      </w:r>
    </w:p>
    <w:p>
      <w:pPr>
        <w:spacing w:after="40"/>
        <w:ind w:left="360"/>
      </w:pPr>
      <w:r>
        <w:rPr>
          <w:rFonts w:ascii="Noe Text" w:cs="Noe Text" w:eastAsia="Noe Text" w:hAnsi="Noe Text"/>
          <w:color w:val="333333"/>
          <w:sz w:val="20"/>
          <w:szCs w:val="20"/>
        </w:rPr>
        <w:t xml:space="preserve">9.8 Logic Apps Migration and Cut-over Strategy</w:t>
      </w:r>
    </w:p>
    <w:p>
      <w:pPr>
        <w:pStyle w:val="Heading1"/>
        <w:pageBreakBefore/>
        <w:spacing w:after="160"/>
      </w:pPr>
      <w:r>
        <w:rPr>
          <w:rFonts w:ascii="Noe Text Regular" w:cs="Noe Text Regular" w:eastAsia="Noe Text Regular" w:hAnsi="Noe Text Regular"/>
        </w:rPr>
        <w:t xml:space="preserve">2. Document Control</w:t>
      </w:r>
    </w:p>
    <w:p>
      <w:pPr>
        <w:pStyle w:val="Heading2"/>
        <w:spacing w:after="100" w:before="200"/>
      </w:pPr>
      <w:r>
        <w:rPr>
          <w:rFonts w:ascii="Noe Text Regular" w:cs="Noe Text Regular" w:eastAsia="Noe Text Regular" w:hAnsi="Noe Text Regular"/>
        </w:rPr>
        <w:t xml:space="preserve">2.1 Document History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25"/>
        <w:gridCol w:w="2325"/>
        <w:gridCol w:w="2325"/>
        <w:gridCol w:w="2325"/>
      </w:tblGrid>
      <w:tr>
        <w:trPr>
          <w:tblHeader/>
        </w:trPr>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Version</w:t>
            </w:r>
          </w:p>
        </w:tc>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Date</w:t>
            </w:r>
          </w:p>
        </w:tc>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Author</w:t>
            </w:r>
          </w:p>
        </w:tc>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Change</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0.1</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September 2026</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Integration Architecture</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Initial draft restructured to Chaucer HLD template</w:t>
            </w:r>
          </w:p>
        </w:tc>
      </w:tr>
    </w:tbl>
    <w:p>
      <w:pPr>
        <w:pStyle w:val="Heading2"/>
        <w:spacing w:after="100" w:before="200"/>
      </w:pPr>
      <w:r>
        <w:rPr>
          <w:rFonts w:ascii="Noe Text Regular" w:cs="Noe Text Regular" w:eastAsia="Noe Text Regular" w:hAnsi="Noe Text Regular"/>
        </w:rPr>
        <w:t xml:space="preserve">2.2 Document Authors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Role</w:t>
            </w:r>
          </w:p>
        </w:tc>
        <w:tc>
          <w:tcPr>
            <w:tcW w:type="dxa" w:w="465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Name / Team</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Lead Architect</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Integration Architecture</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Contributing</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Platform, Networking, Security teams</w:t>
            </w:r>
          </w:p>
        </w:tc>
      </w:tr>
    </w:tbl>
    <w:p>
      <w:pPr>
        <w:pStyle w:val="Heading2"/>
        <w:spacing w:after="100" w:before="200"/>
      </w:pPr>
      <w:r>
        <w:rPr>
          <w:rFonts w:ascii="Noe Text Regular" w:cs="Noe Text Regular" w:eastAsia="Noe Text Regular" w:hAnsi="Noe Text Regular"/>
        </w:rPr>
        <w:t xml:space="preserve">2.3 Document Assurance</w:t>
      </w:r>
    </w:p>
    <w:p>
      <w:pPr>
        <w:spacing w:after="140"/>
      </w:pPr>
      <w:r>
        <w:rPr>
          <w:rFonts w:ascii="Noe Text" w:cs="Noe Text" w:eastAsia="Noe Text" w:hAnsi="Noe Text"/>
          <w:b w:val="false"/>
          <w:bCs w:val="false"/>
          <w:i/>
          <w:iCs/>
          <w:color w:val="999999"/>
          <w:sz w:val="21"/>
          <w:szCs w:val="21"/>
        </w:rPr>
        <w:t xml:space="preserve">[To be completed: assurance reviewers and sign-off to be recorded by Chaucer.]</w:t>
      </w:r>
    </w:p>
    <w:p>
      <w:pPr>
        <w:pStyle w:val="Heading2"/>
        <w:spacing w:after="100" w:before="200"/>
      </w:pPr>
      <w:r>
        <w:rPr>
          <w:rFonts w:ascii="Noe Text Regular" w:cs="Noe Text Regular" w:eastAsia="Noe Text Regular" w:hAnsi="Noe Text Regular"/>
        </w:rPr>
        <w:t xml:space="preserve">2.4 TDA Approval</w:t>
      </w:r>
    </w:p>
    <w:p>
      <w:pPr>
        <w:spacing w:after="140"/>
      </w:pPr>
      <w:r>
        <w:rPr>
          <w:rFonts w:ascii="Noe Text" w:cs="Noe Text" w:eastAsia="Noe Text" w:hAnsi="Noe Text"/>
          <w:b w:val="false"/>
          <w:bCs w:val="false"/>
          <w:i/>
          <w:iCs/>
          <w:color w:val="999999"/>
          <w:sz w:val="21"/>
          <w:szCs w:val="21"/>
        </w:rPr>
        <w:t xml:space="preserve">[To be completed: Technical Design Authority approval to be recorded.]</w:t>
      </w:r>
    </w:p>
    <w:p>
      <w:pPr>
        <w:pStyle w:val="Heading2"/>
        <w:spacing w:after="100" w:before="200"/>
      </w:pPr>
      <w:r>
        <w:rPr>
          <w:rFonts w:ascii="Noe Text Regular" w:cs="Noe Text Regular" w:eastAsia="Noe Text Regular" w:hAnsi="Noe Text Regular"/>
        </w:rPr>
        <w:t xml:space="preserve">2.5 Document References</w:t>
      </w:r>
    </w:p>
    <w:p>
      <w:pPr>
        <w:spacing w:after="140"/>
      </w:pPr>
      <w:r>
        <w:rPr>
          <w:rFonts w:ascii="Noe Text" w:cs="Noe Text" w:eastAsia="Noe Text" w:hAnsi="Noe Text"/>
          <w:b w:val="false"/>
          <w:bCs w:val="false"/>
          <w:i/>
          <w:iCs/>
          <w:color w:val="555555"/>
          <w:sz w:val="21"/>
          <w:szCs w:val="21"/>
        </w:rPr>
        <w:t xml:space="preserve">Diagrams in this document are Chaucer-adapted renderings of the pattern each article describes, not reproductions of Microsoft's own diagrams. Refer to the linked articles for Microsoft's original diagrams and downloadable Visio files.</w:t>
      </w:r>
    </w:p>
    <w:p>
      <w:pPr>
        <w:pStyle w:val="ListParagraph"/>
        <w:numPr>
          <w:ilvl w:val="0"/>
          <w:numId w:val="2"/>
        </w:numPr>
        <w:spacing w:after="70"/>
      </w:pPr>
      <w:r>
        <w:rPr>
          <w:rFonts w:ascii="Noe Text" w:cs="Noe Text" w:eastAsia="Noe Text" w:hAnsi="Noe Text"/>
          <w:color w:val="333333"/>
          <w:sz w:val="21"/>
          <w:szCs w:val="21"/>
        </w:rPr>
        <w:t xml:space="preserve">Basic enterprise integration on Azure: learn.microsoft.com/azure/architecture/reference-architectures/enterprise-integration/basic-enterprise-integration</w:t>
      </w:r>
    </w:p>
    <w:p>
      <w:pPr>
        <w:pStyle w:val="ListParagraph"/>
        <w:numPr>
          <w:ilvl w:val="0"/>
          <w:numId w:val="2"/>
        </w:numPr>
        <w:spacing w:after="70"/>
      </w:pPr>
      <w:r>
        <w:rPr>
          <w:rFonts w:ascii="Noe Text" w:cs="Noe Text" w:eastAsia="Noe Text" w:hAnsi="Noe Text"/>
          <w:color w:val="333333"/>
          <w:sz w:val="21"/>
          <w:szCs w:val="21"/>
        </w:rPr>
        <w:t xml:space="preserve">Protect APIs with Application Gateway and API Management: learn.microsoft.com/azure/architecture/web-apps/api-management/architectures/protect-apis</w:t>
      </w:r>
    </w:p>
    <w:p>
      <w:pPr>
        <w:pStyle w:val="ListParagraph"/>
        <w:numPr>
          <w:ilvl w:val="0"/>
          <w:numId w:val="2"/>
        </w:numPr>
        <w:spacing w:after="70"/>
      </w:pPr>
      <w:r>
        <w:rPr>
          <w:rFonts w:ascii="Noe Text" w:cs="Noe Text" w:eastAsia="Noe Text" w:hAnsi="Noe Text"/>
          <w:color w:val="333333"/>
          <w:sz w:val="21"/>
          <w:szCs w:val="21"/>
        </w:rPr>
        <w:t xml:space="preserve">Azure API Management landing zone accelerator: learn.microsoft.com/azure/cloud-adoption-framework/scenarios/app-platform/api-management/landing-zone-accelerator</w:t>
      </w:r>
    </w:p>
    <w:p>
      <w:pPr>
        <w:pStyle w:val="Heading1"/>
        <w:pageBreakBefore/>
        <w:spacing w:after="160"/>
      </w:pPr>
      <w:r>
        <w:rPr>
          <w:rFonts w:ascii="Noe Text Regular" w:cs="Noe Text Regular" w:eastAsia="Noe Text Regular" w:hAnsi="Noe Text Regular"/>
        </w:rPr>
        <w:t xml:space="preserve">3. Introduction</w:t>
      </w:r>
    </w:p>
    <w:p>
      <w:pPr>
        <w:pStyle w:val="Heading2"/>
        <w:spacing w:after="100" w:before="200"/>
      </w:pPr>
      <w:r>
        <w:rPr>
          <w:rFonts w:ascii="Noe Text Regular" w:cs="Noe Text Regular" w:eastAsia="Noe Text Regular" w:hAnsi="Noe Text Regular"/>
        </w:rPr>
        <w:t xml:space="preserve">3.1 Executive Summary</w:t>
      </w:r>
    </w:p>
    <w:p>
      <w:pPr>
        <w:spacing w:after="140"/>
      </w:pPr>
      <w:r>
        <w:rPr>
          <w:rFonts w:ascii="Noe Text" w:cs="Noe Text" w:eastAsia="Noe Text" w:hAnsi="Noe Text"/>
          <w:b w:val="false"/>
          <w:bCs w:val="false"/>
          <w:i w:val="false"/>
          <w:iCs w:val="false"/>
          <w:color w:val="333333"/>
          <w:sz w:val="21"/>
          <w:szCs w:val="21"/>
        </w:rPr>
        <w:t xml:space="preserve">Azure API Management gives Chaucer one secure, governed platform for every API the business runs, internal, external, and partner. This document sets out how we build it, how we secure it, and what it costs, using the same pattern that has already worked on a comparable insurance integration programme.</w:t>
      </w:r>
    </w:p>
    <w:p>
      <w:pPr>
        <w:spacing w:after="140"/>
      </w:pPr>
      <w:r>
        <w:rPr>
          <w:rFonts w:ascii="Noe Text" w:cs="Noe Text" w:eastAsia="Noe Text" w:hAnsi="Noe Text"/>
          <w:b w:val="false"/>
          <w:bCs w:val="false"/>
          <w:i w:val="false"/>
          <w:iCs w:val="false"/>
          <w:color w:val="333333"/>
          <w:sz w:val="21"/>
          <w:szCs w:val="21"/>
        </w:rPr>
        <w:t xml:space="preserve">Three documents sit behind this one and are reflected throughout: the Systems Integration Framework, which sets the single-ingress principle; the detailed APIM High-Level Design already drafted for Chaucer; and Microsoft's own published reference architectures for enterprise integration and API protection.</w:t>
      </w:r>
    </w:p>
    <w:p>
      <w:pPr>
        <w:spacing w:after="140"/>
      </w:pPr>
      <w:r>
        <w:rPr>
          <w:rFonts w:ascii="Noe Text" w:cs="Noe Text" w:eastAsia="Noe Text" w:hAnsi="Noe Text"/>
          <w:b w:val="false"/>
          <w:bCs w:val="false"/>
          <w:i/>
          <w:iCs/>
          <w:color w:val="333333"/>
          <w:sz w:val="21"/>
          <w:szCs w:val="21"/>
        </w:rPr>
        <w:t xml:space="preserve">Read this document as a proposal to test, not a build order. Section 8.1 records eleven open assumptions this design depends on; the most consequential, whether the platform must be active-active multi-region from day one (A.08), directly sets the production tier and roughly doubles the run cost if confirmed. TDA sign-off on the assumptions register is a prerequisite to starting build, not a parallel track: a build team working from this HLD before that register is confirmed risks building the wrong tier, the wrong region pair, or the wrong network topology.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The Ask</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Our Response</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The Outcome</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 has no API layer today. Systems connect through point-to-point Logic Apps, each secured from scratch.</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 hardened Azure APIM platform, Entra ID identity, Key Vault secrets, Zero Trust security, delivered in a phased rollout on top of the existing Logic Apps estate.</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Faster API onboarding, one place to see and control every integration, and an audit-ready security posture.</w:t>
            </w:r>
          </w:p>
        </w:tc>
      </w:tr>
    </w:tbl>
    <w:p>
      <w:pPr>
        <w:spacing w:after="140"/>
      </w:pPr>
      <w:r>
        <w:rPr>
          <w:rFonts w:ascii="Noe Text" w:cs="Noe Text" w:eastAsia="Noe Text" w:hAnsi="Noe Text"/>
          <w:b w:val="false"/>
          <w:bCs w:val="false"/>
          <w:i w:val="false"/>
          <w:iCs w:val="false"/>
          <w:color w:val="333333"/>
          <w:sz w:val="2"/>
          <w:szCs w:val="2"/>
        </w:rPr>
        <w:t xml:space="preserve"/>
      </w:r>
    </w:p>
    <w:p>
      <w:pPr>
        <w:pStyle w:val="Heading2"/>
        <w:spacing w:after="100" w:before="200"/>
      </w:pPr>
      <w:r>
        <w:rPr>
          <w:rFonts w:ascii="Noe Text Regular" w:cs="Noe Text Regular" w:eastAsia="Noe Text Regular" w:hAnsi="Noe Text Regular"/>
        </w:rPr>
        <w:t xml:space="preserve">3.2 Scope</w:t>
      </w:r>
    </w:p>
    <w:p>
      <w:pPr>
        <w:spacing w:after="140"/>
      </w:pPr>
      <w:r>
        <w:rPr>
          <w:rFonts w:ascii="Noe Text" w:cs="Noe Text" w:eastAsia="Noe Text" w:hAnsi="Noe Text"/>
          <w:b w:val="false"/>
          <w:bCs w:val="false"/>
          <w:i w:val="false"/>
          <w:iCs w:val="false"/>
          <w:color w:val="333333"/>
          <w:sz w:val="21"/>
          <w:szCs w:val="21"/>
        </w:rPr>
        <w:t xml:space="preserve">This High-Level Design covers the introduction of Azure API Management as the enterprise API gateway for Chaucer: its architecture, network integration (including the existing Palo Alto firewall), security, API governance and lifecycle, observability, high availability and disaster recovery, and cost. It covers the platform and the pattern for onboarding APIs onto it. It does not cover the detailed configuration of individual backend systems, nor device-level firewall configuration, which are detailed-design activities.</w:t>
      </w:r>
    </w:p>
    <w:p>
      <w:pPr>
        <w:pStyle w:val="Heading2"/>
        <w:spacing w:after="100" w:before="200"/>
      </w:pPr>
      <w:r>
        <w:rPr>
          <w:rFonts w:ascii="Noe Text Regular" w:cs="Noe Text Regular" w:eastAsia="Noe Text Regular" w:hAnsi="Noe Text Regular"/>
        </w:rPr>
        <w:t xml:space="preserve">3.3 Target Audience</w:t>
      </w:r>
    </w:p>
    <w:p>
      <w:pPr>
        <w:spacing w:after="140"/>
      </w:pPr>
      <w:r>
        <w:rPr>
          <w:rFonts w:ascii="Noe Text" w:cs="Noe Text" w:eastAsia="Noe Text" w:hAnsi="Noe Text"/>
          <w:b w:val="false"/>
          <w:bCs w:val="false"/>
          <w:i w:val="false"/>
          <w:iCs w:val="false"/>
          <w:color w:val="333333"/>
          <w:sz w:val="21"/>
          <w:szCs w:val="21"/>
        </w:rPr>
        <w:t xml:space="preserve">This document is intended for Chaucer's Technical Design Authority, enterprise and solution architects, and the platform, networking, security and integration teams who will build and operate the platform. It assumes familiarity with Azure and with enterprise integration concepts.</w:t>
      </w:r>
    </w:p>
    <w:p>
      <w:pPr>
        <w:pStyle w:val="Heading1"/>
        <w:pageBreakBefore/>
        <w:spacing w:after="160"/>
      </w:pPr>
      <w:r>
        <w:rPr>
          <w:rFonts w:ascii="Noe Text Regular" w:cs="Noe Text Regular" w:eastAsia="Noe Text Regular" w:hAnsi="Noe Text Regular"/>
        </w:rPr>
        <w:t xml:space="preserve">4. Compliance</w:t>
      </w:r>
    </w:p>
    <w:p>
      <w:pPr>
        <w:pStyle w:val="Heading2"/>
        <w:spacing w:after="100" w:before="200"/>
      </w:pPr>
      <w:r>
        <w:rPr>
          <w:rFonts w:ascii="Noe Text Regular" w:cs="Noe Text Regular" w:eastAsia="Noe Text Regular" w:hAnsi="Noe Text Regular"/>
        </w:rPr>
        <w:t xml:space="preserve">4.1 Architecture Principles</w:t>
      </w:r>
    </w:p>
    <w:p>
      <w:pPr>
        <w:spacing w:after="140"/>
      </w:pPr>
      <w:r>
        <w:rPr>
          <w:rFonts w:ascii="Noe Text" w:cs="Noe Text" w:eastAsia="Noe Text" w:hAnsi="Noe Text"/>
          <w:b w:val="false"/>
          <w:bCs w:val="false"/>
          <w:i w:val="false"/>
          <w:iCs w:val="false"/>
          <w:color w:val="333333"/>
          <w:sz w:val="21"/>
          <w:szCs w:val="21"/>
        </w:rPr>
        <w:t xml:space="preserve">The overriding principle is single ingress: APIM is the mandatory ingress for every API governed by the enterprise API management capability, unless an explicit architecture exception is approved. The supporting principles are: identity on every call via Entra ID; secrets in Key Vault, never in policy; backends private by default; and every environment built from code, not by hand.</w:t>
      </w:r>
    </w:p>
    <w:p>
      <w:pPr>
        <w:spacing w:after="140"/>
      </w:pPr>
      <w:r>
        <w:rPr>
          <w:rFonts w:ascii="Noe Text" w:cs="Noe Text" w:eastAsia="Noe Text" w:hAnsi="Noe Text"/>
          <w:b w:val="false"/>
          <w:bCs w:val="false"/>
          <w:i w:val="false"/>
          <w:iCs w:val="false"/>
          <w:color w:val="333333"/>
          <w:sz w:val="21"/>
          <w:szCs w:val="21"/>
        </w:rPr>
        <w:t xml:space="preserve">Azure API Management is the single entry point for all API traffic at Chaucer. Every consumer, whether a broker, a Lloyd's market system, or an internal application, talks to APIM first. APIM checks identity, applies rate limits, logs the call, and only then forwards it to the real backend. The principle is that APIM is the mandatory ingress for every API governed by the enterprise API management capability.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Traffic type</w:t>
            </w:r>
          </w:p>
        </w:tc>
        <w:tc>
          <w:tcPr>
            <w:tcW w:type="dxa" w:w="465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Route</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External consumer to Chaucer API</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External consumer, APIM external gateway, backend</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Internal system to internal API</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Internal system, APIM internal gateway, backend</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Third-party webhook to Chaucer</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Third party, APIM external gateway, Function or Logic App</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 to third-party API</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Logic App or Function, APIM outbound, third-party endpoint</w:t>
            </w:r>
          </w:p>
        </w:tc>
      </w:tr>
    </w:tbl>
    <w:p>
      <w:pPr>
        <w:spacing w:after="140"/>
      </w:pPr>
      <w:r>
        <w:rPr>
          <w:rFonts w:ascii="Noe Text" w:cs="Noe Text" w:eastAsia="Noe Text" w:hAnsi="Noe Text"/>
          <w:b w:val="false"/>
          <w:bCs w:val="false"/>
          <w:i w:val="false"/>
          <w:iCs w:val="false"/>
          <w:color w:val="333333"/>
          <w:sz w:val="2"/>
          <w:szCs w:val="2"/>
        </w:rPr>
        <w:t xml:space="preserve"/>
      </w:r>
    </w:p>
    <w:p>
      <w:pPr>
        <w:spacing w:after="140"/>
      </w:pPr>
      <w:r>
        <w:rPr>
          <w:rFonts w:ascii="Noe Text" w:cs="Noe Text" w:eastAsia="Noe Text" w:hAnsi="Noe Text"/>
          <w:b w:val="false"/>
          <w:bCs w:val="false"/>
          <w:i w:val="false"/>
          <w:iCs w:val="false"/>
          <w:color w:val="333333"/>
          <w:sz w:val="21"/>
          <w:szCs w:val="21"/>
        </w:rPr>
        <w:t xml:space="preserve">APIM is the mandatory ingress for every API governed by the enterprise API management capability, unless an explicit architecture exception is approved. That qualifier matters: the intent is that no managed enterprise API is consumed by bypassing the gateway, not that literally every packet on Chaucer's network must traverse APIM. Legitimate exceptions, for example certain internal service-to-service calls, Azure platform callbacks, or temporary migration paths, are handled through an approved exception rather than by weakening the principle. Every such exception is recorded as an architecture decision so the boundary stays visible and governed.</w:t>
      </w:r>
    </w:p>
    <w:p>
      <w:pPr>
        <w:pStyle w:val="Heading2"/>
        <w:spacing w:after="100" w:before="200"/>
      </w:pPr>
      <w:r>
        <w:rPr>
          <w:rFonts w:ascii="Noe Text Regular" w:cs="Noe Text Regular" w:eastAsia="Noe Text Regular" w:hAnsi="Noe Text Regular"/>
        </w:rPr>
        <w:t xml:space="preserve">4.2 Engineering Standards</w:t>
      </w:r>
    </w:p>
    <w:p>
      <w:pPr>
        <w:spacing w:after="140"/>
      </w:pPr>
      <w:r>
        <w:rPr>
          <w:rFonts w:ascii="Noe Text" w:cs="Noe Text" w:eastAsia="Noe Text" w:hAnsi="Noe Text"/>
          <w:b w:val="false"/>
          <w:bCs w:val="false"/>
          <w:i w:val="false"/>
          <w:iCs w:val="false"/>
          <w:color w:val="333333"/>
          <w:sz w:val="21"/>
          <w:szCs w:val="21"/>
        </w:rPr>
        <w:t xml:space="preserve">These engineering standards are not invented for this platform; they follow Chaucer’s existing Engineering Standard and Cloud Adoption Framework conventions, and are restated here only where they bear on the APIM design. Where this document and the corporate standard differ, the corporate standard prevails and this design should be reconciled to it. [Placeholder: link to Chaucer Engineering Standard / CAF naming standard — to be inserted by Chaucer before issue.]</w:t>
      </w:r>
    </w:p>
    <w:p>
      <w:pPr>
        <w:spacing w:after="140"/>
      </w:pPr>
      <w:r>
        <w:rPr>
          <w:rFonts w:ascii="Noe Text" w:cs="Noe Text" w:eastAsia="Noe Text" w:hAnsi="Noe Text"/>
          <w:b w:val="false"/>
          <w:bCs w:val="false"/>
          <w:i w:val="false"/>
          <w:iCs w:val="false"/>
          <w:color w:val="333333"/>
          <w:sz w:val="21"/>
          <w:szCs w:val="21"/>
        </w:rPr>
        <w:t xml:space="preserve">APIs follow the design and naming standards below; these are the engineering standards the platform enforces.</w:t>
      </w:r>
    </w:p>
    <w:p>
      <w:pPr>
        <w:spacing w:after="140"/>
      </w:pPr>
      <w:r>
        <w:rPr>
          <w:rFonts w:ascii="Noe Text" w:cs="Noe Text" w:eastAsia="Noe Text" w:hAnsi="Noe Text"/>
          <w:b w:val="false"/>
          <w:bCs w:val="false"/>
          <w:i w:val="false"/>
          <w:iCs w:val="false"/>
          <w:color w:val="333333"/>
          <w:sz w:val="21"/>
          <w:szCs w:val="21"/>
        </w:rPr>
        <w:t xml:space="preserve">Every API follows the same conventions, so teams and consumers do not have to relearn a new shape for every integration.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Aspect</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Standard</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Example</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Base path</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/api/{domain}/{version}/{resource}</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/api/claims/v1/claims</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Resource naming</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Plural nouns, lowercase, kebab-case</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/api/policies/v1/policy-holders</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Versioning</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URL path, major version only for breaking changes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/api/claims/v2/claims</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Response format</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Consistent data / error / metadata envelope with a correlation ID</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See Appendix A</w:t>
            </w:r>
          </w:p>
        </w:tc>
      </w:tr>
    </w:tbl>
    <w:p>
      <w:pPr>
        <w:pStyle w:val="Heading3"/>
        <w:spacing w:after="90" w:before="160"/>
      </w:pPr>
      <w:r>
        <w:rPr>
          <w:rFonts w:ascii="Noe Text Regular" w:cs="Noe Text Regular" w:eastAsia="Noe Text Regular" w:hAnsi="Noe Text Regular"/>
        </w:rPr>
        <w:t xml:space="preserve">Azure resource naming standard</w:t>
      </w:r>
    </w:p>
    <w:p>
      <w:pPr>
        <w:spacing w:after="140"/>
      </w:pPr>
      <w:r>
        <w:rPr>
          <w:rFonts w:ascii="Noe Text" w:cs="Noe Text" w:eastAsia="Noe Text" w:hAnsi="Noe Text"/>
          <w:b w:val="false"/>
          <w:bCs w:val="false"/>
          <w:i w:val="false"/>
          <w:iCs w:val="false"/>
          <w:color w:val="333333"/>
          <w:sz w:val="21"/>
          <w:szCs w:val="21"/>
        </w:rPr>
        <w:t xml:space="preserve">The table above covers API path naming. The convention below extends the same discipline to the underlying Azure resources, so the estate is navigable from the portal and from Azure Resource Graph queries, not only from the developer portal.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00"/>
      </w:tblGrid>
      <w:tr>
        <w:trPr>
          <w:tblHeader/>
        </w:trPr>
        <w:tc>
          <w:tcPr>
            <w:tcW w:type="dxa" w:w="26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Resource type</w:t>
            </w:r>
          </w:p>
        </w:tc>
        <w:tc>
          <w:tcPr>
            <w:tcW w:type="dxa" w:w="34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Convention</w:t>
            </w:r>
          </w:p>
        </w:tc>
        <w:tc>
          <w:tcPr>
            <w:tcW w:type="dxa" w:w="33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Example</w:t>
            </w:r>
          </w:p>
        </w:tc>
      </w:tr>
      <w:tr>
        <w:trPr>
          <w:tblHeader w:val="false"/>
        </w:trP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Resource group</w:t>
            </w:r>
          </w:p>
        </w:tc>
        <w:tc>
          <w:tcPr>
            <w:tcW w:type="dxa" w:w="3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rg-{workload}-{env}-{region}</w:t>
            </w:r>
          </w:p>
        </w:tc>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rg-apim-prod-uksouth</w:t>
            </w:r>
          </w:p>
        </w:tc>
      </w:tr>
      <w:tr>
        <w:trPr>
          <w:tblHeader w:val="false"/>
        </w:trP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 instance</w:t>
            </w:r>
          </w:p>
        </w:tc>
        <w:tc>
          <w:tcPr>
            <w:tcW w:type="dxa" w:w="3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apim-{workload}-{env}-{region}</w:t>
            </w:r>
          </w:p>
        </w:tc>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apim-chaucer-prod-uksouth</w:t>
            </w:r>
          </w:p>
        </w:tc>
      </w:tr>
      <w:tr>
        <w:trPr>
          <w:tblHeader w:val="false"/>
        </w:trP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Virtual network / subnet</w:t>
            </w:r>
          </w:p>
        </w:tc>
        <w:tc>
          <w:tcPr>
            <w:tcW w:type="dxa" w:w="3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vnet-{workload}-{env}-{region} / snet-apim-{env}</w:t>
            </w:r>
          </w:p>
        </w:tc>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vnet-apim-prod-uksouth / snet-apim-prod</w:t>
            </w:r>
          </w:p>
        </w:tc>
      </w:tr>
      <w:tr>
        <w:trPr>
          <w:tblHeader w:val="false"/>
        </w:trP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Network security group</w:t>
            </w:r>
          </w:p>
        </w:tc>
        <w:tc>
          <w:tcPr>
            <w:tcW w:type="dxa" w:w="3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nsg-{subnet-purpose}-{env}</w:t>
            </w:r>
          </w:p>
        </w:tc>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nsg-apim-prod</w:t>
            </w:r>
          </w:p>
        </w:tc>
      </w:tr>
      <w:tr>
        <w:trPr>
          <w:tblHeader w:val="false"/>
        </w:trP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Key Vault</w:t>
            </w:r>
          </w:p>
        </w:tc>
        <w:tc>
          <w:tcPr>
            <w:tcW w:type="dxa" w:w="3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kv-{workload}-{env}-{region}</w:t>
            </w:r>
          </w:p>
        </w:tc>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kv-apim-prod-uks (Key Vault names are globally unique and length-limited)</w:t>
            </w:r>
          </w:p>
        </w:tc>
      </w:tr>
      <w:tr>
        <w:trPr>
          <w:tblHeader w:val="false"/>
        </w:trP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Front Door profile</w:t>
            </w:r>
          </w:p>
        </w:tc>
        <w:tc>
          <w:tcPr>
            <w:tcW w:type="dxa" w:w="3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afd-{workload}-{env}</w:t>
            </w:r>
          </w:p>
        </w:tc>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afd-chaucer-prod</w:t>
            </w:r>
          </w:p>
        </w:tc>
      </w:tr>
      <w:tr>
        <w:trPr>
          <w:tblHeader w:val="false"/>
        </w:trP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Log Analytics workspace</w:t>
            </w:r>
          </w:p>
        </w:tc>
        <w:tc>
          <w:tcPr>
            <w:tcW w:type="dxa" w:w="3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log-{workload}-{env}-{region}</w:t>
            </w:r>
          </w:p>
        </w:tc>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log-apim-prod-uksouth</w:t>
            </w:r>
          </w:p>
        </w:tc>
      </w:tr>
      <w:tr>
        <w:trPr>
          <w:tblHeader w:val="false"/>
        </w:trP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Application Insights</w:t>
            </w:r>
          </w:p>
        </w:tc>
        <w:tc>
          <w:tcPr>
            <w:tcW w:type="dxa" w:w="3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appi-{workload}-{env}-{region}</w:t>
            </w:r>
          </w:p>
        </w:tc>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appi-apim-prod-uksouth</w:t>
            </w:r>
          </w:p>
        </w:tc>
      </w:tr>
    </w:tbl>
    <w:p>
      <w:pPr>
        <w:spacing w:after="140"/>
      </w:pPr>
      <w:r>
        <w:rPr>
          <w:rFonts w:ascii="Noe Text" w:cs="Noe Text" w:eastAsia="Noe Text" w:hAnsi="Noe Text"/>
          <w:b w:val="false"/>
          <w:bCs w:val="false"/>
          <w:i/>
          <w:iCs/>
          <w:color w:val="333333"/>
          <w:sz w:val="21"/>
          <w:szCs w:val="21"/>
        </w:rPr>
        <w:t xml:space="preserve">This should be reconciled with Chaucer’s existing Cloud Adoption Framework naming standard if one is already mandated; the pattern above follows the CAF convention as a sensible default where no Chaucer-specific standard yet exists.</w:t>
      </w:r>
    </w:p>
    <w:p>
      <w:pPr>
        <w:spacing w:after="140"/>
      </w:pPr>
      <w:r>
        <w:rPr>
          <w:rFonts w:ascii="Noe Text" w:cs="Noe Text" w:eastAsia="Noe Text" w:hAnsi="Noe Text"/>
          <w:b w:val="false"/>
          <w:bCs w:val="false"/>
          <w:i w:val="false"/>
          <w:iCs w:val="false"/>
          <w:color w:val="333333"/>
          <w:sz w:val="2"/>
          <w:szCs w:val="2"/>
        </w:rPr>
        <w:t xml:space="preserve"/>
      </w:r>
    </w:p>
    <w:p>
      <w:pPr>
        <w:pStyle w:val="Heading2"/>
        <w:spacing w:after="100" w:before="200"/>
      </w:pPr>
      <w:r>
        <w:rPr>
          <w:rFonts w:ascii="Noe Text Regular" w:cs="Noe Text Regular" w:eastAsia="Noe Text Regular" w:hAnsi="Noe Text Regular"/>
        </w:rPr>
        <w:t xml:space="preserve">4.3 Architectural Decisions</w:t>
      </w:r>
    </w:p>
    <w:p>
      <w:pPr>
        <w:spacing w:after="140"/>
      </w:pPr>
      <w:r>
        <w:rPr>
          <w:rFonts w:ascii="Noe Text" w:cs="Noe Text" w:eastAsia="Noe Text" w:hAnsi="Noe Text"/>
          <w:b w:val="false"/>
          <w:bCs w:val="false"/>
          <w:i w:val="false"/>
          <w:iCs w:val="false"/>
          <w:color w:val="333333"/>
          <w:sz w:val="21"/>
          <w:szCs w:val="21"/>
        </w:rPr>
        <w:t xml:space="preserve">The architectural decisions this design depends on are summarised below in a single register, so a reviewer can see each decision, the main alternative it was weighed against, why it was chosen, and whether it is settled or still open. Each decision is carried in full in the accompanying Validation and Architecture Decisions (ADR) register; this table is the at-a-glance view.</w:t>
      </w:r>
    </w:p>
    <w:p>
      <w:pPr>
        <w:spacing w:after="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100"/>
        <w:gridCol w:w="2900"/>
        <w:gridCol w:w="1300"/>
      </w:tblGrid>
      <w:tr>
        <w:trPr>
          <w:tblHeader/>
        </w:trPr>
        <w:tc>
          <w:tcPr>
            <w:tcW w:type="dxa" w:w="7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Ref</w:t>
            </w:r>
          </w:p>
        </w:tc>
        <w:tc>
          <w:tcPr>
            <w:tcW w:type="dxa" w:w="23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Decision</w:t>
            </w:r>
          </w:p>
        </w:tc>
        <w:tc>
          <w:tcPr>
            <w:tcW w:type="dxa" w:w="21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Main alternative</w:t>
            </w:r>
          </w:p>
        </w:tc>
        <w:tc>
          <w:tcPr>
            <w:tcW w:type="dxa" w:w="29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Why chosen</w:t>
            </w:r>
          </w:p>
        </w:tc>
        <w:tc>
          <w:tcPr>
            <w:tcW w:type="dxa" w:w="13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Status</w:t>
            </w:r>
          </w:p>
        </w:tc>
      </w:tr>
      <w:tr>
        <w:tc>
          <w:tcPr>
            <w:tcW w:type="dxa" w:w="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AD-01</w:t>
            </w:r>
          </w:p>
        </w:tc>
        <w:tc>
          <w:tcPr>
            <w:tcW w:type="dxa" w:w="2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Single ingress through APIM for all managed enterprise APIs</w:t>
            </w:r>
          </w:p>
        </w:tc>
        <w:tc>
          <w:tcPr>
            <w:tcW w:type="dxa" w:w="21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Per-app gateways / direct backend exposure</w:t>
            </w:r>
          </w:p>
        </w:tc>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One governed control plane; consistent identity, logging and rate-limiting; satisfies the SIF single-ingress principle</w:t>
            </w:r>
          </w:p>
        </w:tc>
        <w:tc>
          <w:tcPr>
            <w:tcW w:type="dxa" w:w="1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Proposed</w:t>
            </w:r>
          </w:p>
        </w:tc>
      </w:tr>
      <w:tr>
        <w:tc>
          <w:tcPr>
            <w:tcW w:type="dxa" w:w="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AD-02</w:t>
            </w:r>
          </w:p>
        </w:tc>
        <w:tc>
          <w:tcPr>
            <w:tcW w:type="dxa" w:w="2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Azure Front Door (Premium + WAF) for global routing</w:t>
            </w:r>
          </w:p>
        </w:tc>
        <w:tc>
          <w:tcPr>
            <w:tcW w:type="dxa" w:w="21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Azure Traffic Manager (DNS-layer)</w:t>
            </w:r>
          </w:p>
        </w:tc>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All consumer traffic is HTTPS and benefits from edge WAF and sub-minute, non-DNS-bound failover; bundles WAF (see 6.5, 6.11)</w:t>
            </w:r>
          </w:p>
        </w:tc>
        <w:tc>
          <w:tcPr>
            <w:tcW w:type="dxa" w:w="1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Proposed — subject to SIF sign-off</w:t>
            </w:r>
          </w:p>
        </w:tc>
      </w:tr>
      <w:tr>
        <w:tc>
          <w:tcPr>
            <w:tcW w:type="dxa" w:w="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AD-03</w:t>
            </w:r>
          </w:p>
        </w:tc>
        <w:tc>
          <w:tcPr>
            <w:tcW w:type="dxa" w:w="2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APIM classic Premium as the production tier</w:t>
            </w:r>
          </w:p>
        </w:tc>
        <w:tc>
          <w:tcPr>
            <w:tcW w:type="dxa" w:w="21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Premium v2 single-region</w:t>
            </w:r>
          </w:p>
        </w:tc>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Classic Premium is today the only tier offering multi-region + zones + workspaces together; v2 has no multi-region yet (confirmed, MS Learn Jan 2026)</w:t>
            </w:r>
          </w:p>
        </w:tc>
        <w:tc>
          <w:tcPr>
            <w:tcW w:type="dxa" w:w="1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Proposed — depends on A.08</w:t>
            </w:r>
          </w:p>
        </w:tc>
      </w:tr>
      <w:tr>
        <w:tc>
          <w:tcPr>
            <w:tcW w:type="dxa" w:w="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AD-04</w:t>
            </w:r>
          </w:p>
        </w:tc>
        <w:tc>
          <w:tcPr>
            <w:tcW w:type="dxa" w:w="2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VNet injection with Palo Alto firewall in the data path</w:t>
            </w:r>
          </w:p>
        </w:tc>
        <w:tc>
          <w:tcPr>
            <w:tcW w:type="dxa" w:w="21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External / external-VNet mode without NVA inspection</w:t>
            </w:r>
          </w:p>
        </w:tc>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Keeps Chaucer’s existing inspection and egress-control point; backends stay private (see 6.4)</w:t>
            </w:r>
          </w:p>
        </w:tc>
        <w:tc>
          <w:tcPr>
            <w:tcW w:type="dxa" w:w="1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Proposed</w:t>
            </w:r>
          </w:p>
        </w:tc>
      </w:tr>
      <w:tr>
        <w:tc>
          <w:tcPr>
            <w:tcW w:type="dxa" w:w="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AD-05</w:t>
            </w:r>
          </w:p>
        </w:tc>
        <w:tc>
          <w:tcPr>
            <w:tcW w:type="dxa" w:w="2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Active-active multi-region DR (UK South + UK West)</w:t>
            </w:r>
          </w:p>
        </w:tc>
        <w:tc>
          <w:tcPr>
            <w:tcW w:type="dxa" w:w="21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Active-passive / single-region + zones</w:t>
            </w:r>
          </w:p>
        </w:tc>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Sensitivity of claims and policy data; near-zero-downtime regional failover behind Front Door</w:t>
            </w:r>
          </w:p>
        </w:tc>
        <w:tc>
          <w:tcPr>
            <w:tcW w:type="dxa" w:w="1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Proposed — subject to business confirmation (A.08)</w:t>
            </w:r>
          </w:p>
        </w:tc>
      </w:tr>
      <w:tr>
        <w:tc>
          <w:tcPr>
            <w:tcW w:type="dxa" w:w="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AD-06</w:t>
            </w:r>
          </w:p>
        </w:tc>
        <w:tc>
          <w:tcPr>
            <w:tcW w:type="dxa" w:w="2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Entra ID + OAuth 2.0 as the enterprise auth default</w:t>
            </w:r>
          </w:p>
        </w:tc>
        <w:tc>
          <w:tcPr>
            <w:tcW w:type="dxa" w:w="21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Per-integration bespoke auth</w:t>
            </w:r>
          </w:p>
        </w:tc>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One identity provider for consumers and admins; approved exceptions only where a party cannot support it</w:t>
            </w:r>
          </w:p>
        </w:tc>
        <w:tc>
          <w:tcPr>
            <w:tcW w:type="dxa" w:w="1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Proposed</w:t>
            </w:r>
          </w:p>
        </w:tc>
      </w:tr>
      <w:tr>
        <w:tc>
          <w:tcPr>
            <w:tcW w:type="dxa" w:w="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AD-07</w:t>
            </w:r>
          </w:p>
        </w:tc>
        <w:tc>
          <w:tcPr>
            <w:tcW w:type="dxa" w:w="2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APIOps (config + infra as code); no portal changes in Production</w:t>
            </w:r>
          </w:p>
        </w:tc>
        <w:tc>
          <w:tcPr>
            <w:tcW w:type="dxa" w:w="21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Manual portal configuration</w:t>
            </w:r>
          </w:p>
        </w:tc>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Traceable, reviewable, repeatable promotion Dev→UAT→Prod; tooling to be confirmed by Chaucer Platform</w:t>
            </w:r>
          </w:p>
        </w:tc>
        <w:tc>
          <w:tcPr>
            <w:tcW w:type="dxa" w:w="1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Proposed</w:t>
            </w:r>
          </w:p>
        </w:tc>
      </w:tr>
    </w:tbl>
    <w:p>
      <w:pPr>
        <w:pStyle w:val="Heading2"/>
        <w:spacing w:after="100" w:before="200"/>
      </w:pPr>
      <w:r>
        <w:rPr>
          <w:rFonts w:ascii="Noe Text Regular" w:cs="Noe Text Regular" w:eastAsia="Noe Text Regular" w:hAnsi="Noe Text Regular"/>
        </w:rPr>
        <w:t xml:space="preserve">4.4 Requirements Traceability</w:t>
      </w:r>
    </w:p>
    <w:p>
      <w:pPr>
        <w:spacing w:after="140"/>
      </w:pPr>
      <w:r>
        <w:rPr>
          <w:rFonts w:ascii="Noe Text" w:cs="Noe Text" w:eastAsia="Noe Text" w:hAnsi="Noe Text"/>
          <w:b w:val="false"/>
          <w:bCs w:val="false"/>
          <w:i w:val="false"/>
          <w:iCs w:val="false"/>
          <w:color w:val="333333"/>
          <w:sz w:val="21"/>
          <w:szCs w:val="21"/>
        </w:rPr>
        <w:t xml:space="preserve">Where this design departs from or interprets a stated requirement, the decision is traced explicitly. The clearest example is global routing: the Systems Integration Framework references Traffic Manager, and this design selects Azure Front Door instead, with the comparison and justification set out in section 6.5. Confirmation of whether the Traffic Manager reference is a hard mandate is an open item in the assumptions register (section 8.1).</w:t>
      </w:r>
    </w:p>
    <w:p>
      <w:pPr>
        <w:pStyle w:val="Heading1"/>
        <w:pageBreakBefore/>
        <w:spacing w:after="160"/>
      </w:pPr>
      <w:r>
        <w:rPr>
          <w:rFonts w:ascii="Noe Text Regular" w:cs="Noe Text Regular" w:eastAsia="Noe Text Regular" w:hAnsi="Noe Text Regular"/>
        </w:rPr>
        <w:t xml:space="preserve">5. Baseline Architecture</w:t>
      </w:r>
    </w:p>
    <w:p>
      <w:pPr>
        <w:pStyle w:val="Heading2"/>
        <w:spacing w:after="100" w:before="200"/>
      </w:pPr>
      <w:r>
        <w:rPr>
          <w:rFonts w:ascii="Noe Text Regular" w:cs="Noe Text Regular" w:eastAsia="Noe Text Regular" w:hAnsi="Noe Text Regular"/>
        </w:rPr>
        <w:t xml:space="preserve">5.1 Current State Summary</w:t>
      </w:r>
    </w:p>
    <w:p>
      <w:pPr>
        <w:spacing w:after="140"/>
      </w:pPr>
      <w:r>
        <w:rPr>
          <w:rFonts w:ascii="Noe Text" w:cs="Noe Text" w:eastAsia="Noe Text" w:hAnsi="Noe Text"/>
          <w:b w:val="false"/>
          <w:bCs w:val="false"/>
          <w:i w:val="false"/>
          <w:iCs w:val="false"/>
          <w:color w:val="333333"/>
          <w:sz w:val="21"/>
          <w:szCs w:val="21"/>
        </w:rPr>
        <w:t xml:space="preserve">Chaucer's integrations are built one at a time today: batch files, direct database links, and point-to-point Logic Apps, each wired to the system it talks to. That has worked, but it has three consequences worth naming plainly.</w:t>
      </w:r>
    </w:p>
    <w:p>
      <w:pPr>
        <w:pStyle w:val="ListParagraph"/>
        <w:numPr>
          <w:ilvl w:val="0"/>
          <w:numId w:val="2"/>
        </w:numPr>
        <w:spacing w:after="70"/>
      </w:pPr>
      <w:r>
        <w:rPr>
          <w:rFonts w:ascii="Noe Text" w:cs="Noe Text" w:eastAsia="Noe Text" w:hAnsi="Noe Text"/>
          <w:color w:val="333333"/>
          <w:sz w:val="21"/>
          <w:szCs w:val="21"/>
        </w:rPr>
        <w:t xml:space="preserve">Every new integration starts from a blank page. Security, authentication, and monitoring are rebuilt each time rather than reused.</w:t>
      </w:r>
    </w:p>
    <w:p>
      <w:pPr>
        <w:pStyle w:val="ListParagraph"/>
        <w:numPr>
          <w:ilvl w:val="0"/>
          <w:numId w:val="2"/>
        </w:numPr>
        <w:spacing w:after="70"/>
      </w:pPr>
      <w:r>
        <w:rPr>
          <w:rFonts w:ascii="Noe Text" w:cs="Noe Text" w:eastAsia="Noe Text" w:hAnsi="Noe Text"/>
          <w:color w:val="333333"/>
          <w:sz w:val="21"/>
          <w:szCs w:val="21"/>
        </w:rPr>
        <w:t xml:space="preserve">Nobody has one place to see what is talking to what, or who is consuming which piece of data.</w:t>
      </w:r>
    </w:p>
    <w:p>
      <w:pPr>
        <w:pStyle w:val="ListParagraph"/>
        <w:numPr>
          <w:ilvl w:val="0"/>
          <w:numId w:val="2"/>
        </w:numPr>
        <w:spacing w:after="70"/>
      </w:pPr>
      <w:r>
        <w:rPr>
          <w:rFonts w:ascii="Noe Text" w:cs="Noe Text" w:eastAsia="Noe Text" w:hAnsi="Noe Text"/>
          <w:color w:val="333333"/>
          <w:sz w:val="21"/>
          <w:szCs w:val="21"/>
        </w:rPr>
        <w:t xml:space="preserve">Partners and brokers cannot self-serve access to anything; every connection is a bespoke conversation.</w:t>
      </w:r>
    </w:p>
    <w:p>
      <w:pPr>
        <w:spacing w:after="140"/>
      </w:pPr>
      <w:r>
        <w:rPr>
          <w:rFonts w:ascii="Noe Text" w:cs="Noe Text" w:eastAsia="Noe Text" w:hAnsi="Noe Text"/>
          <w:b w:val="false"/>
          <w:bCs w:val="false"/>
          <w:i w:val="false"/>
          <w:iCs w:val="false"/>
          <w:color w:val="333333"/>
          <w:sz w:val="21"/>
          <w:szCs w:val="21"/>
        </w:rPr>
        <w:t xml:space="preserve">Our working assumption is that this is a greenfield API platform build for Chaucer, adding APIM in front of the existing Logic Apps estate rather than migrating away from an established API gateway. This assumption is load-bearing, so it needs confirming: Part 1 of the wider scope references legacy on-premises systems, and if any of those must be exposed directly through APIM (rather than reached via the existing Logic Apps), that introduces a self-hosted-gateway and hybrid-connectivity requirement this design would need to absorb. Subject to that confirmation, the greenfield position lets the platform be designed cleanly from day one without working around an incumbent gateway.</w:t>
      </w:r>
    </w:p>
    <w:p>
      <w:pPr>
        <w:pStyle w:val="Heading2"/>
        <w:spacing w:after="100" w:before="200"/>
      </w:pPr>
      <w:r>
        <w:rPr>
          <w:rFonts w:ascii="Noe Text Regular" w:cs="Noe Text Regular" w:eastAsia="Noe Text Regular" w:hAnsi="Noe Text Regular"/>
        </w:rPr>
        <w:t xml:space="preserve">5.2 Existing API and Integration Landscape</w:t>
      </w:r>
    </w:p>
    <w:p>
      <w:pPr>
        <w:spacing w:after="140"/>
      </w:pPr>
      <w:r>
        <w:rPr>
          <w:rFonts w:ascii="Noe Text" w:cs="Noe Text" w:eastAsia="Noe Text" w:hAnsi="Noe Text"/>
          <w:b w:val="false"/>
          <w:bCs w:val="false"/>
          <w:i w:val="false"/>
          <w:iCs w:val="false"/>
          <w:color w:val="333333"/>
          <w:sz w:val="21"/>
          <w:szCs w:val="21"/>
        </w:rPr>
        <w:t xml:space="preserve">Chaucer's current integration landscape is built on point-to-point Azure Logic Apps, each wired directly to the system it connects, alongside batch files and direct database links. There is no central API gateway, catalogue or consistent security model today. This design adds APIM in front of that existing Logic Apps estate rather than replacing it.</w:t>
      </w:r>
    </w:p>
    <w:p>
      <w:pPr>
        <w:pStyle w:val="Heading2"/>
        <w:spacing w:after="100" w:before="200"/>
      </w:pPr>
      <w:r>
        <w:rPr>
          <w:rFonts w:ascii="Noe Text Regular" w:cs="Noe Text Regular" w:eastAsia="Noe Text Regular" w:hAnsi="Noe Text Regular"/>
        </w:rPr>
        <w:t xml:space="preserve">5.3 Current Network and Connectivity Model</w:t>
      </w:r>
    </w:p>
    <w:p>
      <w:pPr>
        <w:spacing w:after="140"/>
      </w:pPr>
      <w:r>
        <w:rPr>
          <w:rFonts w:ascii="Noe Text" w:cs="Noe Text" w:eastAsia="Noe Text" w:hAnsi="Noe Text"/>
          <w:b w:val="false"/>
          <w:bCs w:val="false"/>
          <w:i w:val="false"/>
          <w:iCs w:val="false"/>
          <w:color w:val="333333"/>
          <w:sz w:val="21"/>
          <w:szCs w:val="21"/>
        </w:rPr>
        <w:t xml:space="preserve">This is a greenfield API-platform build; there is no incumbent API gateway or established API network path to document. The relevant baseline is Chaucer's existing Azure landing zone and the Palo Alto firewall, whose actual topology is an open item to confirm (assumptions register, section 8.1). The target network design is set out in section 6.4.</w:t>
      </w:r>
    </w:p>
    <w:p>
      <w:pPr>
        <w:pStyle w:val="Heading2"/>
        <w:spacing w:after="100" w:before="200"/>
      </w:pPr>
      <w:r>
        <w:rPr>
          <w:rFonts w:ascii="Noe Text Regular" w:cs="Noe Text Regular" w:eastAsia="Noe Text Regular" w:hAnsi="Noe Text Regular"/>
        </w:rPr>
        <w:t xml:space="preserve">5.4 Existing Security and Access Model</w:t>
      </w:r>
    </w:p>
    <w:p>
      <w:pPr>
        <w:spacing w:after="140"/>
      </w:pPr>
      <w:r>
        <w:rPr>
          <w:rFonts w:ascii="Noe Text" w:cs="Noe Text" w:eastAsia="Noe Text" w:hAnsi="Noe Text"/>
          <w:b w:val="false"/>
          <w:bCs w:val="false"/>
          <w:i w:val="false"/>
          <w:iCs w:val="false"/>
          <w:color w:val="333333"/>
          <w:sz w:val="21"/>
          <w:szCs w:val="21"/>
        </w:rPr>
        <w:t xml:space="preserve">There is no consistent existing API security model; today each Logic App integration implements its own security, and there is no central authentication or authorisation layer. The target security model, standardised on Entra ID and OAuth 2.0, is set out in section 6.6.</w:t>
      </w:r>
    </w:p>
    <w:p>
      <w:pPr>
        <w:pStyle w:val="Heading2"/>
        <w:spacing w:after="100" w:before="200"/>
      </w:pPr>
      <w:r>
        <w:rPr>
          <w:rFonts w:ascii="Noe Text Regular" w:cs="Noe Text Regular" w:eastAsia="Noe Text Regular" w:hAnsi="Noe Text Regular"/>
        </w:rPr>
        <w:t xml:space="preserve">5.5 Current API Consumption and Exposure Model</w:t>
      </w:r>
    </w:p>
    <w:p>
      <w:pPr>
        <w:spacing w:after="140"/>
      </w:pPr>
      <w:r>
        <w:rPr>
          <w:rFonts w:ascii="Noe Text" w:cs="Noe Text" w:eastAsia="Noe Text" w:hAnsi="Noe Text"/>
          <w:b w:val="false"/>
          <w:bCs w:val="false"/>
          <w:i w:val="false"/>
          <w:iCs w:val="false"/>
          <w:color w:val="333333"/>
          <w:sz w:val="21"/>
          <w:szCs w:val="21"/>
        </w:rPr>
        <w:t xml:space="preserve">Today, consumers, whether internal systems or external partners, integrate through bespoke point-to-point connections. There is no self-service discovery, no product or subscription model, and partners cannot self-onboard. The target consumption and exposure model is set out in section 6.7.</w:t>
      </w:r>
    </w:p>
    <w:p>
      <w:pPr>
        <w:pStyle w:val="Heading1"/>
        <w:pageBreakBefore/>
        <w:spacing w:after="160"/>
      </w:pPr>
      <w:r>
        <w:rPr>
          <w:rFonts w:ascii="Noe Text Regular" w:cs="Noe Text Regular" w:eastAsia="Noe Text Regular" w:hAnsi="Noe Text Regular"/>
        </w:rPr>
        <w:t xml:space="preserve">6. Target Architecture</w:t>
      </w:r>
    </w:p>
    <w:p>
      <w:pPr>
        <w:pStyle w:val="Heading2"/>
        <w:spacing w:after="100" w:before="200"/>
      </w:pPr>
      <w:r>
        <w:rPr>
          <w:rFonts w:ascii="Noe Text Regular" w:cs="Noe Text Regular" w:eastAsia="Noe Text Regular" w:hAnsi="Noe Text Regular"/>
        </w:rPr>
        <w:t xml:space="preserve">6.1 Solution Summary</w:t>
      </w:r>
    </w:p>
    <w:p>
      <w:pPr>
        <w:spacing w:after="140"/>
      </w:pPr>
      <w:r>
        <w:rPr>
          <w:rFonts w:ascii="Noe Text" w:cs="Noe Text" w:eastAsia="Noe Text" w:hAnsi="Noe Text"/>
          <w:b w:val="false"/>
          <w:bCs w:val="false"/>
          <w:i w:val="false"/>
          <w:iCs w:val="false"/>
          <w:color w:val="333333"/>
          <w:sz w:val="21"/>
          <w:szCs w:val="21"/>
        </w:rPr>
        <w:t xml:space="preserve">One control plane. One security model. Every API, internal, external, and partner, governed consistently on Azure API Management.</w:t>
      </w:r>
    </w:p>
    <w:p>
      <w:pPr>
        <w:spacing w:after="120" w:before="80"/>
        <w:jc w:val="center"/>
      </w:pPr>
      <w:r>
        <w:drawing>
          <wp:inline distT="0" distB="0" distL="0" distR="0">
            <wp:extent cx="54864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800350"/>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1: The APIM vision, four stages from discovery to scale</w:t>
      </w:r>
    </w:p>
    <w:p>
      <w:pPr>
        <w:pStyle w:val="ListParagraph"/>
        <w:numPr>
          <w:ilvl w:val="0"/>
          <w:numId w:val="2"/>
        </w:numPr>
        <w:spacing w:after="70"/>
      </w:pPr>
      <w:r>
        <w:rPr>
          <w:rFonts w:ascii="Noe Text" w:cs="Noe Text" w:eastAsia="Noe Text" w:hAnsi="Noe Text"/>
          <w:color w:val="333333"/>
          <w:sz w:val="21"/>
          <w:szCs w:val="21"/>
        </w:rPr>
        <w:t xml:space="preserve">Establish Azure APIM as the single enterprise API gateway and system of record for every published API.</w:t>
      </w:r>
    </w:p>
    <w:p>
      <w:pPr>
        <w:pStyle w:val="ListParagraph"/>
        <w:numPr>
          <w:ilvl w:val="0"/>
          <w:numId w:val="2"/>
        </w:numPr>
        <w:spacing w:after="70"/>
      </w:pPr>
      <w:r>
        <w:rPr>
          <w:rFonts w:ascii="Noe Text" w:cs="Noe Text" w:eastAsia="Noe Text" w:hAnsi="Noe Text"/>
          <w:color w:val="333333"/>
          <w:sz w:val="21"/>
          <w:szCs w:val="21"/>
        </w:rPr>
        <w:t xml:space="preserve">Make Microsoft Entra ID and OAuth 2.0 the enterprise default for API authentication, with formally approved exceptions for protocols or external parties that cannot support it.</w:t>
      </w:r>
    </w:p>
    <w:p>
      <w:pPr>
        <w:pStyle w:val="ListParagraph"/>
        <w:numPr>
          <w:ilvl w:val="0"/>
          <w:numId w:val="2"/>
        </w:numPr>
        <w:spacing w:after="70"/>
      </w:pPr>
      <w:r>
        <w:rPr>
          <w:rFonts w:ascii="Noe Text" w:cs="Noe Text" w:eastAsia="Noe Text" w:hAnsi="Noe Text"/>
          <w:color w:val="333333"/>
          <w:sz w:val="21"/>
          <w:szCs w:val="21"/>
        </w:rPr>
        <w:t xml:space="preserve">Automate the API lifecycle, design, publish, version, retire, through a Git-based APIOps pipeline.</w:t>
      </w:r>
    </w:p>
    <w:p>
      <w:pPr>
        <w:pStyle w:val="ListParagraph"/>
        <w:numPr>
          <w:ilvl w:val="0"/>
          <w:numId w:val="2"/>
        </w:numPr>
        <w:spacing w:after="70"/>
      </w:pPr>
      <w:r>
        <w:rPr>
          <w:rFonts w:ascii="Noe Text" w:cs="Noe Text" w:eastAsia="Noe Text" w:hAnsi="Noe Text"/>
          <w:color w:val="333333"/>
          <w:sz w:val="21"/>
          <w:szCs w:val="21"/>
        </w:rPr>
        <w:t xml:space="preserve">Enforce Zero Trust at the edge: WAF, private endpoints, and policy-based threat protection.</w:t>
      </w:r>
    </w:p>
    <w:p>
      <w:pPr>
        <w:pStyle w:val="ListParagraph"/>
        <w:numPr>
          <w:ilvl w:val="0"/>
          <w:numId w:val="2"/>
        </w:numPr>
        <w:spacing w:after="70"/>
      </w:pPr>
      <w:r>
        <w:rPr>
          <w:rFonts w:ascii="Noe Text" w:cs="Noe Text" w:eastAsia="Noe Text" w:hAnsi="Noe Text"/>
          <w:color w:val="333333"/>
          <w:sz w:val="21"/>
          <w:szCs w:val="21"/>
        </w:rPr>
        <w:t xml:space="preserve">Give developers a self-service Developer Portal for discovery, subscription, and testing.</w:t>
      </w:r>
    </w:p>
    <w:p>
      <w:pPr>
        <w:spacing w:after="140"/>
      </w:pPr>
      <w:r>
        <w:rPr>
          <w:rFonts w:ascii="Noe Text" w:cs="Noe Text" w:eastAsia="Noe Text" w:hAnsi="Noe Text"/>
          <w:b w:val="false"/>
          <w:bCs w:val="false"/>
          <w:i w:val="false"/>
          <w:iCs w:val="false"/>
          <w:color w:val="333333"/>
          <w:sz w:val="21"/>
          <w:szCs w:val="21"/>
        </w:rPr>
        <w:t xml:space="preserve">The single-ingress principle, the traffic-routing model, and the approved-exception process that this vision depends on are set out in full in section 4.1 (Architecture Principles) and are not repeated here.</w:t>
      </w:r>
    </w:p>
    <w:p>
      <w:pPr>
        <w:pStyle w:val="Heading2"/>
        <w:spacing w:after="100" w:before="200"/>
      </w:pPr>
      <w:r>
        <w:rPr>
          <w:rFonts w:ascii="Noe Text Regular" w:cs="Noe Text Regular" w:eastAsia="Noe Text Regular" w:hAnsi="Noe Text Regular"/>
        </w:rPr>
        <w:t xml:space="preserve">6.2 APIM Reference Architecture</w:t>
      </w:r>
    </w:p>
    <w:p>
      <w:pPr>
        <w:spacing w:after="140"/>
      </w:pPr>
      <w:r>
        <w:rPr>
          <w:rFonts w:ascii="Noe Text" w:cs="Noe Text" w:eastAsia="Noe Text" w:hAnsi="Noe Text"/>
          <w:b w:val="false"/>
          <w:bCs w:val="false"/>
          <w:i w:val="false"/>
          <w:iCs w:val="false"/>
          <w:color w:val="333333"/>
          <w:sz w:val="21"/>
          <w:szCs w:val="21"/>
        </w:rPr>
        <w:t xml:space="preserve">The diagram below sits every consumer, security control, and backend into one governed flow: a client authenticates with Entra ID, passes through Front Door and WAF, reaches Azure API Management, and is forwarded to Logic Apps and the backend systems behind it. The layout follows the same layered pattern used in our proven reference architecture for this kind of platform, adapted here to Chaucer's own components, and lines up with Microsoft's Basic enterprise integration on Azure reference architecture.</w:t>
      </w:r>
    </w:p>
    <w:p>
      <w:pPr>
        <w:spacing w:after="120" w:before="8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743200"/>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2: High-level Azure APIM architecture for Chaucer</w:t>
      </w:r>
    </w:p>
    <w:p>
      <w:pPr>
        <w:spacing w:after="140"/>
      </w:pPr>
      <w:r>
        <w:rPr>
          <w:rFonts w:ascii="Noe Text" w:cs="Noe Text" w:eastAsia="Noe Text" w:hAnsi="Noe Text"/>
          <w:b/>
          <w:bCs/>
          <w:i w:val="false"/>
          <w:iCs w:val="false"/>
          <w:color w:val="333333"/>
          <w:sz w:val="21"/>
          <w:szCs w:val="21"/>
        </w:rPr>
        <w:t xml:space="preserve">This design is deliberately built on three architectures Microsoft publishes and maintains for exactly this scenario, rather than invented from scratch:</w:t>
      </w:r>
    </w:p>
    <w:p>
      <w:pPr>
        <w:pStyle w:val="ListParagraph"/>
        <w:numPr>
          <w:ilvl w:val="0"/>
          <w:numId w:val="2"/>
        </w:numPr>
        <w:spacing w:after="70"/>
      </w:pPr>
      <w:r>
        <w:rPr>
          <w:rFonts w:ascii="Noe Text" w:cs="Noe Text" w:eastAsia="Noe Text" w:hAnsi="Noe Text"/>
          <w:color w:val="333333"/>
          <w:sz w:val="21"/>
          <w:szCs w:val="21"/>
        </w:rPr>
        <w:t xml:space="preserve">Basic enterprise integration on Azure, Microsoft's reference pattern for APIM in front of Logic Apps, the closest published match to Chaucer's existing estate.</w:t>
      </w:r>
    </w:p>
    <w:p>
      <w:pPr>
        <w:pStyle w:val="ListParagraph"/>
        <w:numPr>
          <w:ilvl w:val="0"/>
          <w:numId w:val="2"/>
        </w:numPr>
        <w:spacing w:after="70"/>
      </w:pPr>
      <w:r>
        <w:rPr>
          <w:rFonts w:ascii="Noe Text" w:cs="Noe Text" w:eastAsia="Noe Text" w:hAnsi="Noe Text"/>
          <w:color w:val="333333"/>
          <w:sz w:val="21"/>
          <w:szCs w:val="21"/>
        </w:rPr>
        <w:t xml:space="preserve">Protect APIs with Application Gateway and API Management, Microsoft's reference pattern for a WAF-protected gateway splitting external and internal traffic.</w:t>
      </w:r>
    </w:p>
    <w:p>
      <w:pPr>
        <w:pStyle w:val="ListParagraph"/>
        <w:numPr>
          <w:ilvl w:val="0"/>
          <w:numId w:val="2"/>
        </w:numPr>
        <w:spacing w:after="70"/>
      </w:pPr>
      <w:r>
        <w:rPr>
          <w:rFonts w:ascii="Noe Text" w:cs="Noe Text" w:eastAsia="Noe Text" w:hAnsi="Noe Text"/>
          <w:color w:val="333333"/>
          <w:sz w:val="21"/>
          <w:szCs w:val="21"/>
        </w:rPr>
        <w:t xml:space="preserve">The Azure API Management landing zone accelerator, part of the Cloud Adoption Framework, covering enterprise-scale networking, governance, and identity.</w:t>
      </w:r>
    </w:p>
    <w:p>
      <w:pPr>
        <w:spacing w:after="140"/>
      </w:pPr>
      <w:r>
        <w:rPr>
          <w:rFonts w:ascii="Noe Text" w:cs="Noe Text" w:eastAsia="Noe Text" w:hAnsi="Noe Text"/>
          <w:b w:val="false"/>
          <w:bCs w:val="false"/>
          <w:i/>
          <w:iCs/>
          <w:color w:val="555555"/>
          <w:sz w:val="19"/>
          <w:szCs w:val="19"/>
        </w:rPr>
        <w:t xml:space="preserve">Full diagrams and workflow detail for these three architectures are maintained by Microsoft at learn.microsoft.com; they are referenced and adapted here, not reproduced.</w:t>
      </w:r>
    </w:p>
    <w:p>
      <w:pPr>
        <w:pStyle w:val="Heading2"/>
        <w:spacing w:after="100" w:before="200"/>
      </w:pPr>
      <w:r>
        <w:rPr>
          <w:rFonts w:ascii="Noe Text Regular" w:cs="Noe Text Regular" w:eastAsia="Noe Text Regular" w:hAnsi="Noe Text Regular"/>
        </w:rPr>
        <w:t xml:space="preserve">6.3 Environment and Deployment Strategy</w:t>
      </w:r>
    </w:p>
    <w:p>
      <w:pPr>
        <w:spacing w:after="140"/>
      </w:pPr>
      <w:r>
        <w:rPr>
          <w:rFonts w:ascii="Noe Text" w:cs="Noe Text" w:eastAsia="Noe Text" w:hAnsi="Noe Text"/>
          <w:b w:val="false"/>
          <w:bCs w:val="false"/>
          <w:i w:val="false"/>
          <w:iCs w:val="false"/>
          <w:color w:val="333333"/>
          <w:sz w:val="21"/>
          <w:szCs w:val="21"/>
        </w:rPr>
        <w:t xml:space="preserve">Chaucer needs three environments, Dev, UAT, and Production, and the same configuration moves through all three the same way every time, never edited by hand directly in production.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25"/>
        <w:gridCol w:w="2325"/>
        <w:gridCol w:w="2325"/>
        <w:gridCol w:w="2325"/>
      </w:tblGrid>
      <w:tr>
        <w:trPr>
          <w:tblHeader/>
        </w:trPr>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Environment</w:t>
            </w:r>
          </w:p>
        </w:tc>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Suggested tier</w:t>
            </w:r>
          </w:p>
        </w:tc>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SLA</w:t>
            </w:r>
          </w:p>
        </w:tc>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Purpose</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Dev</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Developer</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None (by design)</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Build and unit test, lowest cost</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UAT</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Standard v2</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99.95%</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Integration testing and business sign-off, production-like</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Production</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Classic Premium, two regions</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99.95%, or 99.99% across zones</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Live traffic, full resilience and workspaces</w:t>
            </w:r>
          </w:p>
        </w:tc>
      </w:tr>
    </w:tbl>
    <w:p>
      <w:pPr>
        <w:spacing w:after="140"/>
      </w:pPr>
      <w:r>
        <w:rPr>
          <w:rFonts w:ascii="Noe Text" w:cs="Noe Text" w:eastAsia="Noe Text" w:hAnsi="Noe Text"/>
          <w:b w:val="false"/>
          <w:bCs w:val="false"/>
          <w:i w:val="false"/>
          <w:iCs w:val="false"/>
          <w:color w:val="333333"/>
          <w:sz w:val="2"/>
          <w:szCs w:val="2"/>
        </w:rPr>
        <w:t xml:space="preserve"/>
      </w:r>
    </w:p>
    <w:p>
      <w:pPr>
        <w:spacing w:after="140"/>
      </w:pPr>
      <w:r>
        <w:rPr>
          <w:rFonts w:ascii="Noe Text" w:cs="Noe Text" w:eastAsia="Noe Text" w:hAnsi="Noe Text"/>
          <w:b w:val="false"/>
          <w:bCs w:val="false"/>
          <w:i w:val="false"/>
          <w:iCs w:val="false"/>
          <w:color w:val="333333"/>
          <w:sz w:val="21"/>
          <w:szCs w:val="21"/>
        </w:rPr>
        <w:t xml:space="preserve">The tier choice per environment is deliberate on the point of SLA. The Developer tier carries no SLA, which is why it is used only for Dev, where it does not matter: Dev is for building and unit testing, not for anything the business signs off against. UAT deliberately steps up to Standard v2, which does carry a 99.95% SLA, precisely so that pre-production sign-off happens on a supported, production-like tier rather than on an unsupported one. This keeps cost down where it is safe to (Dev) without compromising the environment the business actually validates against (UAT). If Chaucer's stakeholders require an even closer production match for UAT, for example zone redundancy, that is a straightforward and costed step up within Standard v2.</w:t>
      </w:r>
    </w:p>
    <w:p>
      <w:pPr>
        <w:spacing w:after="140"/>
      </w:pPr>
      <w:r>
        <w:rPr>
          <w:rFonts w:ascii="Noe Text" w:cs="Noe Text" w:eastAsia="Noe Text" w:hAnsi="Noe Text"/>
          <w:b w:val="false"/>
          <w:bCs w:val="false"/>
          <w:i w:val="false"/>
          <w:iCs w:val="false"/>
          <w:color w:val="333333"/>
          <w:sz w:val="21"/>
          <w:szCs w:val="21"/>
        </w:rPr>
        <w:t xml:space="preserve">Every change, a new API, a policy update, a new product, is written as a file, reviewed by a colleague, and deployed by a pipeline through APIOps. Nobody, including the platform team, changes production directly through the portal.</w:t>
      </w:r>
    </w:p>
    <w:p>
      <w:pPr>
        <w:spacing w:after="120" w:before="80"/>
        <w:jc w:val="center"/>
      </w:pPr>
      <w:r>
        <w:drawing>
          <wp:inline distT="0" distB="0" distL="0" distR="0">
            <wp:extent cx="548640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1085850"/>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3: APIM CI/CD model, APIOps</w:t>
      </w:r>
    </w:p>
    <w:p>
      <w:pPr>
        <w:pStyle w:val="Heading3"/>
        <w:spacing w:after="90" w:before="160"/>
      </w:pPr>
      <w:r>
        <w:rPr>
          <w:rFonts w:ascii="Noe Text Regular" w:cs="Noe Text Regular" w:eastAsia="Noe Text Regular" w:hAnsi="Noe Text Regular"/>
        </w:rPr>
        <w:t xml:space="preserve">APIOps tooling and pipeline (to confirm with Chaucer Platform)</w:t>
      </w:r>
    </w:p>
    <w:p>
      <w:pPr>
        <w:spacing w:after="140"/>
      </w:pPr>
      <w:r>
        <w:rPr>
          <w:rFonts w:ascii="Noe Text" w:cs="Noe Text" w:eastAsia="Noe Text" w:hAnsi="Noe Text"/>
          <w:b w:val="false"/>
          <w:bCs w:val="false"/>
          <w:i w:val="false"/>
          <w:iCs w:val="false"/>
          <w:color w:val="333333"/>
          <w:sz w:val="21"/>
          <w:szCs w:val="21"/>
        </w:rPr>
        <w:t xml:space="preserve">This design assumes an APIOps model but does not yet commit to specific tooling; that choice belongs to Chaucer’s platform engineering standard rather than to this HLD, and should be confirmed and recorded as an architecture decision before build starts. The proposed default, consistent with a Microsoft-native Azure landing zone, is:</w:t>
      </w:r>
    </w:p>
    <w:p>
      <w:pPr>
        <w:pStyle w:val="ListParagraph"/>
        <w:numPr>
          <w:ilvl w:val="0"/>
          <w:numId w:val="2"/>
        </w:numPr>
        <w:spacing w:after="70"/>
      </w:pPr>
      <w:r>
        <w:rPr>
          <w:rFonts w:ascii="Noe Text" w:cs="Noe Text" w:eastAsia="Noe Text" w:hAnsi="Noe Text"/>
          <w:color w:val="333333"/>
          <w:sz w:val="21"/>
          <w:szCs w:val="21"/>
        </w:rPr>
        <w:t xml:space="preserve">Infrastructure as code: Bicep for the APIM instance, networking, Key Vault and Front Door resources, so the same templates promote unchanged through Dev, UAT and Production with only parameter files differing per environment.</w:t>
      </w:r>
    </w:p>
    <w:p>
      <w:pPr>
        <w:pStyle w:val="ListParagraph"/>
        <w:numPr>
          <w:ilvl w:val="0"/>
          <w:numId w:val="2"/>
        </w:numPr>
        <w:spacing w:after="70"/>
      </w:pPr>
      <w:r>
        <w:rPr>
          <w:rFonts w:ascii="Noe Text" w:cs="Noe Text" w:eastAsia="Noe Text" w:hAnsi="Noe Text"/>
          <w:color w:val="333333"/>
          <w:sz w:val="21"/>
          <w:szCs w:val="21"/>
        </w:rPr>
        <w:t xml:space="preserve">Configuration as code: the Azure API Management DevOps Resource Kit (APIOps) extractor/publisher tooling, or an equivalent, to represent APIs, products, policies and named values as files in Git rather than portal state.</w:t>
      </w:r>
    </w:p>
    <w:p>
      <w:pPr>
        <w:pStyle w:val="ListParagraph"/>
        <w:numPr>
          <w:ilvl w:val="0"/>
          <w:numId w:val="2"/>
        </w:numPr>
        <w:spacing w:after="70"/>
      </w:pPr>
      <w:r>
        <w:rPr>
          <w:rFonts w:ascii="Noe Text" w:cs="Noe Text" w:eastAsia="Noe Text" w:hAnsi="Noe Text"/>
          <w:color w:val="333333"/>
          <w:sz w:val="21"/>
          <w:szCs w:val="21"/>
        </w:rPr>
        <w:t xml:space="preserve">Source control and pipeline: a Git repository per the pattern already used elsewhere in Chaucer’s Azure estate (Azure Repos or GitHub, run through Azure DevOps Pipelines or GitHub Actions), with mandatory pull-request review before merge to the branch that triggers Production deployment.</w:t>
      </w:r>
    </w:p>
    <w:p>
      <w:pPr>
        <w:pStyle w:val="ListParagraph"/>
        <w:numPr>
          <w:ilvl w:val="0"/>
          <w:numId w:val="2"/>
        </w:numPr>
        <w:spacing w:after="70"/>
      </w:pPr>
      <w:r>
        <w:rPr>
          <w:rFonts w:ascii="Noe Text" w:cs="Noe Text" w:eastAsia="Noe Text" w:hAnsi="Noe Text"/>
          <w:color w:val="333333"/>
          <w:sz w:val="21"/>
          <w:szCs w:val="21"/>
        </w:rPr>
        <w:t xml:space="preserve">Environment promotion: Dev builds on every merge to the integration branch; UAT and Production promote the same reviewed artefact through a manual approval gate, never a fresh build per environment, so what was tested is what ships.</w:t>
      </w:r>
    </w:p>
    <w:p>
      <w:pPr>
        <w:spacing w:after="140"/>
      </w:pPr>
      <w:r>
        <w:rPr>
          <w:rFonts w:ascii="Noe Text" w:cs="Noe Text" w:eastAsia="Noe Text" w:hAnsi="Noe Text"/>
          <w:b w:val="false"/>
          <w:bCs w:val="false"/>
          <w:i/>
          <w:iCs/>
          <w:color w:val="333333"/>
          <w:sz w:val="21"/>
          <w:szCs w:val="21"/>
        </w:rPr>
        <w:t xml:space="preserve">Whichever toolchain Chaucer selects, the non-negotiable outcome is the one stated in the paragraph above: no environment, including Production, is ever hand-configured through the portal outside an emergency break-glass procedure (section 6.6), and every change is traceable to a reviewed commit.</w:t>
      </w:r>
    </w:p>
    <w:p>
      <w:pPr>
        <w:pStyle w:val="Heading3"/>
        <w:spacing w:after="90" w:before="160"/>
      </w:pPr>
      <w:r>
        <w:rPr>
          <w:rFonts w:ascii="Noe Text Regular" w:cs="Noe Text Regular" w:eastAsia="Noe Text Regular" w:hAnsi="Noe Text Regular"/>
        </w:rPr>
        <w:t xml:space="preserve">APIOps implementation: repositories, pipelines and promotion</w:t>
      </w:r>
    </w:p>
    <w:p>
      <w:pPr>
        <w:spacing w:after="140"/>
      </w:pPr>
      <w:r>
        <w:rPr>
          <w:rFonts w:ascii="Noe Text" w:cs="Noe Text" w:eastAsia="Noe Text" w:hAnsi="Noe Text"/>
          <w:b w:val="false"/>
          <w:bCs w:val="false"/>
          <w:i w:val="false"/>
          <w:iCs w:val="false"/>
          <w:color w:val="333333"/>
          <w:sz w:val="21"/>
          <w:szCs w:val="21"/>
        </w:rPr>
        <w:t xml:space="preserve">The principle above (everything as code, nothing hand-configured in Production) becomes concrete through a well-known pattern: the APIOps model of an extractor and a publisher working against a Git repository that is the single source of truth. The mechanics below are the proposed implementation; the specific toolkit is Chaucer’s to confirm, but the shape is standard and low-risk.</w:t>
      </w:r>
    </w:p>
    <w:p>
      <w:pPr>
        <w:spacing w:after="140"/>
      </w:pPr>
      <w:r>
        <w:rPr>
          <w:rFonts w:ascii="Noe Text" w:cs="Noe Text" w:eastAsia="Noe Text" w:hAnsi="Noe Text"/>
          <w:b w:val="false"/>
          <w:bCs w:val="false"/>
          <w:i w:val="false"/>
          <w:iCs w:val="false"/>
          <w:color w:val="333333"/>
          <w:sz w:val="21"/>
          <w:szCs w:val="21"/>
        </w:rPr>
        <w:t xml:space="preserve">Two pipelines. The extractor pipeline reads a live APIM instance (Dev) over the Azure REST API and writes its APIs, policies, products, subscriptions, named values, backends, tags, loggers and diagnostics into the repository as structured YAML and XML files, raising a pull request with the changes. The publisher pipeline does the reverse: on merge, it applies the repository’s files to the target instances, promoting the same reviewed artefacts through Dev, then UAT, then Production. The portal reflects what is in Git, never the other way around.</w:t>
      </w:r>
    </w:p>
    <w:p>
      <w:pPr>
        <w:spacing w:after="140"/>
      </w:pPr>
      <w:r>
        <w:rPr>
          <w:rFonts w:ascii="Noe Text" w:cs="Noe Text" w:eastAsia="Noe Text" w:hAnsi="Noe Text"/>
          <w:b w:val="false"/>
          <w:bCs w:val="false"/>
          <w:i w:val="false"/>
          <w:iCs w:val="false"/>
          <w:color w:val="333333"/>
          <w:sz w:val="21"/>
          <w:szCs w:val="21"/>
        </w:rPr>
        <w:t xml:space="preserve">The change workflow. A change is authored in Dev (in the portal or as code) and the extractor run raises a PR; the PR is reviewed — with automated checks such as “HTTPS only” and required-policy enforcement running in the pipeline — and on approval is merged. The merge triggers the publisher, which deploys to Dev and then promotes to UAT and Production, each behind a manual approval gate so nothing reaches Production without an explicit sign-off. The same artefact is promoted unchanged; only environment-specific values differ.</w:t>
      </w:r>
    </w:p>
    <w:p>
      <w:pPr>
        <w:spacing w:after="140"/>
      </w:pPr>
      <w:r>
        <w:rPr>
          <w:rFonts w:ascii="Noe Text" w:cs="Noe Text" w:eastAsia="Noe Text" w:hAnsi="Noe Text"/>
          <w:b w:val="false"/>
          <w:bCs w:val="false"/>
          <w:i w:val="false"/>
          <w:iCs w:val="false"/>
          <w:color w:val="333333"/>
          <w:sz w:val="21"/>
          <w:szCs w:val="21"/>
        </w:rPr>
        <w:t xml:space="preserve">Environment-specific configuration. Values that legitimately differ between environments — backend base URLs, timeouts, some named values — are handled by per-environment override files (a configuration.{env}.yaml pattern with token replacement), so the API, policy and product definitions promote byte-for-byte and only the parameters change. No environment is edited by hand to make it different.</w:t>
      </w:r>
    </w:p>
    <w:p>
      <w:pPr>
        <w:spacing w:after="140"/>
      </w:pPr>
      <w:r>
        <w:rPr>
          <w:rFonts w:ascii="Noe Text" w:cs="Noe Text" w:eastAsia="Noe Text" w:hAnsi="Noe Text"/>
          <w:b w:val="false"/>
          <w:bCs w:val="false"/>
          <w:i w:val="false"/>
          <w:iCs w:val="false"/>
          <w:color w:val="333333"/>
          <w:sz w:val="21"/>
          <w:szCs w:val="21"/>
        </w:rPr>
        <w:t xml:space="preserve">Secrets and least privilege. Secrets are never committed to Git: they are Key Vault-backed named values referenced by name, or protected pipeline variables. Pipeline identities follow least privilege — the extractor identity has read access to Dev only, and each publisher stage has scoped write access limited to the single environment it deploys to — so the pipeline, not any individual, is the only path that writes to Production. Direct write access to Production APIM is reserved for the break-glass group (section 6.6).</w:t>
      </w:r>
    </w:p>
    <w:p>
      <w:pPr>
        <w:spacing w:after="140"/>
      </w:pPr>
      <w:r>
        <w:rPr>
          <w:rFonts w:ascii="Noe Text" w:cs="Noe Text" w:eastAsia="Noe Text" w:hAnsi="Noe Text"/>
          <w:b w:val="false"/>
          <w:bCs w:val="false"/>
          <w:i w:val="false"/>
          <w:iCs w:val="false"/>
          <w:color w:val="333333"/>
          <w:sz w:val="21"/>
          <w:szCs w:val="21"/>
        </w:rPr>
        <w:t xml:space="preserve">Repository shape (illustrative). A single repository with an artefacts tree (apis/, products/, policies/, policy-fragments/, named-values/, backends/, tags/), the per-environment configuration.{env}.yaml overrides, and a pipelines/ folder holding the extractor and publisher definitions, with branch protection requiring pull-request review before merge to the branch that triggers Production promotion.</w:t>
      </w:r>
    </w:p>
    <w:p>
      <w:pPr>
        <w:spacing w:after="60"/>
      </w:pPr>
    </w:p>
    <w:p>
      <w:pPr>
        <w:spacing w:after="140"/>
      </w:pPr>
      <w:r>
        <w:rPr>
          <w:rFonts w:ascii="Noe Text" w:cs="Noe Text" w:eastAsia="Noe Text" w:hAnsi="Noe Text"/>
          <w:b w:val="false"/>
          <w:bCs w:val="false"/>
          <w:i w:val="false"/>
          <w:iCs w:val="false"/>
          <w:color w:val="333333"/>
          <w:sz w:val="21"/>
          <w:szCs w:val="21"/>
        </w:rPr>
        <w:t xml:space="preserve">Configuration is promoted the same way through every environment; no environment is treated as a special case.</w:t>
      </w:r>
    </w:p>
    <w:p>
      <w:pPr>
        <w:spacing w:after="120" w:before="80"/>
        <w:jc w:val="center"/>
      </w:pPr>
      <w:r>
        <w:drawing>
          <wp:inline distT="0" distB="0" distL="0" distR="0">
            <wp:extent cx="54864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571500"/>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4: Environment promotion strategy</w:t>
      </w:r>
    </w:p>
    <w:p>
      <w:pPr>
        <w:pStyle w:val="Heading2"/>
        <w:spacing w:after="100" w:before="200"/>
      </w:pPr>
      <w:r>
        <w:rPr>
          <w:rFonts w:ascii="Noe Text Regular" w:cs="Noe Text Regular" w:eastAsia="Noe Text Regular" w:hAnsi="Noe Text Regular"/>
        </w:rPr>
        <w:t xml:space="preserve">6.4 Network and Connectivity Design</w:t>
      </w:r>
    </w:p>
    <w:p>
      <w:pPr>
        <w:spacing w:after="140"/>
      </w:pPr>
      <w:r>
        <w:rPr>
          <w:rFonts w:ascii="Noe Text" w:cs="Noe Text" w:eastAsia="Noe Text" w:hAnsi="Noe Text"/>
          <w:b w:val="false"/>
          <w:bCs w:val="false"/>
          <w:i w:val="false"/>
          <w:iCs w:val="false"/>
          <w:color w:val="333333"/>
          <w:sz w:val="21"/>
          <w:szCs w:val="21"/>
        </w:rPr>
        <w:t xml:space="preserve">Two decisions shape the instance design more than anything else: what sits in front of APIM for internet-facing traffic, and how APIM itself sits in the network. We treat both as explicit, reasoned decisions rather than defaults.</w:t>
      </w:r>
    </w:p>
    <w:p>
      <w:pPr>
        <w:pStyle w:val="Heading3"/>
        <w:spacing w:after="90" w:before="160"/>
      </w:pPr>
      <w:r>
        <w:rPr>
          <w:rFonts w:ascii="Noe Text Regular" w:cs="Noe Text Regular" w:eastAsia="Noe Text Regular" w:hAnsi="Noe Text Regular"/>
        </w:rPr>
        <w:t xml:space="preserve">Decision 1: what sits in front of APIM</w:t>
      </w:r>
    </w:p>
    <w:p>
      <w:pPr>
        <w:spacing w:after="140"/>
      </w:pPr>
      <w:r>
        <w:rPr>
          <w:rFonts w:ascii="Noe Text" w:cs="Noe Text" w:eastAsia="Noe Text" w:hAnsi="Noe Text"/>
          <w:b w:val="false"/>
          <w:bCs w:val="false"/>
          <w:i w:val="false"/>
          <w:iCs w:val="false"/>
          <w:color w:val="333333"/>
          <w:sz w:val="21"/>
          <w:szCs w:val="21"/>
        </w:rPr>
        <w:t xml:space="preserve">Recommendation: Azure Front Door Premium with WAF for external and partner traffic, giving Chaucer one global hostname and automatic regional failover. Application Gateway v2 with WAF_v2 is the fallback if a future requirement forces traffic to stay inside a single UK region. No edge layer is needed at all for internal-only APIs.</w:t>
      </w:r>
    </w:p>
    <w:p>
      <w:pPr>
        <w:spacing w:after="140"/>
      </w:pPr>
      <w:r>
        <w:rPr>
          <w:rFonts w:ascii="Noe Text" w:cs="Noe Text" w:eastAsia="Noe Text" w:hAnsi="Noe Text"/>
          <w:b w:val="false"/>
          <w:bCs w:val="false"/>
          <w:i w:val="false"/>
          <w:iCs w:val="false"/>
          <w:color w:val="333333"/>
          <w:sz w:val="21"/>
          <w:szCs w:val="21"/>
        </w:rPr>
        <w:t xml:space="preserve">The decision tree below walks the choice of edge service from a single question — is this traffic internet-facing at all — down to a concrete recommendation, weighing the four factors that actually drive the decision for Chaucer: cost, security perimeter, high availability and disaster recovery. The matrix beneath it sets those same four factors side by side so the trade-off is explicit rather than implied.</w:t>
      </w:r>
    </w:p>
    <w:p xmlns:a="http://schemas.openxmlformats.org/drawingml/2006/main" xmlns:pic="http://schemas.openxmlformats.org/drawingml/2006/picture">
      <w:pPr>
        <w:spacing w:after="120" w:before="80"/>
        <w:jc w:val="center"/>
      </w:pPr>
      <w:r>
        <w:drawing>
          <wp:inline distT="0" distB="0" distL="0" distR="0">
            <wp:extent cx="4400000" cy="5208753"/>
            <wp:effectExtent t="0" r="0" b="0" l="0"/>
            <wp:docPr id="10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6" cstate="none"/>
                    <a:srcRect/>
                    <a:stretch>
                      <a:fillRect/>
                    </a:stretch>
                  </pic:blipFill>
                  <pic:spPr bwMode="auto">
                    <a:xfrm>
                      <a:off x="0" y="0"/>
                      <a:ext cx="4400000" cy="5208753"/>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5: Edge service decision tree — choosing Front Door, Application Gateway, or both, against cost, security, HA and DR</w:t>
      </w:r>
    </w:p>
    <w:p>
      <w:pPr>
        <w:spacing w:after="140"/>
      </w:pPr>
      <w:r>
        <w:rPr>
          <w:rFonts w:ascii="Noe Text" w:cs="Noe Text" w:eastAsia="Noe Text" w:hAnsi="Noe Text"/>
          <w:b w:val="false"/>
          <w:bCs w:val="false"/>
          <w:i w:val="false"/>
          <w:iCs w:val="false"/>
          <w:color w:val="333333"/>
          <w:sz w:val="21"/>
          <w:szCs w:val="21"/>
        </w:rPr>
        <w:t xml:space="preserve">The same four factors, compared directly across the three options: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700"/>
        <w:gridCol w:w="2600"/>
      </w:tblGrid>
      <w:tr>
        <w:trPr>
          <w:tblHeader/>
        </w:trPr>
        <w:tc>
          <w:tcPr>
            <w:tcW w:type="dxa" w:w="15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Factor</w:t>
            </w:r>
          </w:p>
        </w:tc>
        <w:tc>
          <w:tcPr>
            <w:tcW w:type="dxa" w:w="25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Option A: App Gateway + WAF</w:t>
            </w:r>
          </w:p>
        </w:tc>
        <w:tc>
          <w:tcPr>
            <w:tcW w:type="dxa" w:w="27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Option B: Front Door + WAF (recommended)</w:t>
            </w:r>
          </w:p>
        </w:tc>
        <w:tc>
          <w:tcPr>
            <w:tcW w:type="dxa" w:w="26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Option C: Front Door + App Gateway</w:t>
            </w:r>
          </w:p>
        </w:tc>
      </w:tr>
      <w:tr>
        <w:tc>
          <w:tcPr>
            <w:tcW w:type="dxa" w:w="1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Cost</w:t>
            </w:r>
          </w:p>
        </w:tc>
        <w:tc>
          <w:tcPr>
            <w:tcW w:type="dxa" w:w="2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Lowest: one regional gateway, WAF billed with App Gateway</w:t>
            </w:r>
          </w:p>
        </w:tc>
        <w:tc>
          <w:tcPr>
            <w:tcW w:type="dxa" w:w="2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Low–medium: WAF bundled in Front Door Premium; no separate WAF bill; avoids region egress</w:t>
            </w:r>
          </w:p>
        </w:tc>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Highest: two WAF-bearing services and two rule-sets to run</w:t>
            </w:r>
          </w:p>
        </w:tc>
      </w:tr>
      <w:tr>
        <w:tc>
          <w:tcPr>
            <w:tcW w:type="dxa" w:w="1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Security perimeter</w:t>
            </w:r>
          </w:p>
        </w:tc>
        <w:tc>
          <w:tcPr>
            <w:tcW w:type="dxa" w:w="2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Regional WAF inside the VNet; strong zero-trust in one region</w:t>
            </w:r>
          </w:p>
        </w:tc>
        <w:tc>
          <w:tcPr>
            <w:tcW w:type="dxa" w:w="2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Global edge WAF + DDoS + bot management absorbed before it reaches a region</w:t>
            </w:r>
          </w:p>
        </w:tc>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Deepest: inspected twice, at the edge and again regionally</w:t>
            </w:r>
          </w:p>
        </w:tc>
      </w:tr>
      <w:tr>
        <w:tc>
          <w:tcPr>
            <w:tcW w:type="dxa" w:w="1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High availability</w:t>
            </w:r>
          </w:p>
        </w:tc>
        <w:tc>
          <w:tcPr>
            <w:tcW w:type="dxa" w:w="2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Zone-redundant within one region (autoscale across zones)</w:t>
            </w:r>
          </w:p>
        </w:tc>
        <w:tc>
          <w:tcPr>
            <w:tcW w:type="dxa" w:w="2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Global anycast; health-probes origins and routes only to healthy ones</w:t>
            </w:r>
          </w:p>
        </w:tc>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Edge resilience + regional zone redundancy combined</w:t>
            </w:r>
          </w:p>
        </w:tc>
      </w:tr>
      <w:tr>
        <w:tc>
          <w:tcPr>
            <w:tcW w:type="dxa" w:w="1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Disaster recovery</w:t>
            </w:r>
          </w:p>
        </w:tc>
        <w:tc>
          <w:tcPr>
            <w:tcW w:type="dxa" w:w="2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Single-region only; needs a global layer added to fail over</w:t>
            </w:r>
          </w:p>
        </w:tc>
        <w:tc>
          <w:tcPr>
            <w:tcW w:type="dxa" w:w="2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Built-in multi-region failover — UK South→UK West automatically</w:t>
            </w:r>
          </w:p>
        </w:tc>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Front Door cross-region failover plus per-region draining</w:t>
            </w:r>
          </w:p>
        </w:tc>
      </w:tr>
      <w:tr>
        <w:tc>
          <w:tcPr>
            <w:tcW w:type="dxa" w:w="1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Best fit for Chaucer</w:t>
            </w:r>
          </w:p>
        </w:tc>
        <w:tc>
          <w:tcPr>
            <w:tcW w:type="dxa" w:w="2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Only if all traffic must stay in one UK region</w:t>
            </w:r>
          </w:p>
        </w:tc>
        <w:tc>
          <w:tcPr>
            <w:tcW w:type="dxa" w:w="2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RECOMMENDED — HTTPS API traffic needing edge security + multi-region DR</w:t>
            </w:r>
          </w:p>
        </w:tc>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Held in reserve for a hard double-WAF or complex-routing requirement</w:t>
            </w:r>
          </w:p>
        </w:tc>
      </w:tr>
    </w:tbl>
    <w:p>
      <w:pPr>
        <w:spacing w:after="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Option</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Approximate monthly cost</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When it earns its cost</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Front Door Premium + WAF</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Roughly £250 to £400 base, plus usage</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Global reach, multi-region failover, one hostname for all partners</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Application Gateway v2 + WAF_v2</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Roughly £220 to £300 per region, plus data processing</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Single-region deployments, direct control over WAF rule tuning</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 edge layer</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 additional cost</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Internal-only APIs with no internet exposure</w:t>
            </w:r>
          </w:p>
        </w:tc>
      </w:tr>
    </w:tbl>
    <w:p>
      <w:pPr>
        <w:spacing w:after="140"/>
      </w:pPr>
      <w:r>
        <w:rPr>
          <w:rFonts w:ascii="Noe Text" w:cs="Noe Text" w:eastAsia="Noe Text" w:hAnsi="Noe Text"/>
          <w:b w:val="false"/>
          <w:bCs w:val="false"/>
          <w:i w:val="false"/>
          <w:iCs w:val="false"/>
          <w:color w:val="333333"/>
          <w:sz w:val="2"/>
          <w:szCs w:val="2"/>
        </w:rPr>
        <w:t xml:space="preserve"/>
      </w:r>
    </w:p>
    <w:p>
      <w:pPr>
        <w:pStyle w:val="Heading3"/>
        <w:spacing w:after="90" w:before="160"/>
      </w:pPr>
      <w:r>
        <w:rPr>
          <w:rFonts w:ascii="Noe Text Regular" w:cs="Noe Text Regular" w:eastAsia="Noe Text Regular" w:hAnsi="Noe Text Regular"/>
        </w:rPr>
        <w:t xml:space="preserve">Ingress topology options in depth</w:t>
      </w:r>
    </w:p>
    <w:p>
      <w:pPr>
        <w:spacing w:after="140"/>
      </w:pPr>
      <w:r>
        <w:rPr>
          <w:rFonts w:ascii="Noe Text" w:cs="Noe Text" w:eastAsia="Noe Text" w:hAnsi="Noe Text"/>
          <w:b w:val="false"/>
          <w:bCs w:val="false"/>
          <w:i w:val="false"/>
          <w:iCs w:val="false"/>
          <w:color w:val="333333"/>
          <w:sz w:val="21"/>
          <w:szCs w:val="21"/>
        </w:rPr>
        <w:t xml:space="preserve">The edge decision above chooses what sits in front of APIM at a high level. Because it is the decision that most shapes Chaucer's security posture, cost and resilience, this section works through the three concrete ingress patterns in detail. All three share one deliberate choice: APIM itself runs in internal (VNet) mode, so the gateway is never directly exposed to the internet, and something in front of it terminates and inspects public traffic. What differs is what that something is, and where the web application firewall sits.</w:t>
      </w:r>
    </w:p>
    <w:p>
      <w:pPr>
        <w:spacing w:after="120" w:before="80"/>
        <w:jc w:val="center"/>
      </w:pPr>
      <w:r>
        <w:drawing>
          <wp:inline distT="0" distB="0" distL="0" distR="0">
            <wp:extent cx="54864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114675"/>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6: Three ingress options for APIM, all with APIM in internal mode</w:t>
      </w:r>
    </w:p>
    <w:p>
      <w:pPr>
        <w:spacing w:after="140"/>
      </w:pPr>
      <w:r>
        <w:rPr>
          <w:rFonts w:ascii="Noe Text" w:cs="Noe Text" w:eastAsia="Noe Text" w:hAnsi="Noe Text"/>
          <w:b/>
          <w:bCs/>
          <w:i w:val="false"/>
          <w:iCs w:val="false"/>
          <w:color w:val="333333"/>
          <w:sz w:val="21"/>
          <w:szCs w:val="21"/>
        </w:rPr>
        <w:t xml:space="preserve">Option A: Application Gateway with WAF, to APIM in internal mode</w:t>
      </w:r>
    </w:p>
    <w:p>
      <w:pPr>
        <w:spacing w:after="140"/>
      </w:pPr>
      <w:r>
        <w:rPr>
          <w:rFonts w:ascii="Noe Text" w:cs="Noe Text" w:eastAsia="Noe Text" w:hAnsi="Noe Text"/>
          <w:b w:val="false"/>
          <w:bCs w:val="false"/>
          <w:i w:val="false"/>
          <w:iCs w:val="false"/>
          <w:color w:val="333333"/>
          <w:sz w:val="21"/>
          <w:szCs w:val="21"/>
        </w:rPr>
        <w:t xml:space="preserve">Public clients reach an Azure Application Gateway v2 that holds the web application firewall and lives in its own dedicated subnet inside Chaucer's VNet. The gateway terminates TLS, inspects the request against the WAF ruleset, and forwards clean traffic to APIM over a Private Endpoint. APIM runs in internal mode, so it has no public IP at all; only Application Gateway can reach it, and only the intended backends sit behind it.</w:t>
      </w:r>
    </w:p>
    <w:p>
      <w:pPr>
        <w:spacing w:after="140"/>
      </w:pPr>
      <w:r>
        <w:rPr>
          <w:rFonts w:ascii="Noe Text" w:cs="Noe Text" w:eastAsia="Noe Text" w:hAnsi="Noe Text"/>
          <w:b w:val="false"/>
          <w:bCs w:val="false"/>
          <w:i w:val="false"/>
          <w:iCs w:val="false"/>
          <w:color w:val="333333"/>
          <w:sz w:val="21"/>
          <w:szCs w:val="21"/>
        </w:rPr>
        <w:t xml:space="preserve">Security: this is a strong zero-trust regional pattern. The WAF runs the OWASP rulesets and custom rules, APIM is completely private, and unmatched paths can be routed to a dead-end sinkpool so probing traffic never reaches a real endpoint. Application Gateway can also integrate with Azure DDoS Protection Standard on the VNet for network-layer protection. Because the gateway sits inside the VNet, it also gives Chaucer fine-grained, region-local control over routing rules and rewrites.</w:t>
      </w:r>
    </w:p>
    <w:p>
      <w:pPr>
        <w:spacing w:after="140"/>
      </w:pPr>
      <w:r>
        <w:rPr>
          <w:rFonts w:ascii="Noe Text" w:cs="Noe Text" w:eastAsia="Noe Text" w:hAnsi="Noe Text"/>
          <w:b w:val="false"/>
          <w:bCs w:val="false"/>
          <w:i w:val="false"/>
          <w:iCs w:val="false"/>
          <w:color w:val="333333"/>
          <w:sz w:val="21"/>
          <w:szCs w:val="21"/>
        </w:rPr>
        <w:t xml:space="preserve">High availability: Application Gateway v2 is zone-redundant within a region when deployed across Availability Zones, and autoscales with load. Paired with a zone-redundant APIM and zone-redundant backends, the whole regional path survives the loss of a single datacentre with no manual action.</w:t>
      </w:r>
    </w:p>
    <w:p>
      <w:pPr>
        <w:spacing w:after="140"/>
      </w:pPr>
      <w:r>
        <w:rPr>
          <w:rFonts w:ascii="Noe Text" w:cs="Noe Text" w:eastAsia="Noe Text" w:hAnsi="Noe Text"/>
          <w:b w:val="false"/>
          <w:bCs w:val="false"/>
          <w:i w:val="false"/>
          <w:iCs w:val="false"/>
          <w:color w:val="333333"/>
          <w:sz w:val="21"/>
          <w:szCs w:val="21"/>
        </w:rPr>
        <w:t xml:space="preserve">Disaster recovery: this is the pattern's main limitation. Application Gateway is a regional service and cannot load-balance across regions on its own. To achieve multi-region DR with this option, Chaucer would need an Application Gateway in each region with Azure Traffic Manager or Front Door in front to steer between them, which reintroduces the very global-routing layer this option was chosen to avoid. On its own, Option A is a single-region pattern with zone-level HA but no native regional failover.</w:t>
      </w:r>
    </w:p>
    <w:p>
      <w:pPr>
        <w:spacing w:after="140"/>
      </w:pPr>
      <w:r>
        <w:rPr>
          <w:rFonts w:ascii="Noe Text" w:cs="Noe Text" w:eastAsia="Noe Text" w:hAnsi="Noe Text"/>
          <w:b/>
          <w:bCs/>
          <w:i w:val="false"/>
          <w:iCs w:val="false"/>
          <w:color w:val="333333"/>
          <w:sz w:val="21"/>
          <w:szCs w:val="21"/>
        </w:rPr>
        <w:t xml:space="preserve">Option B: Azure Front Door with WAF, to APIM in internal mode</w:t>
      </w:r>
    </w:p>
    <w:p>
      <w:pPr>
        <w:spacing w:after="140"/>
      </w:pPr>
      <w:r>
        <w:rPr>
          <w:rFonts w:ascii="Noe Text" w:cs="Noe Text" w:eastAsia="Noe Text" w:hAnsi="Noe Text"/>
          <w:b w:val="false"/>
          <w:bCs w:val="false"/>
          <w:i w:val="false"/>
          <w:iCs w:val="false"/>
          <w:color w:val="333333"/>
          <w:sz w:val="21"/>
          <w:szCs w:val="21"/>
        </w:rPr>
        <w:t xml:space="preserve">Public clients reach Azure Front Door Premium, a global edge service, which holds the WAF and terminates TLS at the Microsoft edge closest to the caller. Front Door forwards inspected traffic to APIM as a Private Link origin, so again APIM runs in internal mode with no public exposure. This is the pattern this HLD recommends for Chaucer's external and partner traffic.</w:t>
      </w:r>
    </w:p>
    <w:p>
      <w:pPr>
        <w:spacing w:after="140"/>
      </w:pPr>
      <w:r>
        <w:rPr>
          <w:rFonts w:ascii="Noe Text" w:cs="Noe Text" w:eastAsia="Noe Text" w:hAnsi="Noe Text"/>
          <w:b w:val="false"/>
          <w:bCs w:val="false"/>
          <w:i w:val="false"/>
          <w:iCs w:val="false"/>
          <w:color w:val="333333"/>
          <w:sz w:val="21"/>
          <w:szCs w:val="21"/>
        </w:rPr>
        <w:t xml:space="preserve">Security: the WAF and DDoS protection run at the global edge, so malicious and volumetric traffic is absorbed before it ever consumes capacity in a Chaucer region. Front Door Premium's WAF adds bot-management rulesets built on Microsoft threat intelligence, challenging or blocking known-bad bots at the edge. Private Link origin support keeps APIM private while still benefiting from edge inspection. The one thing to design carefully is origin lock-down, so that APIM only accepts traffic from Chaucer's Front Door instance and cannot be reached by bypassing the edge.</w:t>
      </w:r>
    </w:p>
    <w:p>
      <w:pPr>
        <w:spacing w:after="140"/>
      </w:pPr>
      <w:r>
        <w:rPr>
          <w:rFonts w:ascii="Noe Text" w:cs="Noe Text" w:eastAsia="Noe Text" w:hAnsi="Noe Text"/>
          <w:b w:val="false"/>
          <w:bCs w:val="false"/>
          <w:i w:val="false"/>
          <w:iCs w:val="false"/>
          <w:color w:val="333333"/>
          <w:sz w:val="21"/>
          <w:szCs w:val="21"/>
        </w:rPr>
        <w:t xml:space="preserve">High availability: Front Door is a global anycast service that is inherently resilient to the failure of an entire region; it health-probes every origin and routes only to healthy ones. Combined with a zone-redundant APIM, the ingress path has both edge resilience and in-region zone resilience.</w:t>
      </w:r>
    </w:p>
    <w:p>
      <w:pPr>
        <w:spacing w:after="140"/>
      </w:pPr>
      <w:r>
        <w:rPr>
          <w:rFonts w:ascii="Noe Text" w:cs="Noe Text" w:eastAsia="Noe Text" w:hAnsi="Noe Text"/>
          <w:b w:val="false"/>
          <w:bCs w:val="false"/>
          <w:i w:val="false"/>
          <w:iCs w:val="false"/>
          <w:color w:val="333333"/>
          <w:sz w:val="21"/>
          <w:szCs w:val="21"/>
        </w:rPr>
        <w:t xml:space="preserve">Disaster recovery: this is where Option B is strongest. Because Front Door already fronts multiple regional origins and fails over between them automatically, multi-region DR is built in rather than bolted on. A UK South outage moves traffic to UK West with no manual failover and close to zero downtime, which is exactly what the active-active design in section 6.11 relies on. It also gives Chaucer a single global hostname for every partner, and avoids the region-to-internet egress charges that a regional gateway incurs.</w:t>
      </w:r>
    </w:p>
    <w:p>
      <w:pPr>
        <w:spacing w:after="140"/>
      </w:pPr>
      <w:r>
        <w:rPr>
          <w:rFonts w:ascii="Noe Text" w:cs="Noe Text" w:eastAsia="Noe Text" w:hAnsi="Noe Text"/>
          <w:b/>
          <w:bCs/>
          <w:i w:val="false"/>
          <w:iCs w:val="false"/>
          <w:color w:val="333333"/>
          <w:sz w:val="21"/>
          <w:szCs w:val="21"/>
        </w:rPr>
        <w:t xml:space="preserve">Option C: Azure Front Door plus Application Gateway, to APIM in internal mode</w:t>
      </w:r>
    </w:p>
    <w:p>
      <w:pPr>
        <w:spacing w:after="140"/>
      </w:pPr>
      <w:r>
        <w:rPr>
          <w:rFonts w:ascii="Noe Text" w:cs="Noe Text" w:eastAsia="Noe Text" w:hAnsi="Noe Text"/>
          <w:b w:val="false"/>
          <w:bCs w:val="false"/>
          <w:i w:val="false"/>
          <w:iCs w:val="false"/>
          <w:color w:val="333333"/>
          <w:sz w:val="21"/>
          <w:szCs w:val="21"/>
        </w:rPr>
        <w:t xml:space="preserve">The two are layered: Front Door provides the global edge, first-line WAF and regional failover, then hands traffic to a regional Application Gateway that provides a second WAF and sophisticated per-region routing before reaching APIM in internal mode. This is a recognised Microsoft pattern for large, complex estates, not an either-or.</w:t>
      </w:r>
    </w:p>
    <w:p>
      <w:pPr>
        <w:spacing w:after="140"/>
      </w:pPr>
      <w:r>
        <w:rPr>
          <w:rFonts w:ascii="Noe Text" w:cs="Noe Text" w:eastAsia="Noe Text" w:hAnsi="Noe Text"/>
          <w:b w:val="false"/>
          <w:bCs w:val="false"/>
          <w:i w:val="false"/>
          <w:iCs w:val="false"/>
          <w:color w:val="333333"/>
          <w:sz w:val="21"/>
          <w:szCs w:val="21"/>
        </w:rPr>
        <w:t xml:space="preserve">Security: this is the deepest defence-in-depth of the three. A request is inspected twice, once at the global edge and again regionally, so traffic that slips a global rule can still be caught locally, and internal traffic that never touches Front Door is still protected by the regional WAF. For an insurer handling sensitive claims and market data, double inspection is a genuine, if expensive, benefit.</w:t>
      </w:r>
    </w:p>
    <w:p>
      <w:pPr>
        <w:spacing w:after="140"/>
      </w:pPr>
      <w:r>
        <w:rPr>
          <w:rFonts w:ascii="Noe Text" w:cs="Noe Text" w:eastAsia="Noe Text" w:hAnsi="Noe Text"/>
          <w:b w:val="false"/>
          <w:bCs w:val="false"/>
          <w:i w:val="false"/>
          <w:iCs w:val="false"/>
          <w:color w:val="333333"/>
          <w:sz w:val="21"/>
          <w:szCs w:val="21"/>
        </w:rPr>
        <w:t xml:space="preserve">High availability and disaster recovery: Chaucer gets Front Door's cross-region failover and edge resilience together with Application Gateway's zone redundancy and connection draining within each region. The regional layer must itself be made zone-redundant in each region for the pattern to deliver on its promise.</w:t>
      </w:r>
    </w:p>
    <w:p>
      <w:pPr>
        <w:spacing w:after="140"/>
      </w:pPr>
      <w:r>
        <w:rPr>
          <w:rFonts w:ascii="Noe Text" w:cs="Noe Text" w:eastAsia="Noe Text" w:hAnsi="Noe Text"/>
          <w:b w:val="false"/>
          <w:bCs w:val="false"/>
          <w:i w:val="false"/>
          <w:iCs w:val="false"/>
          <w:color w:val="333333"/>
          <w:sz w:val="21"/>
          <w:szCs w:val="21"/>
        </w:rPr>
        <w:t xml:space="preserve">The honest trade-off: Option C is the most capable and the most costly and complex. It runs two WAF-bearing services instead of one, with the operational overhead of maintaining rulesets in both. Microsoft's own guidance is to be sure you genuinely need both layers before committing, and to reserve the regional gateway for cases with real per-region routing complexity or a specific requirement the edge WAF cannot yet meet.</w:t>
      </w:r>
    </w:p>
    <w:p>
      <w:pPr>
        <w:spacing w:after="140"/>
      </w:pPr>
      <w:r>
        <w:rPr>
          <w:rFonts w:ascii="Noe Text" w:cs="Noe Text" w:eastAsia="Noe Text" w:hAnsi="Noe Text"/>
          <w:b/>
          <w:bCs/>
          <w:i w:val="false"/>
          <w:iCs w:val="false"/>
          <w:color w:val="333333"/>
          <w:sz w:val="21"/>
          <w:szCs w:val="21"/>
        </w:rPr>
        <w:t xml:space="preserve">Recommendation and comparison</w:t>
      </w:r>
    </w:p>
    <w:p>
      <w:pPr>
        <w:spacing w:after="140"/>
      </w:pPr>
      <w:r>
        <w:rPr>
          <w:rFonts w:ascii="Noe Text" w:cs="Noe Text" w:eastAsia="Noe Text" w:hAnsi="Noe Text"/>
          <w:b w:val="false"/>
          <w:bCs w:val="false"/>
          <w:i w:val="false"/>
          <w:iCs w:val="false"/>
          <w:color w:val="333333"/>
          <w:sz w:val="21"/>
          <w:szCs w:val="21"/>
        </w:rPr>
        <w:t xml:space="preserve">For Chaucer, Option B (Front Door plus WAF to an internal-mode APIM) is the recommended pattern for external and partner traffic, because all of that traffic is HTTPS API traffic, it benefits from edge security, and the design already depends on Front Door's automatic multi-region failover for DR. Option A remains the right choice if a future requirement forces all traffic to stay inside a single UK region, and Option C is held in reserve for the case where double-WAF defence in depth or complex regional routing becomes a hard requirement. Internal-only APIs need none of these: they reach the APIM internal gateway directly inside the VNet.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25"/>
        <w:gridCol w:w="2325"/>
        <w:gridCol w:w="2325"/>
        <w:gridCol w:w="2325"/>
      </w:tblGrid>
      <w:tr>
        <w:trPr>
          <w:tblHeader/>
        </w:trPr>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Aspect</w:t>
            </w:r>
          </w:p>
        </w:tc>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Option A: App Gateway</w:t>
            </w:r>
          </w:p>
        </w:tc>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Option B: Front Door</w:t>
            </w:r>
          </w:p>
        </w:tc>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Option C: Both</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WAF location</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Regional, in the VNet</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Global, at the edge</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Both edge and regional</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 exposure</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Internal (private)</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Internal (private)</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Internal (private)</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DDoS</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VNet DDoS Standard</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Built-in at the edge</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Both</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HA</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Zones within a region</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Global + zones</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Global + zones</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DR / multi-region</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Not native; needs TM/FD on top</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Built in, automatic failover</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Built in</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Global hostname</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Relative cost</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Lowest of the three</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Moderate</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Highest</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Best fit</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Single-region, zero-trust</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Chaucer's default</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Complex, high-assurance estates</w:t>
            </w:r>
          </w:p>
        </w:tc>
      </w:tr>
    </w:tbl>
    <w:p>
      <w:pPr>
        <w:spacing w:after="140"/>
      </w:pPr>
      <w:r>
        <w:rPr>
          <w:rFonts w:ascii="Noe Text" w:cs="Noe Text" w:eastAsia="Noe Text" w:hAnsi="Noe Text"/>
          <w:b w:val="false"/>
          <w:bCs w:val="false"/>
          <w:i w:val="false"/>
          <w:iCs w:val="false"/>
          <w:color w:val="333333"/>
          <w:sz w:val="2"/>
          <w:szCs w:val="2"/>
        </w:rPr>
        <w:t xml:space="preserve"/>
      </w:r>
    </w:p>
    <w:p>
      <w:pPr>
        <w:spacing w:after="140"/>
      </w:pPr>
      <w:r>
        <w:rPr>
          <w:rFonts w:ascii="Noe Text" w:cs="Noe Text" w:eastAsia="Noe Text" w:hAnsi="Noe Text"/>
          <w:b w:val="false"/>
          <w:bCs w:val="false"/>
          <w:i/>
          <w:iCs/>
          <w:color w:val="555555"/>
          <w:sz w:val="19"/>
          <w:szCs w:val="19"/>
        </w:rPr>
        <w:t xml:space="preserve">These recommendations sit on top of the network-mode decision that follows, which determines how APIM is placed in the VNet in the first place.</w:t>
      </w:r>
    </w:p>
    <w:p>
      <w:pPr>
        <w:pStyle w:val="Heading3"/>
        <w:spacing w:after="90" w:before="160"/>
      </w:pPr>
      <w:r>
        <w:rPr>
          <w:rFonts w:ascii="Noe Text Regular" w:cs="Noe Text Regular" w:eastAsia="Noe Text Regular" w:hAnsi="Noe Text Regular"/>
        </w:rPr>
        <w:t xml:space="preserve">Decision 2: how APIM sits in the network</w:t>
      </w:r>
    </w:p>
    <w:p>
      <w:pPr>
        <w:spacing w:after="120" w:before="80"/>
        <w:jc w:val="center"/>
      </w:pPr>
      <w:r>
        <w:drawing>
          <wp:inline distT="0" distB="0" distL="0" distR="0">
            <wp:extent cx="54864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1885950"/>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7: APIM network mode decision tree</w:t>
      </w:r>
    </w:p>
    <w:p>
      <w:pPr>
        <w:spacing w:after="140"/>
      </w:pPr>
      <w:r>
        <w:rPr>
          <w:rFonts w:ascii="Noe Text" w:cs="Noe Text" w:eastAsia="Noe Text" w:hAnsi="Noe Text"/>
          <w:b w:val="false"/>
          <w:bCs w:val="false"/>
          <w:i w:val="false"/>
          <w:iCs w:val="false"/>
          <w:color w:val="333333"/>
          <w:sz w:val="21"/>
          <w:szCs w:val="21"/>
        </w:rPr>
        <w:t xml:space="preserve">Recommendation: VNet Injection on a Premium-class tier. This recommendation assumes Chaucer's backends already sit inside a VNet reachable over Private Endpoint, and that internal consumers need a private path to APIM; both assumptions need confirming against Chaucer's actual landing zone and network topology before this is treated as settled (see the assumptions register in section 8.1). On that basis, Premium is the tier that supports Availability Zones together with workspaces, both of which this design depends on. One thing to confirm early with Microsoft: the newer Premium v2 tier gives VNet injection, zones and workspaces, but at time of writing it does not yet support multi-region deployment or the self-hosted gateway, both of which remain classic Premium features. Because Chaucer's design calls for active-active multi-region (section 6.11), classic Premium is the safer assumption for production until Premium v2 closes that gap.</w:t>
      </w:r>
    </w:p>
    <w:p>
      <w:pPr>
        <w:pStyle w:val="Heading3"/>
        <w:spacing w:after="90" w:before="160"/>
      </w:pPr>
      <w:r>
        <w:rPr>
          <w:rFonts w:ascii="Noe Text Regular" w:cs="Noe Text Regular" w:eastAsia="Noe Text Regular" w:hAnsi="Noe Text Regular"/>
        </w:rPr>
        <w:t xml:space="preserve">Classic Premium versus Premium v2: an honest trade-off</w:t>
      </w:r>
    </w:p>
    <w:p>
      <w:pPr>
        <w:spacing w:after="140"/>
      </w:pPr>
      <w:r>
        <w:rPr>
          <w:rFonts w:ascii="Noe Text" w:cs="Noe Text" w:eastAsia="Noe Text" w:hAnsi="Noe Text"/>
          <w:b w:val="false"/>
          <w:bCs w:val="false"/>
          <w:i w:val="false"/>
          <w:iCs w:val="false"/>
          <w:color w:val="333333"/>
          <w:sz w:val="21"/>
          <w:szCs w:val="21"/>
        </w:rPr>
        <w:t xml:space="preserve">Choosing classic Premium is not cost-free in the long run, and the trade-off should be made with eyes open rather than defaulted. Microsoft is directing its feature investment towards the v2 line, so classic Premium, while fully supported today, is the older platform. Standing production up on classic Premium now, to get multi-region on day one, therefore carries a degree of migration debt: if Chaucer later wants to move to Premium v2 (for its newer capabilities or pricing model), that is a migration, not an in-place upgrade, since there is no automated path between the classic and v2 lines. The counter-risk is the opposite: building on Premium v2 today means accepting that multi-region is not yet available, so active-active DR would have to wait until Microsoft ships v2 multi-region parity.</w:t>
      </w:r>
    </w:p>
    <w:p>
      <w:pPr>
        <w:spacing w:after="140"/>
      </w:pPr>
      <w:r>
        <w:rPr>
          <w:rFonts w:ascii="Noe Text" w:cs="Noe Text" w:eastAsia="Noe Text" w:hAnsi="Noe Text"/>
          <w:b w:val="false"/>
          <w:bCs w:val="false"/>
          <w:i w:val="false"/>
          <w:iCs w:val="false"/>
          <w:color w:val="333333"/>
          <w:sz w:val="21"/>
          <w:szCs w:val="21"/>
        </w:rPr>
        <w:t xml:space="preserve">There is a genuine phasing decision here that Chaucer should take deliberately. If active-active multi-region is truly required from day one, classic Premium is the only option that delivers it now, and the migration debt is the price. If, however, a single region with Availability Zone redundancy is acceptable for Phase 1, then starting on Premium v2 single-region avoids the migration debt entirely and lets Chaucer adopt v2 multi-region if and when it lands, with active-passive DR as an interim. This design assumes active-active from day one and therefore recommends classic Premium, but that assumption (A.08 in the register) is exactly the kind that should be confirmed with the business before the tier is locked, because it drives both the platform choice and the cost.</w:t>
      </w:r>
    </w:p>
    <w:p>
      <w:pPr>
        <w:spacing w:after="140"/>
      </w:pPr>
      <w:r>
        <w:rPr>
          <w:rFonts w:ascii="Noe Text" w:cs="Noe Text" w:eastAsia="Noe Text" w:hAnsi="Noe Text"/>
          <w:b w:val="false"/>
          <w:bCs w:val="false"/>
          <w:i/>
          <w:iCs/>
          <w:color w:val="333333"/>
          <w:sz w:val="21"/>
          <w:szCs w:val="21"/>
        </w:rPr>
        <w:t xml:space="preserve">Two developments since this trade-off was first drafted are worth tracking rather than acting on yet. First, Microsoft has begun bringing multi-region capability to workspaces running on the built-in gateway across v2 tiers, which is a narrower feature than full instance-level multi-region on Premium v2 but signals the direction of travel; this does not change today’s recommendation, but the tier decision (A.08 in the assumptions register) should be revisited if Microsoft extends this to the whole Premium v2 instance before build starts. Second, Premium v2 uses a materially simpler network architecture that keeps Azure’s management traffic out of Chaucer’s VNet entirely, which would remove the need for the control-plane bypass route described in section 6.4 if the platform ever moves to v2. That is a genuine, if second-order, argument for revisiting the migration-debt trade-off above: standing up on classic Premium today is not just a pricing and multi-region decision, it also means carrying the extra network complexity that Premium v2 is designed to remove.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25"/>
        <w:gridCol w:w="2325"/>
        <w:gridCol w:w="2325"/>
        <w:gridCol w:w="2325"/>
      </w:tblGrid>
      <w:tr>
        <w:trPr>
          <w:tblHeader/>
        </w:trPr>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Tier</w:t>
            </w:r>
          </w:p>
        </w:tc>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Approximate cost per unit per month</w:t>
            </w:r>
          </w:p>
        </w:tc>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SLA</w:t>
            </w:r>
          </w:p>
        </w:tc>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Supports</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Basic v2 / Standard v2, no VNet</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roughly £110 to £520</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99.95%</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Public only, cheapest way to start</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Standard v2 with VNet Integration</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roughly £520</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99.95%</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Outbound private connectivity, availability zones</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Premium v2 (VNet Injection)</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roughly £2,100 to £2,300</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99.95%, or 99.99% across zones</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Internal + external gateway, workspaces, zones (no multi-region yet)</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Classic Premium</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roughly £2,100 to £2,300</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99.95%, or 99.99% across zones</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Everything above plus multi-region and self-hosted gateway</w:t>
            </w:r>
          </w:p>
        </w:tc>
      </w:tr>
    </w:tbl>
    <w:p>
      <w:pPr>
        <w:spacing w:after="140"/>
      </w:pPr>
      <w:r>
        <w:rPr>
          <w:rFonts w:ascii="Noe Text" w:cs="Noe Text" w:eastAsia="Noe Text" w:hAnsi="Noe Text"/>
          <w:b w:val="false"/>
          <w:bCs w:val="false"/>
          <w:i w:val="false"/>
          <w:iCs w:val="false"/>
          <w:color w:val="333333"/>
          <w:sz w:val="2"/>
          <w:szCs w:val="2"/>
        </w:rPr>
        <w:t xml:space="preserve"/>
      </w:r>
    </w:p>
    <w:p>
      <w:pPr>
        <w:spacing w:after="140"/>
      </w:pPr>
      <w:r>
        <w:rPr>
          <w:rFonts w:ascii="Noe Text" w:cs="Noe Text" w:eastAsia="Noe Text" w:hAnsi="Noe Text"/>
          <w:b w:val="false"/>
          <w:bCs w:val="false"/>
          <w:i/>
          <w:iCs/>
          <w:color w:val="555555"/>
          <w:sz w:val="21"/>
          <w:szCs w:val="21"/>
        </w:rPr>
        <w:t xml:space="preserve">These figures are indicative UK South list prices for planning purposes, not a quote; Chaucer's actual enterprise agreement will likely bring these down. Note that Premium v2 and classic Premium sit in a similar price band but are not identical; the exact per-unit figures should be confirmed against the current Azure pricing page before this goes external, since a reviewer with pricing-page access may question the near-equivalence.</w:t>
      </w:r>
    </w:p>
    <w:p>
      <w:pPr>
        <w:pStyle w:val="Heading3"/>
        <w:spacing w:after="90" w:before="160"/>
      </w:pPr>
      <w:r>
        <w:rPr>
          <w:rFonts w:ascii="Noe Text Regular" w:cs="Noe Text Regular" w:eastAsia="Noe Text Regular" w:hAnsi="Noe Text Regular"/>
        </w:rPr>
        <w:t xml:space="preserve">Instance configuration</w:t>
      </w:r>
    </w:p>
    <w:p>
      <w:pPr>
        <w:spacing w:after="140"/>
      </w:pPr>
      <w:r>
        <w:rPr>
          <w:rFonts w:ascii="Noe Text" w:cs="Noe Text" w:eastAsia="Noe Text" w:hAnsi="Noe Text"/>
          <w:b w:val="false"/>
          <w:bCs w:val="false"/>
          <w:i w:val="false"/>
          <w:iCs w:val="false"/>
          <w:color w:val="333333"/>
          <w:sz w:val="21"/>
          <w:szCs w:val="21"/>
        </w:rPr>
        <w:t xml:space="preserve">The values below are the proposed target configuration. Custom domain names are illustrative placeholders, and the VNet mode and region choices are proposals to confirm against Chaucer's landing zone and naming standards, not settled facts.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Attribute</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Proposed value</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Status</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Tier</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Classic Premium (production)</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Proposed</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Region</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UK South, primary; UK West, secondary</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To confirm (data residency)</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VNet mode</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Internal and external, hybrid</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To confirm against landing zone</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Custom domain</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api.chaucer.com (external), api-internal.chaucer.com (internal)</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Illustrative placeholder</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TLS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1.2 minimum</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Proposed standard</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Managed identity</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System-assigned</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Proposed</w:t>
            </w:r>
          </w:p>
        </w:tc>
      </w:tr>
    </w:tbl>
    <w:p>
      <w:pPr>
        <w:spacing w:after="140"/>
      </w:pPr>
      <w:r>
        <w:rPr>
          <w:rFonts w:ascii="Noe Text" w:cs="Noe Text" w:eastAsia="Noe Text" w:hAnsi="Noe Text"/>
          <w:b w:val="false"/>
          <w:bCs w:val="false"/>
          <w:i w:val="false"/>
          <w:iCs w:val="false"/>
          <w:color w:val="333333"/>
          <w:sz w:val="2"/>
          <w:szCs w:val="2"/>
        </w:rPr>
        <w:t xml:space="preserve"/>
      </w:r>
    </w:p>
    <w:p>
      <w:pPr>
        <w:pStyle w:val="Heading3"/>
        <w:spacing w:after="90" w:before="160"/>
      </w:pPr>
      <w:r>
        <w:rPr>
          <w:rFonts w:ascii="Noe Text Regular" w:cs="Noe Text Regular" w:eastAsia="Noe Text Regular" w:hAnsi="Noe Text Regular"/>
        </w:rPr>
        <w:t xml:space="preserve">Why both an internal and an external gateway</w:t>
      </w:r>
    </w:p>
    <w:p>
      <w:pPr>
        <w:spacing w:after="140"/>
      </w:pPr>
      <w:r>
        <w:rPr>
          <w:rFonts w:ascii="Noe Text" w:cs="Noe Text" w:eastAsia="Noe Text" w:hAnsi="Noe Text"/>
          <w:b w:val="false"/>
          <w:bCs w:val="false"/>
          <w:i w:val="false"/>
          <w:iCs w:val="false"/>
          <w:color w:val="333333"/>
          <w:sz w:val="21"/>
          <w:szCs w:val="21"/>
        </w:rPr>
        <w:t xml:space="preserve">Running the internal and external gateways from one instance is a deliberate choice with a cost, so it is worth stating the alternative it was weighed against. A single external gateway with IP restriction would be cheaper and simpler, and for a purely internet-facing pilot it could be enough. It was not chosen because Chaucer has genuinely internal consumers that should never traverse a public endpoint, even one IP-restricted: keeping internal traffic on a private gateway inside the VNet removes a class of exposure rather than mitigating it, and satisfies the single-ingress principle without punching internal systems out to the internet and back. The trade-off is that the hybrid instance costs more than a single external gateway. If phase one turns out to have no genuinely-internal consumers, a single external gateway is the cheaper fallback and this decision should be revisited.</w:t>
      </w:r>
    </w:p>
    <w:p>
      <w:pPr>
        <w:pStyle w:val="Heading3"/>
        <w:spacing w:after="90" w:before="160"/>
      </w:pPr>
      <w:r>
        <w:rPr>
          <w:rFonts w:ascii="Noe Text Regular" w:cs="Noe Text Regular" w:eastAsia="Noe Text Regular" w:hAnsi="Noe Text Regular"/>
        </w:rPr>
        <w:t xml:space="preserve">Multi-region topology</w:t>
      </w:r>
    </w:p>
    <w:p>
      <w:pPr>
        <w:spacing w:after="140"/>
      </w:pPr>
      <w:r>
        <w:rPr>
          <w:rFonts w:ascii="Noe Text" w:cs="Noe Text" w:eastAsia="Noe Text" w:hAnsi="Noe Text"/>
          <w:b w:val="false"/>
          <w:bCs w:val="false"/>
          <w:i w:val="false"/>
          <w:iCs w:val="false"/>
          <w:color w:val="333333"/>
          <w:sz w:val="21"/>
          <w:szCs w:val="21"/>
        </w:rPr>
        <w:t xml:space="preserve">Both regions run active behind the same Front Door entry point, each with its own APIM gateway and a geo-redundant backend replica. Front Door decides which region serves a given request and moves traffic away from a region automatically if its health probes fail.</w:t>
      </w:r>
    </w:p>
    <w:p>
      <w:pPr>
        <w:spacing w:after="120" w:before="80"/>
        <w:jc w:val="center"/>
      </w:pPr>
      <w:r>
        <w:drawing>
          <wp:inline distT="0" distB="0" distL="0" distR="0">
            <wp:extent cx="54864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190750"/>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8: Multi-region APIM architecture</w:t>
      </w:r>
    </w:p>
    <w:p>
      <w:pPr>
        <w:spacing w:after="140"/>
      </w:pPr>
      <w:r>
        <w:rPr>
          <w:rFonts w:ascii="Noe Text" w:cs="Noe Text" w:eastAsia="Noe Text" w:hAnsi="Noe Text"/>
          <w:b w:val="false"/>
          <w:bCs w:val="false"/>
          <w:i w:val="false"/>
          <w:iCs w:val="false"/>
          <w:color w:val="333333"/>
          <w:sz w:val="21"/>
          <w:szCs w:val="21"/>
        </w:rPr>
        <w:t xml:space="preserve">The target design places backends (Logic Apps Standard, Functions, Service Bus) in private subnets reachable only from APIM, using Private Endpoints and network security groups. Front Door or Application Gateway terminates public traffic and forwards only validated requests through to the APIM external gateway; the APIM internal gateway is reachable purely from within the VNet, with no public exposure at all. This describes the intended target state rather than a confirmed picture of Chaucer's current network: the actual VNet layout, private DNS zone ownership, and any forced-tunnelling or NVA egress rules must be validated against Chaucer's landing zone, because they can materially change how APIM reaches each backend. This is the single most important item to verify before detailed design (see section 8.1).</w:t>
      </w:r>
    </w:p>
    <w:p>
      <w:pPr>
        <w:spacing w:after="140"/>
      </w:pPr>
      <w:r>
        <w:rPr>
          <w:rFonts w:ascii="Noe Text" w:cs="Noe Text" w:eastAsia="Noe Text" w:hAnsi="Noe Text"/>
          <w:b w:val="false"/>
          <w:bCs w:val="false"/>
          <w:i w:val="false"/>
          <w:iCs w:val="false"/>
          <w:color w:val="333333"/>
          <w:sz w:val="21"/>
          <w:szCs w:val="21"/>
        </w:rPr>
        <w:t xml:space="preserve">The two diagrams below set out exactly what each traffic type passes through, matching the pattern proven on our reference deployment.</w:t>
      </w:r>
    </w:p>
    <w:p>
      <w:pPr>
        <w:spacing w:after="120" w:before="80"/>
        <w:jc w:val="center"/>
      </w:pPr>
      <w:r>
        <w:drawing>
          <wp:inline distT="0" distB="0" distL="0" distR="0">
            <wp:extent cx="54864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1552575"/>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9: Internal API access model</w:t>
      </w:r>
    </w:p>
    <w:p>
      <w:pPr>
        <w:spacing w:after="120" w:before="80"/>
        <w:jc w:val="center"/>
      </w:pPr>
      <w:r>
        <w:drawing>
          <wp:inline distT="0" distB="0" distL="0" distR="0">
            <wp:extent cx="54864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733425"/>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10: External API access model</w:t>
      </w:r>
    </w:p>
    <w:p>
      <w:pPr>
        <w:pStyle w:val="Heading3"/>
        <w:spacing w:after="90" w:before="160"/>
      </w:pPr>
      <w:r>
        <w:rPr>
          <w:rFonts w:ascii="Noe Text Regular" w:cs="Noe Text Regular" w:eastAsia="Noe Text Regular" w:hAnsi="Noe Text Regular"/>
        </w:rPr>
        <w:t xml:space="preserve">Integrating APIM with Chaucer's Palo Alto firewall</w:t>
      </w:r>
    </w:p>
    <w:p>
      <w:pPr>
        <w:spacing w:after="140"/>
      </w:pPr>
      <w:r>
        <w:rPr>
          <w:rFonts w:ascii="Noe Text" w:cs="Noe Text" w:eastAsia="Noe Text" w:hAnsi="Noe Text"/>
          <w:b w:val="false"/>
          <w:bCs w:val="false"/>
          <w:i w:val="false"/>
          <w:iCs w:val="false"/>
          <w:color w:val="333333"/>
          <w:sz w:val="21"/>
          <w:szCs w:val="21"/>
        </w:rPr>
        <w:t xml:space="preserve">Chaucer already operates a Palo Alto firewall as its network inspection point. Under the recommended inbound model (Model A, section “Reconciling the inbound edge”), external and partner traffic enters through Front Door over Private Link and does not traverse the firewall; the Palo Alto remains the inspection and control point for internal inbound traffic, all outbound/egress, and east-west traffic as configured. This section works through those firewall-governed flows; where a flow describes external inbound through the firewall, that is the Model B variant, called out explicitly.</w:t>
      </w:r>
    </w:p>
    <w:p>
      <w:pPr>
        <w:spacing w:after="140"/>
      </w:pPr>
      <w:r>
        <w:rPr>
          <w:rFonts w:ascii="Noe Text" w:cs="Noe Text" w:eastAsia="Noe Text" w:hAnsi="Noe Text"/>
          <w:b/>
          <w:bCs/>
          <w:i w:val="false"/>
          <w:iCs w:val="false"/>
          <w:color w:val="333333"/>
          <w:sz w:val="21"/>
          <w:szCs w:val="21"/>
        </w:rPr>
        <w:t xml:space="preserve">Topology and the guiding principle</w:t>
      </w:r>
    </w:p>
    <w:p>
      <w:pPr>
        <w:spacing w:after="140"/>
      </w:pPr>
      <w:r>
        <w:rPr>
          <w:rFonts w:ascii="Noe Text" w:cs="Noe Text" w:eastAsia="Noe Text" w:hAnsi="Noe Text"/>
          <w:b w:val="false"/>
          <w:bCs w:val="false"/>
          <w:i w:val="false"/>
          <w:iCs w:val="false"/>
          <w:color w:val="333333"/>
          <w:sz w:val="21"/>
          <w:szCs w:val="21"/>
        </w:rPr>
        <w:t xml:space="preserve">The Palo Alto firewall lives in the hub VNet as an NVA behind an internal load balancer. APIM sits in a delegated subnet in a spoke VNet, peered to the hub, and runs in internal mode so its data-plane gateway has a private virtual IP and no public data-plane address. A route table (UDR) on the APIM subnet sends outbound traffic to the Palo Alto for inspection. The guiding principle is that all data-plane traffic to and from APIM is inspected by the Palo Alto, with one deliberate, documented exception, Azure's own control-plane traffic, which must bypass the firewall for APIM to function at all.</w:t>
      </w:r>
    </w:p>
    <w:p>
      <w:pPr>
        <w:spacing w:after="140"/>
      </w:pPr>
      <w:r>
        <w:rPr>
          <w:rFonts w:ascii="Noe Text" w:cs="Noe Text" w:eastAsia="Noe Text" w:hAnsi="Noe Text"/>
          <w:b w:val="false"/>
          <w:bCs w:val="false"/>
          <w:i w:val="false"/>
          <w:iCs w:val="false"/>
          <w:color w:val="333333"/>
          <w:sz w:val="21"/>
          <w:szCs w:val="21"/>
        </w:rPr>
        <w:t xml:space="preserve">That exception is the single most important design point when combining APIM with any NVA, so it is worth stating plainly before the flows: if Azure's management traffic to APIM is force-tunnelled through the firewall, the return path is asymmetric, the stateful firewall drops it, and APIM loses connectivity to the Azure control plane, breaking scaling, updates, and monitoring. The fix is a specific route, covered under the outbound and control-plane flows below.</w:t>
      </w:r>
    </w:p>
    <w:p>
      <w:pPr>
        <w:pStyle w:val="Heading3"/>
        <w:spacing w:after="90" w:before="160"/>
      </w:pPr>
      <w:r>
        <w:rPr>
          <w:rFonts w:ascii="Noe Text Regular" w:cs="Noe Text Regular" w:eastAsia="Noe Text Regular" w:hAnsi="Noe Text Regular"/>
        </w:rPr>
        <w:t xml:space="preserve">Reconciling the inbound edge: Front Door (Private Link) versus the firewall (DNAT)</w:t>
      </w:r>
    </w:p>
    <w:p>
      <w:pPr>
        <w:spacing w:after="140"/>
      </w:pPr>
      <w:r>
        <w:rPr>
          <w:rFonts w:ascii="Noe Text" w:cs="Noe Text" w:eastAsia="Noe Text" w:hAnsi="Noe Text"/>
          <w:b w:val="false"/>
          <w:bCs w:val="false"/>
          <w:i w:val="false"/>
          <w:iCs w:val="false"/>
          <w:color w:val="333333"/>
          <w:sz w:val="21"/>
          <w:szCs w:val="21"/>
        </w:rPr>
        <w:t xml:space="preserve">One point must be settled before the individual flows make sense, because the design as previously drafted implied two different inbound paths at once. External traffic cannot both arrive through Front Door over a Private Link origin and be DNAT-inspected by the Palo Alto on the way in — those are two mutually exclusive inbound models, and Chaucer must pick one for external and partner traffic. This section states the choice explicitly; the flows that follow assume it.</w:t>
      </w:r>
    </w:p>
    <w:p>
      <w:pPr>
        <w:spacing w:after="140"/>
      </w:pPr>
      <w:r>
        <w:rPr>
          <w:rFonts w:ascii="Noe Text" w:cs="Noe Text" w:eastAsia="Noe Text" w:hAnsi="Noe Text"/>
          <w:b w:val="false"/>
          <w:bCs w:val="false"/>
          <w:i w:val="false"/>
          <w:iCs w:val="false"/>
          <w:color w:val="333333"/>
          <w:sz w:val="21"/>
          <w:szCs w:val="21"/>
        </w:rPr>
        <w:t xml:space="preserve">Model A — Front Door via Private Link (recommended). Public traffic reaches Azure Front Door at the Microsoft edge, where the WAF, TLS termination and DDoS protection are applied, and Front Door then forwards the request to APIM over a Private Link to an inbound private endpoint. This traffic travels the Azure backbone directly into the APIM spoke; by design it does not traverse the hub Palo Alto. Inbound inspection for external traffic is therefore performed by Front Door’s WAF, not by the firewall, and the origin is locked down so APIM accepts traffic only from Chaucer’s Front Door instance (Private Link approval plus an NSG that denies the internet, plus verification of the X-Azure-FDID header). The Palo Alto remains the inspection and control point for the other flows — internal inbound, all outbound/egress, and any east-west traffic Chaucer chooses to route to it — so nothing about outbound audit or internal zero-trust is weakened; it is only the external inbound leg that Front Door owns.</w:t>
      </w:r>
    </w:p>
    <w:p>
      <w:pPr>
        <w:spacing w:after="140"/>
      </w:pPr>
      <w:r>
        <w:rPr>
          <w:rFonts w:ascii="Noe Text" w:cs="Noe Text" w:eastAsia="Noe Text" w:hAnsi="Noe Text"/>
          <w:b w:val="false"/>
          <w:bCs w:val="false"/>
          <w:i w:val="false"/>
          <w:iCs w:val="false"/>
          <w:color w:val="333333"/>
          <w:sz w:val="21"/>
          <w:szCs w:val="21"/>
        </w:rPr>
        <w:t xml:space="preserve">Model B — Front Door to a firewall public origin (only if policy mandates NGFW inspection of inbound). If Chaucer’s security standard requires the Palo Alto to inspect inbound external traffic as well, then Front Door must target a public-IP origin that is the firewall’s public VIP, which DNATs to the APIM internal gateway. Here the firewall is in the inbound path and traffic is inspected twice (Front Door WAF at the edge, NGFW in the region), at the cost of losing Private Link, having to lock the firewall’s public IP to Front Door service tags and the X-Azure-FDID header, and added operational complexity. This is the double-inspection variant of Option C from section 6.4, not the default.</w:t>
      </w:r>
    </w:p>
    <w:p>
      <w:pPr>
        <w:spacing w:after="140"/>
      </w:pPr>
      <w:r>
        <w:rPr>
          <w:rFonts w:ascii="Noe Text" w:cs="Noe Text" w:eastAsia="Noe Text" w:hAnsi="Noe Text"/>
          <w:b w:val="false"/>
          <w:bCs w:val="false"/>
          <w:i w:val="false"/>
          <w:iCs w:val="false"/>
          <w:color w:val="333333"/>
          <w:sz w:val="21"/>
          <w:szCs w:val="21"/>
        </w:rPr>
        <w:t xml:space="preserve">A compatibility note to confirm at build time: routing Front Door to an internal-mode classic Premium instance over an inbound private endpoint depends on the specific tier and network-mode support in force at build time, which Microsoft has been actively extending (inbound private endpoints, and workspaces on the built-in gateway with Private Link, have both moved forward recently). Chaucer should validate the exact Front Door → Private Link → internal APIM path against the current Azure capability for the chosen tier before locking the network design. If it is not available for the chosen tier at build time, Model B is the fallback.</w:t>
      </w:r>
    </w:p>
    <w:p xmlns:a="http://schemas.openxmlformats.org/drawingml/2006/main" xmlns:pic="http://schemas.openxmlformats.org/drawingml/2006/picture">
      <w:pPr>
        <w:spacing w:after="120" w:before="80"/>
        <w:jc w:val="center"/>
      </w:pPr>
      <w:r>
        <w:drawing>
          <wp:inline distT="0" distB="0" distL="0" distR="0">
            <wp:extent cx="5943600" cy="1498583"/>
            <wp:effectExtent t="0" r="0" b="0" l="0"/>
            <wp:docPr id="20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41" cstate="none"/>
                    <a:srcRect/>
                    <a:stretch>
                      <a:fillRect/>
                    </a:stretch>
                  </pic:blipFill>
                  <pic:spPr bwMode="auto">
                    <a:xfrm>
                      <a:off x="0" y="0"/>
                      <a:ext cx="5943600" cy="1498583"/>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11: Which flows traverse the Palo Alto — external inbound via Front Door/Private Link bypasses the NVA by design; internal, egress and control-plane flows are unchanged</w:t>
      </w:r>
    </w:p>
    <w:p>
      <w:pPr>
        <w:spacing w:after="140"/>
      </w:pPr>
      <w:r>
        <w:rPr>
          <w:rFonts w:ascii="Noe Text" w:cs="Noe Text" w:eastAsia="Noe Text" w:hAnsi="Noe Text"/>
          <w:b w:val="false"/>
          <w:bCs w:val="false"/>
          <w:i w:val="false"/>
          <w:iCs w:val="false"/>
          <w:color w:val="333333"/>
          <w:sz w:val="21"/>
          <w:szCs w:val="21"/>
        </w:rPr>
        <w:t xml:space="preserve">Summary of which flows traverse the firewall under the recommended model: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00"/>
      </w:tblGrid>
      <w:tr>
        <w:trPr>
          <w:tblHeader/>
        </w:trPr>
        <w:tc>
          <w:tcPr>
            <w:tcW w:type="dxa" w:w="30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Traffic flow</w:t>
            </w:r>
          </w:p>
        </w:tc>
        <w:tc>
          <w:tcPr>
            <w:tcW w:type="dxa" w:w="24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Through Palo Alto?</w:t>
            </w:r>
          </w:p>
        </w:tc>
        <w:tc>
          <w:tcPr>
            <w:tcW w:type="dxa" w:w="39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How it is secured</w:t>
            </w:r>
          </w:p>
        </w:tc>
      </w:tr>
      <w:tr>
        <w:tc>
          <w:tcPr>
            <w:tcW w:type="dxa" w:w="3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External inbound (via Front Door)</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No — bypasses the NVA by design</w:t>
            </w:r>
          </w:p>
        </w:tc>
        <w:tc>
          <w:tcPr>
            <w:tcW w:type="dxa" w:w="3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Front Door WAF at the edge; origin locked to Front Door (Private Link + NSG + X-Azure-FDID)</w:t>
            </w:r>
          </w:p>
        </w:tc>
      </w:tr>
      <w:tr>
        <w:tc>
          <w:tcPr>
            <w:tcW w:type="dxa" w:w="3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Internal inbound</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Yes</w:t>
            </w:r>
          </w:p>
        </w:tc>
        <w:tc>
          <w:tcPr>
            <w:tcW w:type="dxa" w:w="3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Palo Alto inspects and forwards to the APIM internal VIP</w:t>
            </w:r>
          </w:p>
        </w:tc>
      </w:tr>
      <w:tr>
        <w:tc>
          <w:tcPr>
            <w:tcW w:type="dxa" w:w="3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Outbound / egress (APIM → internet/SaaS)</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Yes</w:t>
            </w:r>
          </w:p>
        </w:tc>
        <w:tc>
          <w:tcPr>
            <w:tcW w:type="dxa" w:w="3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Forced-tunnel UDR to the Palo Alto; egress + URL-filtering policy</w:t>
            </w:r>
          </w:p>
        </w:tc>
      </w:tr>
      <w:tr>
        <w:tc>
          <w:tcPr>
            <w:tcW w:type="dxa" w:w="3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APIM → private backends (east-west)</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Optional</w:t>
            </w:r>
          </w:p>
        </w:tc>
        <w:tc>
          <w:tcPr>
            <w:tcW w:type="dxa" w:w="3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Private Endpoint + NSG by default; /32 UDR to firewall only if policy requires</w:t>
            </w:r>
          </w:p>
        </w:tc>
      </w:tr>
      <w:tr>
        <w:tc>
          <w:tcPr>
            <w:tcW w:type="dxa" w:w="3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Azure control plane</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No — must bypass</w:t>
            </w:r>
          </w:p>
        </w:tc>
        <w:tc>
          <w:tcPr>
            <w:tcW w:type="dxa" w:w="3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ApiManagement service tag UDR next-hop Internet (mandatory, section below)</w:t>
            </w:r>
          </w:p>
        </w:tc>
      </w:tr>
    </w:tbl>
    <w:p>
      <w:pPr>
        <w:spacing w:after="60"/>
      </w:pPr>
    </w:p>
    <w:p>
      <w:pPr>
        <w:spacing w:after="140"/>
      </w:pPr>
      <w:r>
        <w:rPr>
          <w:rFonts w:ascii="Noe Text" w:cs="Noe Text" w:eastAsia="Noe Text" w:hAnsi="Noe Text"/>
          <w:b/>
          <w:bCs/>
          <w:i w:val="false"/>
          <w:iCs w:val="false"/>
          <w:color w:val="333333"/>
          <w:sz w:val="21"/>
          <w:szCs w:val="21"/>
        </w:rPr>
        <w:t xml:space="preserve">Flow 1: external inbound (external to internal)</w:t>
      </w:r>
    </w:p>
    <w:p>
      <w:pPr>
        <w:spacing w:after="140"/>
      </w:pPr>
      <w:r>
        <w:rPr>
          <w:rFonts w:ascii="Noe Text" w:cs="Noe Text" w:eastAsia="Noe Text" w:hAnsi="Noe Text"/>
          <w:b w:val="false"/>
          <w:bCs w:val="false"/>
          <w:i w:val="false"/>
          <w:iCs w:val="false"/>
          <w:color w:val="333333"/>
          <w:sz w:val="21"/>
          <w:szCs w:val="21"/>
        </w:rPr>
        <w:t xml:space="preserve">Scope note: this flow is the firewall-inspected inbound path. It always applies to internal inbound traffic, and it applies to external inbound only under Model B above. Under the recommended Model A, external and partner traffic instead enters through Front Door over Private Link and does not traverse the Palo Alto — so read the description below as the internal-inbound path, and as the external-inbound path only if Chaucer adopts Model B.</w:t>
      </w:r>
    </w:p>
    <w:p>
      <w:pPr>
        <w:spacing w:after="140"/>
      </w:pPr>
      <w:r>
        <w:rPr>
          <w:rFonts w:ascii="Noe Text" w:cs="Noe Text" w:eastAsia="Noe Text" w:hAnsi="Noe Text"/>
          <w:b w:val="false"/>
          <w:bCs w:val="false"/>
          <w:i w:val="false"/>
          <w:iCs w:val="false"/>
          <w:color w:val="333333"/>
          <w:sz w:val="21"/>
          <w:szCs w:val="21"/>
        </w:rPr>
        <w:t xml:space="preserve">An external consumer, a broker or Lloyd's market system, reaches Chaucer over the internet. Traffic lands on the Palo Alto's public interface, where a destination NAT (DNAT) rule and the threat-prevention and URL-filtering policies inspect it, then forwards it to APIM's internal gateway private VIP in the spoke. Because APIM is internal-mode, it is never directly reachable from the internet; the only way in is through the Palo Alto. If Chaucer also wants a WAF at the edge, Azure Front Door or Application Gateway (per the ingress options in section 6.4) can sit in front of the Palo Alto or in the hub, adding OWASP inspection on top of the firewall's own.</w:t>
      </w:r>
    </w:p>
    <w:p>
      <w:pPr>
        <w:pStyle w:val="ListParagraph"/>
        <w:numPr>
          <w:ilvl w:val="0"/>
          <w:numId w:val="2"/>
        </w:numPr>
        <w:spacing w:after="70"/>
      </w:pPr>
      <w:r>
        <w:rPr>
          <w:rFonts w:ascii="Noe Text" w:cs="Noe Text" w:eastAsia="Noe Text" w:hAnsi="Noe Text"/>
          <w:color w:val="333333"/>
          <w:sz w:val="21"/>
          <w:szCs w:val="21"/>
        </w:rPr>
        <w:t xml:space="preserve">Palo Alto: DNAT rule mapping the public listener to the APIM internal VIP, with security policy allowing only the intended ports (443).</w:t>
      </w:r>
    </w:p>
    <w:p>
      <w:pPr>
        <w:pStyle w:val="ListParagraph"/>
        <w:numPr>
          <w:ilvl w:val="0"/>
          <w:numId w:val="2"/>
        </w:numPr>
        <w:spacing w:after="70"/>
      </w:pPr>
      <w:r>
        <w:rPr>
          <w:rFonts w:ascii="Noe Text" w:cs="Noe Text" w:eastAsia="Noe Text" w:hAnsi="Noe Text"/>
          <w:color w:val="333333"/>
          <w:sz w:val="21"/>
          <w:szCs w:val="21"/>
        </w:rPr>
        <w:t xml:space="preserve">APIM subnet NSG: allow inbound from the hub/firewall subnet on 443; deny direct internet inbound.</w:t>
      </w:r>
    </w:p>
    <w:p>
      <w:pPr>
        <w:pStyle w:val="ListParagraph"/>
        <w:numPr>
          <w:ilvl w:val="0"/>
          <w:numId w:val="2"/>
        </w:numPr>
        <w:spacing w:after="70"/>
      </w:pPr>
      <w:r>
        <w:rPr>
          <w:rFonts w:ascii="Noe Text" w:cs="Noe Text" w:eastAsia="Noe Text" w:hAnsi="Noe Text"/>
          <w:color w:val="333333"/>
          <w:sz w:val="21"/>
          <w:szCs w:val="21"/>
        </w:rPr>
        <w:t xml:space="preserve">Return path: the response follows the established firewall session back out, so no asymmetric-routing issue arises for this inspected data-plane flow.</w:t>
      </w:r>
    </w:p>
    <w:p>
      <w:pPr>
        <w:spacing w:after="140"/>
      </w:pPr>
      <w:r>
        <w:rPr>
          <w:rFonts w:ascii="Noe Text" w:cs="Noe Text" w:eastAsia="Noe Text" w:hAnsi="Noe Text"/>
          <w:b/>
          <w:bCs/>
          <w:i w:val="false"/>
          <w:iCs w:val="false"/>
          <w:color w:val="333333"/>
          <w:sz w:val="21"/>
          <w:szCs w:val="21"/>
        </w:rPr>
        <w:t xml:space="preserve">Flow 2: internal inbound (internal to APIM)</w:t>
      </w:r>
    </w:p>
    <w:p>
      <w:pPr>
        <w:spacing w:after="140"/>
      </w:pPr>
      <w:r>
        <w:rPr>
          <w:rFonts w:ascii="Noe Text" w:cs="Noe Text" w:eastAsia="Noe Text" w:hAnsi="Noe Text"/>
          <w:b w:val="false"/>
          <w:bCs w:val="false"/>
          <w:i w:val="false"/>
          <w:iCs w:val="false"/>
          <w:color w:val="333333"/>
          <w:sz w:val="21"/>
          <w:szCs w:val="21"/>
        </w:rPr>
        <w:t xml:space="preserve">An internal Chaucer system, or an on-premises system reaching Azure over ExpressRoute or VPN, calls an internal API. The call is routed to the Palo Alto (either directly in-hub or via the on-premises firewall path), inspected, and forwarded to the same APIM internal VIP. Internal consumers never bypass the gateway: the design treats an internal call exactly like an external one for inspection and authentication, in line with the zero-trust principle in the security section. For on-premises sources, gateway route propagation must be enabled so the return path stays symmetric.</w:t>
      </w:r>
    </w:p>
    <w:p>
      <w:pPr>
        <w:spacing w:after="140"/>
      </w:pPr>
      <w:r>
        <w:rPr>
          <w:rFonts w:ascii="Noe Text" w:cs="Noe Text" w:eastAsia="Noe Text" w:hAnsi="Noe Text"/>
          <w:b/>
          <w:bCs/>
          <w:i w:val="false"/>
          <w:iCs w:val="false"/>
          <w:color w:val="333333"/>
          <w:sz w:val="21"/>
          <w:szCs w:val="21"/>
        </w:rPr>
        <w:t xml:space="preserve">Flow 3: outbound (internal to external)</w:t>
      </w:r>
    </w:p>
    <w:p>
      <w:pPr>
        <w:spacing w:after="140"/>
      </w:pPr>
      <w:r>
        <w:rPr>
          <w:rFonts w:ascii="Noe Text" w:cs="Noe Text" w:eastAsia="Noe Text" w:hAnsi="Noe Text"/>
          <w:b w:val="false"/>
          <w:bCs w:val="false"/>
          <w:i w:val="false"/>
          <w:iCs w:val="false"/>
          <w:color w:val="333333"/>
          <w:sz w:val="21"/>
          <w:szCs w:val="21"/>
        </w:rPr>
        <w:t xml:space="preserve">When APIM or a backend needs to call out, to a public SaaS provider such as Salesforce, or to any internet endpoint, that traffic must be inspected on the way out. A UDR on the APIM subnet with destination 0.0.0.0/0 and next hop set to the Palo Alto's internal load-balancer IP forces all outbound data-plane traffic through the firewall, where egress policy and threat prevention apply. This is the flow that gives Chaucer the outbound inspection and audit it runs the Palo Alto for in the first place.</w:t>
      </w:r>
    </w:p>
    <w:p>
      <w:pPr>
        <w:pStyle w:val="ListParagraph"/>
        <w:numPr>
          <w:ilvl w:val="0"/>
          <w:numId w:val="2"/>
        </w:numPr>
        <w:spacing w:after="70"/>
      </w:pPr>
      <w:r>
        <w:rPr>
          <w:rFonts w:ascii="Noe Text" w:cs="Noe Text" w:eastAsia="Noe Text" w:hAnsi="Noe Text"/>
          <w:color w:val="333333"/>
          <w:sz w:val="21"/>
          <w:szCs w:val="21"/>
        </w:rPr>
        <w:t xml:space="preserve">APIM subnet UDR: 0.0.0.0/0 with next hop = Palo Alto internal LB IP (forced tunnelling).</w:t>
      </w:r>
    </w:p>
    <w:p>
      <w:pPr>
        <w:pStyle w:val="ListParagraph"/>
        <w:numPr>
          <w:ilvl w:val="0"/>
          <w:numId w:val="2"/>
        </w:numPr>
        <w:spacing w:after="70"/>
      </w:pPr>
      <w:r>
        <w:rPr>
          <w:rFonts w:ascii="Noe Text" w:cs="Noe Text" w:eastAsia="Noe Text" w:hAnsi="Noe Text"/>
          <w:color w:val="333333"/>
          <w:sz w:val="21"/>
          <w:szCs w:val="21"/>
        </w:rPr>
        <w:t xml:space="preserve">Palo Alto: outbound security and URL-filtering policy for the destinations APIM is permitted to reach; SNAT as required.</w:t>
      </w:r>
    </w:p>
    <w:p>
      <w:pPr>
        <w:pStyle w:val="ListParagraph"/>
        <w:numPr>
          <w:ilvl w:val="0"/>
          <w:numId w:val="2"/>
        </w:numPr>
        <w:spacing w:after="70"/>
      </w:pPr>
      <w:r>
        <w:rPr>
          <w:rFonts w:ascii="Noe Text" w:cs="Noe Text" w:eastAsia="Noe Text" w:hAnsi="Noe Text"/>
          <w:color w:val="333333"/>
          <w:sz w:val="21"/>
          <w:szCs w:val="21"/>
        </w:rPr>
        <w:t xml:space="preserve">Credentials for SaaS calls stay in Key Vault-backed named values; the firewall controls the path, not the secret.</w:t>
      </w:r>
    </w:p>
    <w:p>
      <w:pPr>
        <w:spacing w:after="140"/>
      </w:pPr>
      <w:r>
        <w:rPr>
          <w:rFonts w:ascii="Noe Text" w:cs="Noe Text" w:eastAsia="Noe Text" w:hAnsi="Noe Text"/>
          <w:b/>
          <w:bCs/>
          <w:i w:val="false"/>
          <w:iCs w:val="false"/>
          <w:color w:val="333333"/>
          <w:sz w:val="21"/>
          <w:szCs w:val="21"/>
        </w:rPr>
        <w:t xml:space="preserve">Flow 4: APIM to private backends</w:t>
      </w:r>
    </w:p>
    <w:p>
      <w:pPr>
        <w:spacing w:after="140"/>
      </w:pPr>
      <w:r>
        <w:rPr>
          <w:rFonts w:ascii="Noe Text" w:cs="Noe Text" w:eastAsia="Noe Text" w:hAnsi="Noe Text"/>
          <w:b w:val="false"/>
          <w:bCs w:val="false"/>
          <w:i w:val="false"/>
          <w:iCs w:val="false"/>
          <w:color w:val="333333"/>
          <w:sz w:val="21"/>
          <w:szCs w:val="21"/>
        </w:rPr>
        <w:t xml:space="preserve">Calls from APIM to backends that live inside Chaucer's own network, Logic Apps Standard, Functions, or PaaS reached over Private Endpoint, stay on the private network. These do not need to traverse the Palo Alto to reach the internet, since they never leave Azure's backbone. If Chaucer's security standard requires even east-west private traffic to be inspected, Private Endpoint traffic can be forced to the firewall with a /32 UDR per endpoint, at the cost of route-table management; most designs inspect north-south (internet-facing) traffic at the firewall and rely on NSGs and Private Link for east-west, which is the approach recommended here unless Chaucer's policy says otherwise.</w:t>
      </w:r>
    </w:p>
    <w:p>
      <w:pPr>
        <w:spacing w:after="140"/>
      </w:pPr>
      <w:r>
        <w:rPr>
          <w:rFonts w:ascii="Noe Text" w:cs="Noe Text" w:eastAsia="Noe Text" w:hAnsi="Noe Text"/>
          <w:b/>
          <w:bCs/>
          <w:i w:val="false"/>
          <w:iCs w:val="false"/>
          <w:color w:val="333333"/>
          <w:sz w:val="21"/>
          <w:szCs w:val="21"/>
        </w:rPr>
        <w:t xml:space="preserve">Flow 5: the control-plane exception (mandatory)</w:t>
      </w:r>
    </w:p>
    <w:p>
      <w:pPr>
        <w:spacing w:after="140"/>
      </w:pPr>
      <w:r>
        <w:rPr>
          <w:rFonts w:ascii="Noe Text" w:cs="Noe Text" w:eastAsia="Noe Text" w:hAnsi="Noe Text"/>
          <w:b w:val="false"/>
          <w:bCs w:val="false"/>
          <w:i w:val="false"/>
          <w:iCs w:val="false"/>
          <w:color w:val="333333"/>
          <w:sz w:val="21"/>
          <w:szCs w:val="21"/>
        </w:rPr>
        <w:t xml:space="preserve">Azure manages APIM over a control-plane channel using the ApiManagement service tag. This traffic uses Azure's own public IP ranges, so if it is force-tunnelled through the Palo Alto the responses do not map symmetrically back and the stateful firewall drops them. The required, Microsoft-documented configuration is a UDR on the APIM subnet for the ApiManagement service tag with next hop set to Internet, so control-plane traffic bypasses the firewall. Microsoft is explicit that allowing this management traffic to bypass the NVA is not a significant security risk, because it is Azure's own management channel, not Chaucer's data. The same bypass applies to the platform dependencies APIM needs (Azure Monitor, Storage, Key Vault, and similar), which should be allowed by service tag rather than by IP.</w:t>
      </w:r>
    </w:p>
    <w:p>
      <w:pPr>
        <w:spacing w:after="140"/>
      </w:pPr>
      <w:r>
        <w:rPr>
          <w:rFonts w:ascii="Noe Text" w:cs="Noe Text" w:eastAsia="Noe Text" w:hAnsi="Noe Text"/>
          <w:b/>
          <w:bCs/>
          <w:i w:val="false"/>
          <w:iCs w:val="false"/>
          <w:color w:val="333333"/>
          <w:sz w:val="21"/>
          <w:szCs w:val="21"/>
        </w:rPr>
        <w:t xml:space="preserve">Required routing and firewall summary</w:t>
      </w:r>
    </w:p>
    <w:p>
      <w:pPr>
        <w:spacing w:after="140"/>
      </w:pPr>
      <w:r>
        <w:rPr>
          <w:rFonts w:ascii="Noe Text" w:cs="Noe Text" w:eastAsia="Noe Text" w:hAnsi="Noe Text"/>
          <w:b w:val="false"/>
          <w:bCs w:val="false"/>
          <w:i w:val="false"/>
          <w:iCs w:val="false"/>
          <w:color w:val="333333"/>
          <w:sz w:val="21"/>
          <w:szCs w:val="21"/>
        </w:rPr>
        <w:t xml:space="preserve">Pulling the flows together, the concrete configuration 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Path</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Where enforced</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Rule</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External inbound</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Palo Alto (hub)</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DNAT public listener to APIM internal VIP; allow 443 only</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Internal inbound</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Palo Alto / on-prem FW</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Inspect and forward to APIM VIP; enable gateway route propagation</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Outbound to internet</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 subnet UDR + Palo Alto</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0.0.0.0/0 next hop = firewall LB IP; egress policy on the firewall</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 to private backend</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NSG + Private Endpoint</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Private path; optional /32 UDR to firewall if east-west inspection required</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Control plane (mandatory)</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 subnet UDR</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ApiManagement service tag next hop = Internet (bypass firewall)</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Platform dependencies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 subnet UDR / NSG</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Allow AzureMonitor, Storage, Key Vault, etc. by service tag</w:t>
            </w:r>
          </w:p>
        </w:tc>
      </w:tr>
    </w:tbl>
    <w:p>
      <w:pPr>
        <w:spacing w:after="140"/>
      </w:pPr>
      <w:r>
        <w:rPr>
          <w:rFonts w:ascii="Noe Text" w:cs="Noe Text" w:eastAsia="Noe Text" w:hAnsi="Noe Text"/>
          <w:b w:val="false"/>
          <w:bCs w:val="false"/>
          <w:i w:val="false"/>
          <w:iCs w:val="false"/>
          <w:color w:val="333333"/>
          <w:sz w:val="2"/>
          <w:szCs w:val="2"/>
        </w:rPr>
        <w:t xml:space="preserve"/>
      </w:r>
    </w:p>
    <w:p>
      <w:pPr>
        <w:spacing w:after="140"/>
      </w:pPr>
      <w:r>
        <w:rPr>
          <w:rFonts w:ascii="Noe Text" w:cs="Noe Text" w:eastAsia="Noe Text" w:hAnsi="Noe Text"/>
          <w:b w:val="false"/>
          <w:bCs w:val="false"/>
          <w:i w:val="false"/>
          <w:iCs w:val="false"/>
          <w:color w:val="333333"/>
          <w:sz w:val="21"/>
          <w:szCs w:val="21"/>
        </w:rPr>
        <w:t xml:space="preserve">Two failure modes to design out explicitly: asymmetric routing, prevented by the control-plane and dependency bypass routes above and by keeping the inbound DNAT return path on the firewall session; and route-table sprawl, avoided by using service tags rather than long lists of individual IP routes. With those in place, Chaucer keeps its existing Palo Alto as the single inspection and egress-control point for all of APIM's data-plane traffic, while APIM stays healthy on Azure's control plane.</w:t>
      </w:r>
    </w:p>
    <w:p>
      <w:pPr>
        <w:pStyle w:val="Heading3"/>
        <w:spacing w:after="90" w:before="160"/>
      </w:pPr>
      <w:r>
        <w:rPr>
          <w:rFonts w:ascii="Noe Text Regular" w:cs="Noe Text Regular" w:eastAsia="Noe Text Regular" w:hAnsi="Noe Text Regular"/>
        </w:rPr>
        <w:t xml:space="preserve">Subnet sizing (to confirm against the landing zone)</w:t>
      </w:r>
    </w:p>
    <w:p>
      <w:pPr>
        <w:spacing w:after="140"/>
      </w:pPr>
      <w:r>
        <w:rPr>
          <w:rFonts w:ascii="Noe Text" w:cs="Noe Text" w:eastAsia="Noe Text" w:hAnsi="Noe Text"/>
          <w:b w:val="false"/>
          <w:bCs w:val="false"/>
          <w:i w:val="false"/>
          <w:iCs w:val="false"/>
          <w:color w:val="333333"/>
          <w:sz w:val="21"/>
          <w:szCs w:val="21"/>
        </w:rPr>
        <w:t xml:space="preserve">Sizing the APIM delegated subnet and its neighbours correctly the first time avoids a disruptive resize later, since an Azure subnet cannot easily be shrunk or re-carved once resources are deployed into it. The figures below are starting points for detailed design, not a final IP plan; the actual VNet address space must come from Chaucer’s IPAM and hub-spoke allocation.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100"/>
      </w:tblGrid>
      <w:tr>
        <w:trPr>
          <w:tblHeader/>
        </w:trPr>
        <w:tc>
          <w:tcPr>
            <w:tcW w:type="dxa" w:w="33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Subnet</w:t>
            </w:r>
          </w:p>
        </w:tc>
        <w:tc>
          <w:tcPr>
            <w:tcW w:type="dxa" w:w="29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Minimum size</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Why</w:t>
            </w:r>
          </w:p>
        </w:tc>
      </w:tr>
      <w:tr>
        <w:trPr>
          <w:tblHeader w:val="false"/>
        </w:trPr>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 delegated subnet (classic Premium, VNet injection)</w:t>
            </w:r>
          </w:p>
        </w:tc>
        <w:tc>
          <w:tcPr>
            <w:tcW w:type="dxa" w:w="29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/27 (32 addresses) per region as an absolute floor; /26 recommended</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Classic Premium reserves a block of addresses per scale unit and for platform use; a /27 leaves little headroom for adding units, so /26 is the safer planning default</w:t>
            </w:r>
          </w:p>
        </w:tc>
      </w:tr>
      <w:tr>
        <w:trPr>
          <w:tblHeader w:val="false"/>
        </w:trPr>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Application Gateway subnet (if Option A/C is used)</w:t>
            </w:r>
          </w:p>
        </w:tc>
        <w:tc>
          <w:tcPr>
            <w:tcW w:type="dxa" w:w="29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/26 recommended, /27 minimum</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Autoscaling instances each consume an address; undersizing blocks scale-out under load</w:t>
            </w:r>
          </w:p>
        </w:tc>
      </w:tr>
      <w:tr>
        <w:trPr>
          <w:tblHeader w:val="false"/>
        </w:trPr>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Palo Alto internal load balancer / hub subnet</w:t>
            </w:r>
          </w:p>
        </w:tc>
        <w:tc>
          <w:tcPr>
            <w:tcW w:type="dxa" w:w="29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Per Chaucer’s existing hub design</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Owned by the network team; not part of this HLD’s sizing, referenced here for completeness</w:t>
            </w:r>
          </w:p>
        </w:tc>
      </w:tr>
      <w:tr>
        <w:trPr>
          <w:tblHeader w:val="false"/>
        </w:trPr>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Private Endpoint subnet(s) for backends</w:t>
            </w:r>
          </w:p>
        </w:tc>
        <w:tc>
          <w:tcPr>
            <w:tcW w:type="dxa" w:w="29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/27 per subnet is usually sufficient</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One address per Private Endpoint; size to the number of backend services expected, with headroom</w:t>
            </w:r>
          </w:p>
        </w:tc>
      </w:tr>
    </w:tbl>
    <w:p>
      <w:pPr>
        <w:spacing w:after="140"/>
      </w:pPr>
      <w:r>
        <w:rPr>
          <w:rFonts w:ascii="Noe Text" w:cs="Noe Text" w:eastAsia="Noe Text" w:hAnsi="Noe Text"/>
          <w:b w:val="false"/>
          <w:bCs w:val="false"/>
          <w:i/>
          <w:iCs/>
          <w:color w:val="333333"/>
          <w:sz w:val="21"/>
          <w:szCs w:val="21"/>
        </w:rPr>
        <w:t xml:space="preserve">This is flagged as an open item because it depends on facts this HLD does not have: the actual hub-spoke address plan, whether Chaucer reserves address space per environment or per region, and how many scale units Production is expected to reach. It should be resolved alongside the landing-zone validation already called out as the top item in the assumptions register (section 8.1, A.02 and A.03).</w:t>
      </w:r>
    </w:p>
    <w:p>
      <w:pPr>
        <w:pStyle w:val="Heading3"/>
        <w:spacing w:after="90" w:before="160"/>
      </w:pPr>
      <w:r>
        <w:rPr>
          <w:rFonts w:ascii="Noe Text Regular" w:cs="Noe Text Regular" w:eastAsia="Noe Text Regular" w:hAnsi="Noe Text Regular"/>
        </w:rPr>
        <w:t xml:space="preserve">Required network artefacts and the asymmetric-routing gate</w:t>
      </w:r>
    </w:p>
    <w:p>
      <w:pPr>
        <w:spacing w:after="140"/>
      </w:pPr>
      <w:r>
        <w:rPr>
          <w:rFonts w:ascii="Noe Text" w:cs="Noe Text" w:eastAsia="Noe Text" w:hAnsi="Noe Text"/>
          <w:b w:val="false"/>
          <w:bCs w:val="false"/>
          <w:i w:val="false"/>
          <w:iCs w:val="false"/>
          <w:color w:val="333333"/>
          <w:sz w:val="21"/>
          <w:szCs w:val="21"/>
        </w:rPr>
        <w:t xml:space="preserve">Section 6.4 sets the topology; this checklist is what a network engineer needs to produce the detailed design without re-deriving it. It also names the one failure mode that must be handled explicitly, because getting it wrong silently breaks the platform.</w:t>
      </w:r>
    </w:p>
    <w:p>
      <w:pPr>
        <w:spacing w:after="140"/>
      </w:pPr>
      <w:r>
        <w:rPr>
          <w:rFonts w:ascii="Noe Text" w:cs="Noe Text" w:eastAsia="Noe Text" w:hAnsi="Noe Text"/>
          <w:b w:val="false"/>
          <w:bCs w:val="false"/>
          <w:i w:val="false"/>
          <w:iCs w:val="false"/>
          <w:color w:val="333333"/>
          <w:sz w:val="21"/>
          <w:szCs w:val="21"/>
        </w:rPr>
        <w:t xml:space="preserve">The non-negotiable gate: the APIM control-plane bypass. When APIM is injected into a VNet and outbound traffic is force-tunnelled through the Palo Alto, the return path for Azure’s own management traffic to the APIM management endpoint (port 3443) no longer maps back symmetrically. This asymmetric routing drops the management connection and, left unaddressed, breaks configuration, scaling and health of the instance. The documented fix is mandatory: a user-defined route for the ApiManagement service tag with next hop set to Internet, which steers that control-plane return traffic straight back to Azure rather than through the firewall. Microsoft is explicit that allowing this management traffic to bypass the NVA is not a meaningful security risk. This UDR is a required build artefact, not an optimisation, and should be treated as a design gate that TDA checks for.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5300"/>
        <w:gridCol w:w="1700"/>
      </w:tblGrid>
      <w:tr>
        <w:trPr>
          <w:tblHeader/>
        </w:trPr>
        <w:tc>
          <w:tcPr>
            <w:tcW w:type="dxa" w:w="23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Network artefact</w:t>
            </w:r>
          </w:p>
        </w:tc>
        <w:tc>
          <w:tcPr>
            <w:tcW w:type="dxa" w:w="53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Requirement</w:t>
            </w:r>
          </w:p>
        </w:tc>
        <w:tc>
          <w:tcPr>
            <w:tcW w:type="dxa" w:w="17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Owner</w:t>
            </w:r>
          </w:p>
        </w:tc>
      </w:tr>
      <w:tr>
        <w:tc>
          <w:tcPr>
            <w:tcW w:type="dxa" w:w="2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UDR — control-plane bypass</w:t>
            </w:r>
          </w:p>
        </w:tc>
        <w:tc>
          <w:tcPr>
            <w:tcW w:type="dxa" w:w="5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Route for ApiManagement service tag, next hop = Internet (MANDATORY — prevents the asymmetric-routing failure above)</w:t>
            </w:r>
          </w:p>
        </w:tc>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Network</w:t>
            </w:r>
          </w:p>
        </w:tc>
      </w:tr>
      <w:tr>
        <w:tc>
          <w:tcPr>
            <w:tcW w:type="dxa" w:w="2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UDR — egress</w:t>
            </w:r>
          </w:p>
        </w:tc>
        <w:tc>
          <w:tcPr>
            <w:tcW w:type="dxa" w:w="5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Default route 0.0.0.0/0 → Palo Alto for outbound inspection and URL filtering</w:t>
            </w:r>
          </w:p>
        </w:tc>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Network</w:t>
            </w:r>
          </w:p>
        </w:tc>
      </w:tr>
      <w:tr>
        <w:tc>
          <w:tcPr>
            <w:tcW w:type="dxa" w:w="2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UDR — east-west (optional)</w:t>
            </w:r>
          </w:p>
        </w:tc>
        <w:tc>
          <w:tcPr>
            <w:tcW w:type="dxa" w:w="5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/32 route to the firewall only if policy requires PE traffic to be inspected; otherwise Private Endpoint + NSG is the default and east-west does not traverse the NVA</w:t>
            </w:r>
          </w:p>
        </w:tc>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Network + Security</w:t>
            </w:r>
          </w:p>
        </w:tc>
      </w:tr>
      <w:tr>
        <w:tc>
          <w:tcPr>
            <w:tcW w:type="dxa" w:w="2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NSG — management</w:t>
            </w:r>
          </w:p>
        </w:tc>
        <w:tc>
          <w:tcPr>
            <w:tcW w:type="dxa" w:w="5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Allow inbound TCP 3443 from the ApiManagement service tag only (use the service tag, not hard-coded IPs, which change)</w:t>
            </w:r>
          </w:p>
        </w:tc>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Network</w:t>
            </w:r>
          </w:p>
        </w:tc>
      </w:tr>
      <w:tr>
        <w:tc>
          <w:tcPr>
            <w:tcW w:type="dxa" w:w="2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NSG — gateway</w:t>
            </w:r>
          </w:p>
        </w:tc>
        <w:tc>
          <w:tcPr>
            <w:tcW w:type="dxa" w:w="5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Allow 443 from permitted sources only (Front Door Private Link subnet under Model A, or internal ranges); deny the Internet service tag</w:t>
            </w:r>
          </w:p>
        </w:tc>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Network</w:t>
            </w:r>
          </w:p>
        </w:tc>
      </w:tr>
      <w:tr>
        <w:tc>
          <w:tcPr>
            <w:tcW w:type="dxa" w:w="2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NSG — load balancer</w:t>
            </w:r>
          </w:p>
        </w:tc>
        <w:tc>
          <w:tcPr>
            <w:tcW w:type="dxa" w:w="5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Allow inbound from the AzureLoadBalancer service tag</w:t>
            </w:r>
          </w:p>
        </w:tc>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Network</w:t>
            </w:r>
          </w:p>
        </w:tc>
      </w:tr>
      <w:tr>
        <w:tc>
          <w:tcPr>
            <w:tcW w:type="dxa" w:w="2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DNAT (Model B only)</w:t>
            </w:r>
          </w:p>
        </w:tc>
        <w:tc>
          <w:tcPr>
            <w:tcW w:type="dxa" w:w="5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Palo Alto public VIP → APIM internal gateway private VIP, locked to Front Door service tags + X-Azure-FDID</w:t>
            </w:r>
          </w:p>
        </w:tc>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Network</w:t>
            </w:r>
          </w:p>
        </w:tc>
      </w:tr>
      <w:tr>
        <w:tc>
          <w:tcPr>
            <w:tcW w:type="dxa" w:w="2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Private DNS</w:t>
            </w:r>
          </w:p>
        </w:tc>
        <w:tc>
          <w:tcPr>
            <w:tcW w:type="dxa" w:w="5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Do NOT create a Private DNS zone for azure-api.net. Create explicit A records mapping each APIM endpoint FQDN to the private VIP, resolvable from all VNets and on-prem networks that need access</w:t>
            </w:r>
          </w:p>
        </w:tc>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Platform + Network</w:t>
            </w:r>
          </w:p>
        </w:tc>
      </w:tr>
      <w:tr>
        <w:tc>
          <w:tcPr>
            <w:tcW w:type="dxa" w:w="2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Backend DNS resolution</w:t>
            </w:r>
          </w:p>
        </w:tc>
        <w:tc>
          <w:tcPr>
            <w:tcW w:type="dxa" w:w="5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Azure Private DNS Resolver with forwarding rulesets for APIM-to-on-prem backend name resolution</w:t>
            </w:r>
          </w:p>
        </w:tc>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Network</w:t>
            </w:r>
          </w:p>
        </w:tc>
      </w:tr>
      <w:tr>
        <w:tc>
          <w:tcPr>
            <w:tcW w:type="dxa" w:w="2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ExpressRoute / VPN return-path symmetry</w:t>
            </w:r>
          </w:p>
        </w:tc>
        <w:tc>
          <w:tcPr>
            <w:tcW w:type="dxa" w:w="5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Ensure symmetric routing for on-prem consumers reaching the internal VIP — UDRs and firewall rules must be consistent on both the Azure and on-prem sides so return traffic follows the forward path</w:t>
            </w:r>
          </w:p>
        </w:tc>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Network</w:t>
            </w:r>
          </w:p>
        </w:tc>
      </w:tr>
    </w:tbl>
    <w:p>
      <w:pPr>
        <w:spacing w:after="140"/>
      </w:pPr>
      <w:r>
        <w:rPr>
          <w:rFonts w:ascii="Noe Text" w:cs="Noe Text" w:eastAsia="Noe Text" w:hAnsi="Noe Text"/>
          <w:b w:val="false"/>
          <w:bCs w:val="false"/>
          <w:i w:val="false"/>
          <w:iCs w:val="false"/>
          <w:color w:val="333333"/>
          <w:sz w:val="21"/>
          <w:szCs w:val="21"/>
        </w:rPr>
        <w:t xml:space="preserve">IP plan (placeholder for the network team). Subnet sizing must be validated against Chaucer’s IPAM and expected scale. As a planning rule, one Premium unit in internal mode consumes about three subnet IPs (one private VIP plus one per gateway VM), and each additional scale unit consumes more, so the subnet must leave headroom for the maximum unit count the region will ever run; backends should allow-list the whole APIM subnet rather than individual instance IPs, which change on scale-out. A dedicated /26 per region is the recommended default, to be confirmed below.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1600"/>
        <w:gridCol w:w="2000"/>
      </w:tblGrid>
      <w:tr>
        <w:trPr>
          <w:tblHeader/>
        </w:trPr>
        <w:tc>
          <w:tcPr>
            <w:tcW w:type="dxa" w:w="25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Subnet (indicative name)</w:t>
            </w:r>
          </w:p>
        </w:tc>
        <w:tc>
          <w:tcPr>
            <w:tcW w:type="dxa" w:w="32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Purpose</w:t>
            </w:r>
          </w:p>
        </w:tc>
        <w:tc>
          <w:tcPr>
            <w:tcW w:type="dxa" w:w="16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Suggested size</w:t>
            </w:r>
          </w:p>
        </w:tc>
        <w:tc>
          <w:tcPr>
            <w:tcW w:type="dxa" w:w="20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Address range</w:t>
            </w:r>
          </w:p>
        </w:tc>
      </w:tr>
      <w:tr>
        <w:tc>
          <w:tcPr>
            <w:tcW w:type="dxa" w:w="2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snet-apim-prod-uksouth</w:t>
            </w:r>
          </w:p>
        </w:tc>
        <w:tc>
          <w:tcPr>
            <w:tcW w:type="dxa" w:w="3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APIM injection (internal mode), UK South</w:t>
            </w:r>
          </w:p>
        </w:tc>
        <w:tc>
          <w:tcPr>
            <w:tcW w:type="dxa" w:w="1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/26 (default)</w:t>
            </w:r>
          </w:p>
        </w:tc>
        <w:tc>
          <w:tcPr>
            <w:tcW w:type="dxa" w:w="2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To confirm vs IPAM</w:t>
            </w:r>
          </w:p>
        </w:tc>
      </w:tr>
      <w:tr>
        <w:tc>
          <w:tcPr>
            <w:tcW w:type="dxa" w:w="2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snet-apim-prod-ukwest</w:t>
            </w:r>
          </w:p>
        </w:tc>
        <w:tc>
          <w:tcPr>
            <w:tcW w:type="dxa" w:w="3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APIM injection (internal mode), UK West</w:t>
            </w:r>
          </w:p>
        </w:tc>
        <w:tc>
          <w:tcPr>
            <w:tcW w:type="dxa" w:w="1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/26 (default)</w:t>
            </w:r>
          </w:p>
        </w:tc>
        <w:tc>
          <w:tcPr>
            <w:tcW w:type="dxa" w:w="2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To confirm vs IPAM</w:t>
            </w:r>
          </w:p>
        </w:tc>
      </w:tr>
      <w:tr>
        <w:tc>
          <w:tcPr>
            <w:tcW w:type="dxa" w:w="2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snet-pe-backends-*</w:t>
            </w:r>
          </w:p>
        </w:tc>
        <w:tc>
          <w:tcPr>
            <w:tcW w:type="dxa" w:w="3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Private Endpoints for Logic Apps / Functions / Service Bus</w:t>
            </w:r>
          </w:p>
        </w:tc>
        <w:tc>
          <w:tcPr>
            <w:tcW w:type="dxa" w:w="1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/26</w:t>
            </w:r>
          </w:p>
        </w:tc>
        <w:tc>
          <w:tcPr>
            <w:tcW w:type="dxa" w:w="2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To confirm vs IPAM</w:t>
            </w:r>
          </w:p>
        </w:tc>
      </w:tr>
      <w:tr>
        <w:tc>
          <w:tcPr>
            <w:tcW w:type="dxa" w:w="2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snet-frontdoor-pl-*</w:t>
            </w:r>
          </w:p>
        </w:tc>
        <w:tc>
          <w:tcPr>
            <w:tcW w:type="dxa" w:w="3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Front Door Private Link (Model A)</w:t>
            </w:r>
          </w:p>
        </w:tc>
        <w:tc>
          <w:tcPr>
            <w:tcW w:type="dxa" w:w="1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/27</w:t>
            </w:r>
          </w:p>
        </w:tc>
        <w:tc>
          <w:tcPr>
            <w:tcW w:type="dxa" w:w="2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To confirm vs IPAM</w:t>
            </w:r>
          </w:p>
        </w:tc>
      </w:tr>
      <w:tr>
        <w:tc>
          <w:tcPr>
            <w:tcW w:type="dxa" w:w="2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hub firewall subnets</w:t>
            </w:r>
          </w:p>
        </w:tc>
        <w:tc>
          <w:tcPr>
            <w:tcW w:type="dxa" w:w="3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Palo Alto NVA (trust / untrust / mgmt)</w:t>
            </w:r>
          </w:p>
        </w:tc>
        <w:tc>
          <w:tcPr>
            <w:tcW w:type="dxa" w:w="1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Per vendor guidance</w:t>
            </w:r>
          </w:p>
        </w:tc>
        <w:tc>
          <w:tcPr>
            <w:tcW w:type="dxa" w:w="2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Owned by Network</w:t>
            </w:r>
          </w:p>
        </w:tc>
      </w:tr>
    </w:tbl>
    <w:p>
      <w:pPr>
        <w:spacing w:after="60"/>
      </w:pPr>
    </w:p>
    <w:p>
      <w:pPr>
        <w:pStyle w:val="Heading2"/>
        <w:spacing w:after="100" w:before="200"/>
      </w:pPr>
      <w:r>
        <w:rPr>
          <w:rFonts w:ascii="Noe Text Regular" w:cs="Noe Text Regular" w:eastAsia="Noe Text Regular" w:hAnsi="Noe Text Regular"/>
        </w:rPr>
        <w:t xml:space="preserve">6.5 Traffic Management and Edge Security</w:t>
      </w:r>
    </w:p>
    <w:p>
      <w:pPr>
        <w:spacing w:after="140"/>
      </w:pPr>
      <w:r>
        <w:rPr>
          <w:rFonts w:ascii="Noe Text" w:cs="Noe Text" w:eastAsia="Noe Text" w:hAnsi="Noe Text"/>
          <w:b w:val="false"/>
          <w:bCs w:val="false"/>
          <w:i w:val="false"/>
          <w:iCs w:val="false"/>
          <w:color w:val="333333"/>
          <w:sz w:val="21"/>
          <w:szCs w:val="21"/>
        </w:rPr>
        <w:t xml:space="preserve">The edge and global-routing design, including the choice of Azure Front Door over Traffic Manager and the ingress topology options, is set out within the network design in section 6.4 (see the ingress options and the Front Door versus Traffic Manager comparison). In summary: Azure Front Door Premium with WAF provides the global entry point, edge security and automatic multi-region failover for external and partner traffic; the Palo Alto firewall provides network inspection; and APIM runs in internal mode behind them.</w:t>
      </w:r>
    </w:p>
    <w:p>
      <w:pPr>
        <w:pStyle w:val="Heading2"/>
        <w:spacing w:after="100" w:before="200"/>
      </w:pPr>
      <w:r>
        <w:rPr>
          <w:rFonts w:ascii="Noe Text Regular" w:cs="Noe Text Regular" w:eastAsia="Noe Text Regular" w:hAnsi="Noe Text Regular"/>
        </w:rPr>
        <w:t xml:space="preserve">6.6 Authentication and Security Design</w:t>
      </w:r>
    </w:p>
    <w:p>
      <w:pPr>
        <w:spacing w:after="140"/>
      </w:pPr>
      <w:r>
        <w:rPr>
          <w:rFonts w:ascii="Noe Text" w:cs="Noe Text" w:eastAsia="Noe Text" w:hAnsi="Noe Text"/>
          <w:b w:val="false"/>
          <w:bCs w:val="false"/>
          <w:i w:val="false"/>
          <w:iCs w:val="false"/>
          <w:color w:val="333333"/>
          <w:sz w:val="21"/>
          <w:szCs w:val="21"/>
        </w:rPr>
        <w:t xml:space="preserve">Security is the highest priority in this design. It is checked at every hop, never assumed at the backend, and never granted just because a call came from inside Chaucer's network.</w:t>
      </w:r>
    </w:p>
    <w:p>
      <w:pPr>
        <w:pStyle w:val="Heading3"/>
        <w:spacing w:after="90" w:before="160"/>
      </w:pPr>
      <w:r>
        <w:rPr>
          <w:rFonts w:ascii="Noe Text Regular" w:cs="Noe Text Regular" w:eastAsia="Noe Text Regular" w:hAnsi="Noe Text Regular"/>
        </w:rPr>
        <w:t xml:space="preserve">Security architecture: defence in depth at a glance</w:t>
      </w:r>
    </w:p>
    <w:p>
      <w:pPr>
        <w:spacing w:after="140"/>
      </w:pPr>
      <w:r>
        <w:rPr>
          <w:rFonts w:ascii="Noe Text" w:cs="Noe Text" w:eastAsia="Noe Text" w:hAnsi="Noe Text"/>
          <w:b w:val="false"/>
          <w:bCs w:val="false"/>
          <w:i w:val="false"/>
          <w:iCs w:val="false"/>
          <w:color w:val="333333"/>
          <w:sz w:val="21"/>
          <w:szCs w:val="21"/>
        </w:rPr>
        <w:t xml:space="preserve">Before the individual controls, the diagram below sets out the security architecture as a whole: seven layers, each owning a distinct job, that an inbound request passes through before any backend is reached. This is the standard Azure defence-in-depth pattern for a private-mode APIM behind an edge WAF, and it is the frame the rest of this section fills in. No single layer is a substitute for another; the security of the platform is the composition of all seven.</w:t>
      </w:r>
    </w:p>
    <w:p xmlns:a="http://schemas.openxmlformats.org/drawingml/2006/main" xmlns:pic="http://schemas.openxmlformats.org/drawingml/2006/picture">
      <w:pPr>
        <w:spacing w:after="120" w:before="80"/>
        <w:jc w:val="center"/>
      </w:pPr>
      <w:r>
        <w:drawing>
          <wp:inline distT="0" distB="0" distL="0" distR="0">
            <wp:extent cx="4200000" cy="5106755"/>
            <wp:effectExtent t="0" r="0" b="0" l="0"/>
            <wp:docPr id="104"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40" cstate="none"/>
                    <a:srcRect/>
                    <a:stretch>
                      <a:fillRect/>
                    </a:stretch>
                  </pic:blipFill>
                  <pic:spPr bwMode="auto">
                    <a:xfrm>
                      <a:off x="0" y="0"/>
                      <a:ext cx="4200000" cy="5106755"/>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12: Security architecture — seven defence-in-depth layers from transport to secrets</w:t>
      </w:r>
    </w:p>
    <w:p>
      <w:pPr>
        <w:pStyle w:val="Heading3"/>
        <w:spacing w:after="90" w:before="160"/>
      </w:pPr>
      <w:r>
        <w:rPr>
          <w:rFonts w:ascii="Noe Text Regular" w:cs="Noe Text Regular" w:eastAsia="Noe Text Regular" w:hAnsi="Noe Text Regular"/>
        </w:rPr>
        <w:t xml:space="preserve">Security design principles and residual risk</w:t>
      </w:r>
    </w:p>
    <w:p>
      <w:pPr>
        <w:spacing w:after="140"/>
      </w:pPr>
      <w:r>
        <w:rPr>
          <w:rFonts w:ascii="Noe Text" w:cs="Noe Text" w:eastAsia="Noe Text" w:hAnsi="Noe Text"/>
          <w:b w:val="false"/>
          <w:bCs w:val="false"/>
          <w:i w:val="false"/>
          <w:iCs w:val="false"/>
          <w:color w:val="333333"/>
          <w:sz w:val="21"/>
          <w:szCs w:val="21"/>
        </w:rPr>
        <w:t xml:space="preserve">The controls in this section all serve a small set of principles, stated here so a reviewer can see the intent behind them: verify every hop (nothing is trusted because it came from inside the network); defence in depth (no single control is load-bearing); least privilege (consumers, pipelines and admins get the minimum access needed); deny by default and secure by default (APIs are private and authenticated unless a decision is made otherwise); one identity provider (Entra ID for consumers and administrators alike); everything as code (security configuration is reviewed and version-controlled, never hand-set in Production); and secrets never in code (Key Vault-backed named values only).</w:t>
      </w:r>
    </w:p>
    <w:p>
      <w:pPr>
        <w:spacing w:after="140"/>
      </w:pPr>
      <w:r>
        <w:rPr>
          <w:rFonts w:ascii="Noe Text" w:cs="Noe Text" w:eastAsia="Noe Text" w:hAnsi="Noe Text"/>
          <w:b w:val="false"/>
          <w:bCs w:val="false"/>
          <w:i w:val="false"/>
          <w:iCs w:val="false"/>
          <w:color w:val="333333"/>
          <w:sz w:val="21"/>
          <w:szCs w:val="21"/>
        </w:rPr>
        <w:t xml:space="preserve">No design removes all risk. The residual risks below are the ones that remain after the controls, with the compensating measure and the owner who carries them — this is deliberately explicit so nothing is presented as fully solved when it is not.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2600"/>
        <w:gridCol w:w="1500"/>
      </w:tblGrid>
      <w:tr>
        <w:trPr>
          <w:tblHeader/>
        </w:trPr>
        <w:tc>
          <w:tcPr>
            <w:tcW w:type="dxa" w:w="27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Residual risk</w:t>
            </w:r>
          </w:p>
        </w:tc>
        <w:tc>
          <w:tcPr>
            <w:tcW w:type="dxa" w:w="25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Why it remains</w:t>
            </w:r>
          </w:p>
        </w:tc>
        <w:tc>
          <w:tcPr>
            <w:tcW w:type="dxa" w:w="26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Compensating control</w:t>
            </w:r>
          </w:p>
        </w:tc>
        <w:tc>
          <w:tcPr>
            <w:tcW w:type="dxa" w:w="15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Owner</w:t>
            </w:r>
          </w:p>
        </w:tc>
      </w:tr>
      <w:tr>
        <w:tc>
          <w:tcPr>
            <w:tcW w:type="dxa" w:w="2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Backend object-level authorization (BOLA) cannot be enforced at the gateway</w:t>
            </w:r>
          </w:p>
        </w:tc>
        <w:tc>
          <w:tcPr>
            <w:tcW w:type="dxa" w:w="2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APIM validates identity and passes claims, but only the backend knows its own object model</w:t>
            </w:r>
          </w:p>
        </w:tc>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Mandatory backend-authorization standard, code review and contract tests per API</w:t>
            </w:r>
          </w:p>
        </w:tc>
        <w:tc>
          <w:tcPr>
            <w:tcW w:type="dxa" w:w="1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Domain teams</w:t>
            </w:r>
          </w:p>
        </w:tc>
      </w:tr>
      <w:tr>
        <w:tc>
          <w:tcPr>
            <w:tcW w:type="dxa" w:w="2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Non-OAuth exception consumers weaken the single-IdP model</w:t>
            </w:r>
          </w:p>
        </w:tc>
        <w:tc>
          <w:tcPr>
            <w:tcW w:type="dxa" w:w="2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Some partners cannot support OAuth 2.0</w:t>
            </w:r>
          </w:p>
        </w:tc>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mTLS or IP allow-list plus short-lived rotating secret; time-boxed, reviewed exception (below)</w:t>
            </w:r>
          </w:p>
        </w:tc>
        <w:tc>
          <w:tcPr>
            <w:tcW w:type="dxa" w:w="1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Security</w:t>
            </w:r>
          </w:p>
        </w:tc>
      </w:tr>
      <w:tr>
        <w:tc>
          <w:tcPr>
            <w:tcW w:type="dxa" w:w="2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Compliance mapping not yet independently verified</w:t>
            </w:r>
          </w:p>
        </w:tc>
        <w:tc>
          <w:tcPr>
            <w:tcW w:type="dxa" w:w="2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Chaucer control catalogue not cross-checked against this design</w:t>
            </w:r>
          </w:p>
        </w:tc>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Compliance sign-off of the control-to-evidence matrix before go-live</w:t>
            </w:r>
          </w:p>
        </w:tc>
        <w:tc>
          <w:tcPr>
            <w:tcW w:type="dxa" w:w="1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Compliance</w:t>
            </w:r>
          </w:p>
        </w:tc>
      </w:tr>
      <w:tr>
        <w:tc>
          <w:tcPr>
            <w:tcW w:type="dxa" w:w="2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Capacity behaviour under real peak load unproven</w:t>
            </w:r>
          </w:p>
        </w:tc>
        <w:tc>
          <w:tcPr>
            <w:tcW w:type="dxa" w:w="2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Chaucer peak requests-per-second not yet provided</w:t>
            </w:r>
          </w:p>
        </w:tc>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Load test before go-live; capacity-metric autoscale with headroom</w:t>
            </w:r>
          </w:p>
        </w:tc>
        <w:tc>
          <w:tcPr>
            <w:tcW w:type="dxa" w:w="1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Platform</w:t>
            </w:r>
          </w:p>
        </w:tc>
      </w:tr>
      <w:tr>
        <w:tc>
          <w:tcPr>
            <w:tcW w:type="dxa" w:w="2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Single ingress concentrates blast radius</w:t>
            </w:r>
          </w:p>
        </w:tc>
        <w:tc>
          <w:tcPr>
            <w:tcW w:type="dxa" w:w="2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 shared platform is a bigger target than scattered endpoints</w:t>
            </w:r>
          </w:p>
        </w:tc>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Rate limits, workspace isolation, multi-region, WAF/DDoS, break-glass runbook</w:t>
            </w:r>
          </w:p>
        </w:tc>
        <w:tc>
          <w:tcPr>
            <w:tcW w:type="dxa" w:w="1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Platform + Security</w:t>
            </w:r>
          </w:p>
        </w:tc>
      </w:tr>
    </w:tbl>
    <w:p>
      <w:pPr>
        <w:pStyle w:val="Heading3"/>
        <w:spacing w:after="90" w:before="160"/>
      </w:pPr>
      <w:r>
        <w:rPr>
          <w:rFonts w:ascii="Noe Text Regular" w:cs="Noe Text Regular" w:eastAsia="Noe Text Regular" w:hAnsi="Noe Text Regular"/>
        </w:rPr>
        <w:t xml:space="preserve">Threat model: STRIDE and the OWASP API Security Top 10</w:t>
      </w:r>
    </w:p>
    <w:p>
      <w:pPr>
        <w:spacing w:after="140"/>
      </w:pPr>
      <w:r>
        <w:rPr>
          <w:rFonts w:ascii="Noe Text" w:cs="Noe Text" w:eastAsia="Noe Text" w:hAnsi="Noe Text"/>
          <w:b w:val="false"/>
          <w:bCs w:val="false"/>
          <w:i w:val="false"/>
          <w:iCs w:val="false"/>
          <w:color w:val="333333"/>
          <w:sz w:val="21"/>
          <w:szCs w:val="21"/>
        </w:rPr>
        <w:t xml:space="preserve">The design has so far been described control by control; this maps those controls to two recognised frameworks so gaps are visible. The STRIDE view covers platform-level threat categories; the OWASP API Security Top 10 (2023) view covers the API-specific risks Compliance and Security will expect to see addressed. Where a risk can only be closed at the backend, that is stated plainly rather than implied to be handled at the gateway.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00"/>
      </w:tblGrid>
      <w:tr>
        <w:trPr>
          <w:tblHeader/>
        </w:trPr>
        <w:tc>
          <w:tcPr>
            <w:tcW w:type="dxa" w:w="19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STRIDE category</w:t>
            </w:r>
          </w:p>
        </w:tc>
        <w:tc>
          <w:tcPr>
            <w:tcW w:type="dxa" w:w="32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Example threat</w:t>
            </w:r>
          </w:p>
        </w:tc>
        <w:tc>
          <w:tcPr>
            <w:tcW w:type="dxa" w:w="42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How this design addresses it</w:t>
            </w:r>
          </w:p>
        </w:tc>
      </w:tr>
      <w:tr>
        <w:tc>
          <w:tcPr>
            <w:tcW w:type="dxa" w:w="1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Spoofing</w:t>
            </w:r>
          </w:p>
        </w:tc>
        <w:tc>
          <w:tcPr>
            <w:tcW w:type="dxa" w:w="3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 caller impersonates a legitimate consumer</w:t>
            </w:r>
          </w:p>
        </w:tc>
        <w:tc>
          <w:tcPr>
            <w:tcW w:type="dxa" w:w="4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Entra ID OAuth 2.0 + JWT validation at the gateway; single IdP; mTLS/certificate for approved exceptions</w:t>
            </w:r>
          </w:p>
        </w:tc>
      </w:tr>
      <w:tr>
        <w:tc>
          <w:tcPr>
            <w:tcW w:type="dxa" w:w="1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Tampering</w:t>
            </w:r>
          </w:p>
        </w:tc>
        <w:tc>
          <w:tcPr>
            <w:tcW w:type="dxa" w:w="3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Request or response altered in transit</w:t>
            </w:r>
          </w:p>
        </w:tc>
        <w:tc>
          <w:tcPr>
            <w:tcW w:type="dxa" w:w="4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TLS 1.2+ end-to-end; Front Door WAF; request schema validation</w:t>
            </w:r>
          </w:p>
        </w:tc>
      </w:tr>
      <w:tr>
        <w:tc>
          <w:tcPr>
            <w:tcW w:type="dxa" w:w="1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Repudiation</w:t>
            </w:r>
          </w:p>
        </w:tc>
        <w:tc>
          <w:tcPr>
            <w:tcW w:type="dxa" w:w="3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 caller denies an action they performed</w:t>
            </w:r>
          </w:p>
        </w:tc>
        <w:tc>
          <w:tcPr>
            <w:tcW w:type="dxa" w:w="4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Correlation IDs on every request; per-consumer logging to Log Analytics/SIEM; immutable audit trail</w:t>
            </w:r>
          </w:p>
        </w:tc>
      </w:tr>
      <w:tr>
        <w:tc>
          <w:tcPr>
            <w:tcW w:type="dxa" w:w="1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Information disclosure</w:t>
            </w:r>
          </w:p>
        </w:tc>
        <w:tc>
          <w:tcPr>
            <w:tcW w:type="dxa" w:w="3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Sensitive data leaks to an unauthorised party</w:t>
            </w:r>
          </w:p>
        </w:tc>
        <w:tc>
          <w:tcPr>
            <w:tcW w:type="dxa" w:w="4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Least-privilege products/scopes; payload logging off by default with redaction; Private Endpoints; no secrets in policy</w:t>
            </w:r>
          </w:p>
        </w:tc>
      </w:tr>
      <w:tr>
        <w:tc>
          <w:tcPr>
            <w:tcW w:type="dxa" w:w="1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Denial of service</w:t>
            </w:r>
          </w:p>
        </w:tc>
        <w:tc>
          <w:tcPr>
            <w:tcW w:type="dxa" w:w="3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The platform is overwhelmed</w:t>
            </w:r>
          </w:p>
        </w:tc>
        <w:tc>
          <w:tcPr>
            <w:tcW w:type="dxa" w:w="4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Front Door DDoS + WAF; per-subscription rate limits and quotas; capacity-based autoscale</w:t>
            </w:r>
          </w:p>
        </w:tc>
      </w:tr>
      <w:tr>
        <w:tc>
          <w:tcPr>
            <w:tcW w:type="dxa" w:w="1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Elevation of privilege</w:t>
            </w:r>
          </w:p>
        </w:tc>
        <w:tc>
          <w:tcPr>
            <w:tcW w:type="dxa" w:w="3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 caller gains access beyond their grant</w:t>
            </w:r>
          </w:p>
        </w:tc>
        <w:tc>
          <w:tcPr>
            <w:tcW w:type="dxa" w:w="4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Product/group-scoped access and scopes; backend function/object-level checks; RBAC on the control plane; logged break-glass</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1700"/>
      </w:tblGrid>
      <w:tr>
        <w:trPr>
          <w:tblHeader/>
        </w:trPr>
        <w:tc>
          <w:tcPr>
            <w:tcW w:type="dxa" w:w="30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OWASP API risk (2023)</w:t>
            </w:r>
          </w:p>
        </w:tc>
        <w:tc>
          <w:tcPr>
            <w:tcW w:type="dxa" w:w="46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How this design mitigates it</w:t>
            </w:r>
          </w:p>
        </w:tc>
        <w:tc>
          <w:tcPr>
            <w:tcW w:type="dxa" w:w="17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Primary owner</w:t>
            </w:r>
          </w:p>
        </w:tc>
      </w:tr>
      <w:tr>
        <w:tc>
          <w:tcPr>
            <w:tcW w:type="dxa" w:w="3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API1 Broken Object Level Authorization</w:t>
            </w:r>
          </w:p>
        </w:tc>
        <w:tc>
          <w:tcPr>
            <w:tcW w:type="dxa" w:w="4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Backend must authorize each object; APIM forwards validated identity/claims but cannot authorize objects itself</w:t>
            </w:r>
          </w:p>
        </w:tc>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Domain teams</w:t>
            </w:r>
          </w:p>
        </w:tc>
      </w:tr>
      <w:tr>
        <w:tc>
          <w:tcPr>
            <w:tcW w:type="dxa" w:w="3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API2 Broken Authentication</w:t>
            </w:r>
          </w:p>
        </w:tc>
        <w:tc>
          <w:tcPr>
            <w:tcW w:type="dxa" w:w="4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Entra ID OAuth 2.0; JWT signature/issuer/audience/expiry validated at the gateway; no anonymous production APIs</w:t>
            </w:r>
          </w:p>
        </w:tc>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Platform + Identity</w:t>
            </w:r>
          </w:p>
        </w:tc>
      </w:tr>
      <w:tr>
        <w:tc>
          <w:tcPr>
            <w:tcW w:type="dxa" w:w="3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API3 Broken Object Property Level Authorization</w:t>
            </w:r>
          </w:p>
        </w:tc>
        <w:tc>
          <w:tcPr>
            <w:tcW w:type="dxa" w:w="4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Response field filtering/schema validation in policy where applicable; backend enforces property-level access</w:t>
            </w:r>
          </w:p>
        </w:tc>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Domain teams</w:t>
            </w:r>
          </w:p>
        </w:tc>
      </w:tr>
      <w:tr>
        <w:tc>
          <w:tcPr>
            <w:tcW w:type="dxa" w:w="3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API4 Unrestricted Resource Consumption</w:t>
            </w:r>
          </w:p>
        </w:tc>
        <w:tc>
          <w:tcPr>
            <w:tcW w:type="dxa" w:w="4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Per-subscription rate limit and quota; payload size limits; timeouts; autoscale</w:t>
            </w:r>
          </w:p>
        </w:tc>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Platform</w:t>
            </w:r>
          </w:p>
        </w:tc>
      </w:tr>
      <w:tr>
        <w:tc>
          <w:tcPr>
            <w:tcW w:type="dxa" w:w="3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API5 Broken Function Level Authorization</w:t>
            </w:r>
          </w:p>
        </w:tc>
        <w:tc>
          <w:tcPr>
            <w:tcW w:type="dxa" w:w="4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Product/group scoping and JWT scopes; backend enforces function-level authorization</w:t>
            </w:r>
          </w:p>
        </w:tc>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Platform + Domain</w:t>
            </w:r>
          </w:p>
        </w:tc>
      </w:tr>
      <w:tr>
        <w:tc>
          <w:tcPr>
            <w:tcW w:type="dxa" w:w="3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API6 Unrestricted Access to Sensitive Business Flows</w:t>
            </w:r>
          </w:p>
        </w:tc>
        <w:tc>
          <w:tcPr>
            <w:tcW w:type="dxa" w:w="4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Tighter per-flow rate/quota and Front Door bot protection on sensitive flows</w:t>
            </w:r>
          </w:p>
        </w:tc>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Platform + Domain</w:t>
            </w:r>
          </w:p>
        </w:tc>
      </w:tr>
      <w:tr>
        <w:tc>
          <w:tcPr>
            <w:tcW w:type="dxa" w:w="3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API7 Server-Side Request Forgery</w:t>
            </w:r>
          </w:p>
        </w:tc>
        <w:tc>
          <w:tcPr>
            <w:tcW w:type="dxa" w:w="4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Backend URLs are allow-listed, never user-controlled; egress inspected by the firewall</w:t>
            </w:r>
          </w:p>
        </w:tc>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Domain + Network</w:t>
            </w:r>
          </w:p>
        </w:tc>
      </w:tr>
      <w:tr>
        <w:tc>
          <w:tcPr>
            <w:tcW w:type="dxa" w:w="3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API8 Security Misconfiguration</w:t>
            </w:r>
          </w:p>
        </w:tc>
        <w:tc>
          <w:tcPr>
            <w:tcW w:type="dxa" w:w="4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Everything-as-code (APIOps); baseline policies; WAF managed rules; no portal edits in Production</w:t>
            </w:r>
          </w:p>
        </w:tc>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Platform</w:t>
            </w:r>
          </w:p>
        </w:tc>
      </w:tr>
      <w:tr>
        <w:tc>
          <w:tcPr>
            <w:tcW w:type="dxa" w:w="3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API9 Improper Inventory Management</w:t>
            </w:r>
          </w:p>
        </w:tc>
        <w:tc>
          <w:tcPr>
            <w:tcW w:type="dxa" w:w="4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Central catalogue and developer portal; lifecycle/audience tagging; versioning + deprecation; single ingress prevents shadow APIs</w:t>
            </w:r>
          </w:p>
        </w:tc>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Platform</w:t>
            </w:r>
          </w:p>
        </w:tc>
      </w:tr>
      <w:tr>
        <w:tc>
          <w:tcPr>
            <w:tcW w:type="dxa" w:w="3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API10 Unsafe Consumption of APIs</w:t>
            </w:r>
          </w:p>
        </w:tc>
        <w:tc>
          <w:tcPr>
            <w:tcW w:type="dxa" w:w="4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Validate, schema-check and time-limit calls to third-party APIs; TLS; circuit-breaking</w:t>
            </w:r>
          </w:p>
        </w:tc>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Domain teams</w:t>
            </w:r>
          </w:p>
        </w:tc>
      </w:tr>
    </w:tbl>
    <w:p>
      <w:pPr>
        <w:pStyle w:val="Heading3"/>
        <w:spacing w:after="90" w:before="160"/>
      </w:pPr>
      <w:r>
        <w:rPr>
          <w:rFonts w:ascii="Noe Text Regular" w:cs="Noe Text Regular" w:eastAsia="Noe Text Regular" w:hAnsi="Noe Text Regular"/>
        </w:rPr>
        <w:t xml:space="preserve">Data classification, payload logging and PII</w:t>
      </w:r>
    </w:p>
    <w:p>
      <w:pPr>
        <w:spacing w:after="140"/>
      </w:pPr>
      <w:r>
        <w:rPr>
          <w:rFonts w:ascii="Noe Text" w:cs="Noe Text" w:eastAsia="Noe Text" w:hAnsi="Noe Text"/>
          <w:b w:val="false"/>
          <w:bCs w:val="false"/>
          <w:i w:val="false"/>
          <w:iCs w:val="false"/>
          <w:color w:val="333333"/>
          <w:sz w:val="21"/>
          <w:szCs w:val="21"/>
        </w:rPr>
        <w:t xml:space="preserve">Because the platform carries claims and policy data, how it treats that data in transit and in logs matters as much as who can call it. The position is: classify what flows, do not log message bodies by default, and keep operational metadata free of personal data.</w:t>
      </w:r>
    </w:p>
    <w:p>
      <w:pPr>
        <w:spacing w:after="140"/>
      </w:pPr>
      <w:r>
        <w:rPr>
          <w:rFonts w:ascii="Noe Text" w:cs="Noe Text" w:eastAsia="Noe Text" w:hAnsi="Noe Text"/>
          <w:b w:val="false"/>
          <w:bCs w:val="false"/>
          <w:i w:val="false"/>
          <w:iCs w:val="false"/>
          <w:color w:val="333333"/>
          <w:sz w:val="21"/>
          <w:szCs w:val="21"/>
        </w:rPr>
        <w:t xml:space="preserve">Classification. Traffic is treated by sensitivity tier — public/reference, internal, confidential (personal data), and restricted (special-category or highly sensitive claims data). The tier drives logging, masking and which products may carry it; each API is tagged with its highest data classification at onboarding.</w:t>
      </w:r>
    </w:p>
    <w:p>
      <w:pPr>
        <w:spacing w:after="140"/>
      </w:pPr>
      <w:r>
        <w:rPr>
          <w:rFonts w:ascii="Noe Text" w:cs="Noe Text" w:eastAsia="Noe Text" w:hAnsi="Noe Text"/>
          <w:b w:val="false"/>
          <w:bCs w:val="false"/>
          <w:i w:val="false"/>
          <w:iCs w:val="false"/>
          <w:color w:val="333333"/>
          <w:sz w:val="21"/>
          <w:szCs w:val="21"/>
        </w:rPr>
        <w:t xml:space="preserve">Payload logging and redaction. Request and response bodies are not logged by default. Where a body must be captured for diagnostics, sensitive fields are masked in policy before the entry is written, and verbose payload logging is time-boxed and never left on in Production. Headers that can carry tokens or secrets (Authorization, subscription keys) are excluded from logs.</w:t>
      </w:r>
    </w:p>
    <w:p>
      <w:pPr>
        <w:spacing w:after="140"/>
      </w:pPr>
      <w:r>
        <w:rPr>
          <w:rFonts w:ascii="Noe Text" w:cs="Noe Text" w:eastAsia="Noe Text" w:hAnsi="Noe Text"/>
          <w:b w:val="false"/>
          <w:bCs w:val="false"/>
          <w:i w:val="false"/>
          <w:iCs w:val="false"/>
          <w:color w:val="333333"/>
          <w:sz w:val="21"/>
          <w:szCs w:val="21"/>
        </w:rPr>
        <w:t xml:space="preserve">Correlation IDs and retention. Correlation IDs are opaque identifiers and must not embed personal data (no email, policy or customer numbers). Logs and traces are retained for a defined period aligned to Chaucer’s policy and UK GDPR data-minimisation — long enough for investigation and audit, no longer — with the exact retention confirmed with Compliance and recorded against the observability design (6.10).</w:t>
      </w:r>
    </w:p>
    <w:p>
      <w:pPr>
        <w:pStyle w:val="Heading3"/>
        <w:spacing w:after="90" w:before="160"/>
      </w:pPr>
      <w:r>
        <w:rPr>
          <w:rFonts w:ascii="Noe Text Regular" w:cs="Noe Text Regular" w:eastAsia="Noe Text Regular" w:hAnsi="Noe Text Regular"/>
        </w:rPr>
        <w:t xml:space="preserve">Exception process for non-OAuth consumers</w:t>
      </w:r>
    </w:p>
    <w:p>
      <w:pPr>
        <w:spacing w:after="140"/>
      </w:pPr>
      <w:r>
        <w:rPr>
          <w:rFonts w:ascii="Noe Text" w:cs="Noe Text" w:eastAsia="Noe Text" w:hAnsi="Noe Text"/>
          <w:b w:val="false"/>
          <w:bCs w:val="false"/>
          <w:i w:val="false"/>
          <w:iCs w:val="false"/>
          <w:color w:val="333333"/>
          <w:sz w:val="21"/>
          <w:szCs w:val="21"/>
        </w:rPr>
        <w:t xml:space="preserve">OAuth 2.0 with Entra ID is the default and the expectation. Where a partner genuinely cannot support it, an exception is allowed but governed — the point of the process is that exceptions are deliberate, compensated, time-boxed and reviewed, not permanent quiet workarounds.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Aspect</w:t>
            </w:r>
          </w:p>
        </w:tc>
        <w:tc>
          <w:tcPr>
            <w:tcW w:type="dxa" w:w="67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Requirement</w:t>
            </w:r>
          </w:p>
        </w:tc>
      </w:tr>
      <w:tr>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Who approves</w:t>
            </w:r>
          </w:p>
        </w:tc>
        <w:tc>
          <w:tcPr>
            <w:tcW w:type="dxa" w:w="6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Joint approval by the Security lead and the API Platform lead — not the requesting team alone</w:t>
            </w:r>
          </w:p>
        </w:tc>
      </w:tr>
      <w:tr>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Compensating controls required</w:t>
            </w:r>
          </w:p>
        </w:tc>
        <w:tc>
          <w:tcPr>
            <w:tcW w:type="dxa" w:w="6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mTLS or a strict IP allow-list, plus a short-lived secret with enforced rotation; least-privilege product scope</w:t>
            </w:r>
          </w:p>
        </w:tc>
      </w:tr>
      <w:tr>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Maximum validity</w:t>
            </w:r>
          </w:p>
        </w:tc>
        <w:tc>
          <w:tcPr>
            <w:tcW w:type="dxa" w:w="6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Time-boxed (recommended 12 months) — an exception expires and must be re-approved, it does not roll over silently</w:t>
            </w:r>
          </w:p>
        </w:tc>
      </w:tr>
      <w:tr>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Review cadence</w:t>
            </w:r>
          </w:p>
        </w:tc>
        <w:tc>
          <w:tcPr>
            <w:tcW w:type="dxa" w:w="6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Reviewed at least quarterly against continued need and the partner’s ability to move to OAuth</w:t>
            </w:r>
          </w:p>
        </w:tc>
      </w:tr>
      <w:tr>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Record</w:t>
            </w:r>
          </w:p>
        </w:tc>
        <w:tc>
          <w:tcPr>
            <w:tcW w:type="dxa" w:w="6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Logged in a standing exception register with owner, justification, controls, approval date and expiry; referenced in the assumptions register (A.04)</w:t>
            </w:r>
          </w:p>
        </w:tc>
      </w:tr>
      <w:tr>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Exit</w:t>
            </w:r>
          </w:p>
        </w:tc>
        <w:tc>
          <w:tcPr>
            <w:tcW w:type="dxa" w:w="6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Each exception carries a target date and named owner for moving the consumer onto OAuth</w:t>
            </w:r>
          </w:p>
        </w:tc>
      </w:tr>
    </w:tbl>
    <w:p>
      <w:pPr>
        <w:spacing w:after="60"/>
      </w:pPr>
    </w:p>
    <w:p>
      <w:pPr>
        <w:spacing w:after="140"/>
      </w:pPr>
      <w:r>
        <w:rPr>
          <w:rFonts w:ascii="Noe Text" w:cs="Noe Text" w:eastAsia="Noe Text" w:hAnsi="Noe Text"/>
          <w:b w:val="false"/>
          <w:bCs w:val="false"/>
          <w:i w:val="false"/>
          <w:iCs w:val="false"/>
          <w:color w:val="333333"/>
          <w:sz w:val="21"/>
          <w:szCs w:val="21"/>
        </w:rPr>
        <w:t xml:space="preserve">The diagram below adapts Microsoft's Protect APIs with Application Gateway and API Management reference architecture, showing how external and internal traffic are split at the edge before either ever reaches APIM.</w:t>
      </w:r>
    </w:p>
    <w:p>
      <w:pPr>
        <w:spacing w:after="120" w:before="80"/>
        <w:jc w:val="center"/>
      </w:pPr>
      <w:r>
        <w:drawing>
          <wp:inline distT="0" distB="0" distL="0" distR="0">
            <wp:extent cx="54864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809625"/>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13: Edge routing pattern, adapted from Microsoft's Protect APIs with Application Gateway and API Management reference architecture</w:t>
      </w:r>
    </w:p>
    <w:p>
      <w:pPr>
        <w:pStyle w:val="Heading3"/>
        <w:spacing w:after="90" w:before="160"/>
      </w:pPr>
      <w:r>
        <w:rPr>
          <w:rFonts w:ascii="Noe Text Regular" w:cs="Noe Text Regular" w:eastAsia="Noe Text Regular" w:hAnsi="Noe Text Regular"/>
        </w:rPr>
        <w:t xml:space="preserve">How each consumer type proves who they are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Consumer</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How they authenticate</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Backup control</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Broker or partner</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OAuth 2.0 token from Entra ID, validated on every call</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Subscription key, IP allow-list where fixed egress IPs exist</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Lloyd's market system</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OAuth 2.0, with mutual TLS where the market requires certificate-based trust</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Subscription key</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Internal Chaucer system</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Managed Identity, no secret ever stored or typed</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Entra ID conditional access on the calling service</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Inbound webhook from a vendor</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Shared secret header, checked against Key Vault</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IP allow-list restricting the source range</w:t>
            </w:r>
          </w:p>
        </w:tc>
      </w:tr>
    </w:tbl>
    <w:p>
      <w:pPr>
        <w:spacing w:after="140"/>
      </w:pPr>
      <w:r>
        <w:rPr>
          <w:rFonts w:ascii="Noe Text" w:cs="Noe Text" w:eastAsia="Noe Text" w:hAnsi="Noe Text"/>
          <w:b w:val="false"/>
          <w:bCs w:val="false"/>
          <w:i w:val="false"/>
          <w:iCs w:val="false"/>
          <w:color w:val="333333"/>
          <w:sz w:val="2"/>
          <w:szCs w:val="2"/>
        </w:rPr>
        <w:t xml:space="preserve"/>
      </w:r>
    </w:p>
    <w:p>
      <w:pPr>
        <w:pStyle w:val="Heading3"/>
        <w:spacing w:after="90" w:before="160"/>
      </w:pPr>
      <w:r>
        <w:rPr>
          <w:rFonts w:ascii="Noe Text Regular" w:cs="Noe Text Regular" w:eastAsia="Noe Text Regular" w:hAnsi="Noe Text Regular"/>
        </w:rPr>
        <w:t xml:space="preserve">OAuth 2.0 flow at the gateway</w:t>
      </w:r>
    </w:p>
    <w:p>
      <w:pPr>
        <w:spacing w:after="140"/>
      </w:pPr>
      <w:r>
        <w:rPr>
          <w:rFonts w:ascii="Noe Text" w:cs="Noe Text" w:eastAsia="Noe Text" w:hAnsi="Noe Text"/>
          <w:b w:val="false"/>
          <w:bCs w:val="false"/>
          <w:i w:val="false"/>
          <w:iCs w:val="false"/>
          <w:color w:val="333333"/>
          <w:sz w:val="21"/>
          <w:szCs w:val="21"/>
        </w:rPr>
        <w:t xml:space="preserve">Client credentials and authorization code flows are both enforced at the gateway using tokens issued by Entra ID. The backend never sees or validates a raw credential, only a pre-verified, policy-enforced token.</w:t>
      </w:r>
    </w:p>
    <w:p>
      <w:pPr>
        <w:spacing w:after="120" w:before="80"/>
        <w:jc w:val="center"/>
      </w:pPr>
      <w:r>
        <w:drawing>
          <wp:inline distT="0" distB="0" distL="0" distR="0">
            <wp:extent cx="54864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1123950"/>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14: OAuth 2.0 architecture</w:t>
      </w:r>
    </w:p>
    <w:p>
      <w:pPr>
        <w:pStyle w:val="Heading3"/>
        <w:spacing w:after="90" w:before="160"/>
      </w:pPr>
      <w:r>
        <w:rPr>
          <w:rFonts w:ascii="Noe Text Regular" w:cs="Noe Text Regular" w:eastAsia="Noe Text Regular" w:hAnsi="Noe Text Regular"/>
        </w:rPr>
        <w:t xml:space="preserve">JWT validation at the gateway</w:t>
      </w:r>
    </w:p>
    <w:p>
      <w:pPr>
        <w:spacing w:after="140"/>
      </w:pPr>
      <w:r>
        <w:rPr>
          <w:rFonts w:ascii="Noe Text" w:cs="Noe Text" w:eastAsia="Noe Text" w:hAnsi="Noe Text"/>
          <w:b w:val="false"/>
          <w:bCs w:val="false"/>
          <w:i w:val="false"/>
          <w:iCs w:val="false"/>
          <w:color w:val="333333"/>
          <w:sz w:val="21"/>
          <w:szCs w:val="21"/>
        </w:rPr>
        <w:t xml:space="preserve">Every request is checked against four things before it is allowed through: signature, issuer and audience, expiry, and required claims or scopes. A failure on any of them is rejected with a 401 at the gateway; it never reaches the backend.</w:t>
      </w:r>
    </w:p>
    <w:p>
      <w:pPr>
        <w:spacing w:after="120" w:before="80"/>
        <w:jc w:val="center"/>
      </w:pPr>
      <w:r>
        <w:drawing>
          <wp:inline distT="0" distB="0" distL="0" distR="0">
            <wp:extent cx="54864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2314575"/>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15: JWT validation architecture</w:t>
      </w:r>
    </w:p>
    <w:p>
      <w:pPr>
        <w:pStyle w:val="Heading3"/>
        <w:spacing w:after="90" w:before="160"/>
      </w:pPr>
      <w:r>
        <w:rPr>
          <w:rFonts w:ascii="Noe Text Regular" w:cs="Noe Text Regular" w:eastAsia="Noe Text Regular" w:hAnsi="Noe Text Regular"/>
        </w:rPr>
        <w:t xml:space="preserve">Entra ID as the single identity provider</w:t>
      </w:r>
    </w:p>
    <w:p>
      <w:pPr>
        <w:spacing w:after="140"/>
      </w:pPr>
      <w:r>
        <w:rPr>
          <w:rFonts w:ascii="Noe Text" w:cs="Noe Text" w:eastAsia="Noe Text" w:hAnsi="Noe Text"/>
          <w:b w:val="false"/>
          <w:bCs w:val="false"/>
          <w:i w:val="false"/>
          <w:iCs w:val="false"/>
          <w:color w:val="333333"/>
          <w:sz w:val="21"/>
          <w:szCs w:val="21"/>
        </w:rPr>
        <w:t xml:space="preserve">The same identity provider covers both API consumers and platform administrators, so there is one place, not two, where identity is managed.</w:t>
      </w:r>
    </w:p>
    <w:p>
      <w:pPr>
        <w:spacing w:after="120" w:before="80"/>
        <w:jc w:val="center"/>
      </w:pPr>
      <w:r>
        <w:drawing>
          <wp:inline distT="0" distB="0" distL="0" distR="0">
            <wp:extent cx="54864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1628775"/>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16: APIM and Entra ID integration</w:t>
      </w:r>
    </w:p>
    <w:p>
      <w:pPr>
        <w:pStyle w:val="Heading3"/>
        <w:spacing w:after="90" w:before="160"/>
      </w:pPr>
      <w:r>
        <w:rPr>
          <w:rFonts w:ascii="Noe Text Regular" w:cs="Noe Text Regular" w:eastAsia="Noe Text Regular" w:hAnsi="Noe Text Regular"/>
        </w:rPr>
        <w:t xml:space="preserve">Secrets and certificate management</w:t>
      </w:r>
    </w:p>
    <w:p>
      <w:pPr>
        <w:spacing w:after="140"/>
      </w:pPr>
      <w:r>
        <w:rPr>
          <w:rFonts w:ascii="Noe Text" w:cs="Noe Text" w:eastAsia="Noe Text" w:hAnsi="Noe Text"/>
          <w:b w:val="false"/>
          <w:bCs w:val="false"/>
          <w:i w:val="false"/>
          <w:iCs w:val="false"/>
          <w:color w:val="333333"/>
          <w:sz w:val="21"/>
          <w:szCs w:val="21"/>
        </w:rPr>
        <w:t xml:space="preserve">Azure Key Vault is the single source of truth for every secret, certificate, and key APIM depends on. Certificates rotate automatically; nothing sensitive is ever written into a policy file.</w:t>
      </w:r>
    </w:p>
    <w:p>
      <w:pPr>
        <w:spacing w:after="120" w:before="80"/>
        <w:jc w:val="center"/>
      </w:pPr>
      <w:r>
        <w:drawing>
          <wp:inline distT="0" distB="0" distL="0" distR="0">
            <wp:extent cx="54864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1628775"/>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17: Secrets and certificates management</w:t>
      </w:r>
    </w:p>
    <w:p>
      <w:pPr>
        <w:pStyle w:val="Heading3"/>
        <w:spacing w:after="90" w:before="160"/>
      </w:pPr>
      <w:r>
        <w:rPr>
          <w:rFonts w:ascii="Noe Text Regular" w:cs="Noe Text Regular" w:eastAsia="Noe Text Regular" w:hAnsi="Noe Text Regular"/>
        </w:rPr>
        <w:t xml:space="preserve">Which control owns what</w:t>
      </w:r>
    </w:p>
    <w:p>
      <w:pPr>
        <w:spacing w:after="140"/>
      </w:pPr>
      <w:r>
        <w:rPr>
          <w:rFonts w:ascii="Noe Text" w:cs="Noe Text" w:eastAsia="Noe Text" w:hAnsi="Noe Text"/>
          <w:b w:val="false"/>
          <w:bCs w:val="false"/>
          <w:i w:val="false"/>
          <w:iCs w:val="false"/>
          <w:color w:val="333333"/>
          <w:sz w:val="21"/>
          <w:szCs w:val="21"/>
        </w:rPr>
        <w:t xml:space="preserve">These controls are layered deliberately, and they are not interchangeable. Each owns a distinct job, and the security of the whole depends on each doing its own rather than being treated as a substitute for another. The table makes the boundaries explicit so no control is assumed to cover a gap it does not.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Control</w:t>
            </w:r>
          </w:p>
        </w:tc>
        <w:tc>
          <w:tcPr>
            <w:tcW w:type="dxa" w:w="465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Primary responsibility</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Microsoft Entra ID</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Identity and authentication</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OAuth 2.0 / JWT</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Authorisation context per request</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 gateway and policy enforcement</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WAF (Front Door / App Gateway)</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HTTP and API-layer attack protection</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Azure DDoS Protection</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Volumetric and network DDoS</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Azure Firewall / NVA</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Network segmentation and egress control</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Private Endpoint</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Private connectivity to backends</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 SIEM</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Detection and investigation</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 policies</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Rate limits, quotas, validation, transformation</w:t>
            </w:r>
          </w:p>
        </w:tc>
      </w:tr>
    </w:tbl>
    <w:p>
      <w:pPr>
        <w:spacing w:after="140"/>
      </w:pPr>
      <w:r>
        <w:rPr>
          <w:rFonts w:ascii="Noe Text" w:cs="Noe Text" w:eastAsia="Noe Text" w:hAnsi="Noe Text"/>
          <w:b w:val="false"/>
          <w:bCs w:val="false"/>
          <w:i w:val="false"/>
          <w:iCs w:val="false"/>
          <w:color w:val="333333"/>
          <w:sz w:val="2"/>
          <w:szCs w:val="2"/>
        </w:rPr>
        <w:t xml:space="preserve"/>
      </w:r>
    </w:p>
    <w:p>
      <w:pPr>
        <w:pStyle w:val="Heading3"/>
        <w:spacing w:after="90" w:before="160"/>
      </w:pPr>
      <w:r>
        <w:rPr>
          <w:rFonts w:ascii="Noe Text Regular" w:cs="Noe Text Regular" w:eastAsia="Noe Text Regular" w:hAnsi="Noe Text Regular"/>
        </w:rPr>
        <w:t xml:space="preserve">Partner and external identity</w:t>
      </w:r>
    </w:p>
    <w:p>
      <w:pPr>
        <w:spacing w:after="140"/>
      </w:pPr>
      <w:r>
        <w:rPr>
          <w:rFonts w:ascii="Noe Text" w:cs="Noe Text" w:eastAsia="Noe Text" w:hAnsi="Noe Text"/>
          <w:b w:val="false"/>
          <w:bCs w:val="false"/>
          <w:i w:val="false"/>
          <w:iCs w:val="false"/>
          <w:color w:val="333333"/>
          <w:sz w:val="21"/>
          <w:szCs w:val="21"/>
        </w:rPr>
        <w:t xml:space="preserve">"External" is not one thing, and the identity model needs to reflect that. Chaucer's external consumers span brokers, Lloyd's ecosystem participants, strategic partners, suppliers and third-party service providers, and these do not all fit a single pattern. The design's default is to represent partner organisations as Microsoft Entra External ID (B2B) identities where they can support it, with per-partner app registrations and subscriptions so access is granted and revoked per organisation. Where a partner cannot use Entra, a brokered or federated identity, or a certificate-based (mTLS) trust, is handled as an approved exception. The open questions this raises, who owns partner onboarding, who registers partner applications, and who rotates and revokes partner credentials, are recorded in the assumptions register (A.04 and the identity items) because they need Chaucer's identity team to confirm rather than the design to presume.</w:t>
      </w:r>
    </w:p>
    <w:p>
      <w:pPr>
        <w:pStyle w:val="Heading3"/>
        <w:spacing w:after="90" w:before="160"/>
      </w:pPr>
      <w:r>
        <w:rPr>
          <w:rFonts w:ascii="Noe Text Regular" w:cs="Noe Text Regular" w:eastAsia="Noe Text Regular" w:hAnsi="Noe Text Regular"/>
        </w:rPr>
        <w:t xml:space="preserve">Identity resilience and break-glass</w:t>
      </w:r>
    </w:p>
    <w:p>
      <w:pPr>
        <w:spacing w:after="140"/>
      </w:pPr>
      <w:r>
        <w:rPr>
          <w:rFonts w:ascii="Noe Text" w:cs="Noe Text" w:eastAsia="Noe Text" w:hAnsi="Noe Text"/>
          <w:b w:val="false"/>
          <w:bCs w:val="false"/>
          <w:i w:val="false"/>
          <w:iCs w:val="false"/>
          <w:color w:val="333333"/>
          <w:sz w:val="21"/>
          <w:szCs w:val="21"/>
        </w:rPr>
        <w:t xml:space="preserve">Because the design leans heavily on Entra ID, it must also say what happens when Entra ID, or normal administrative access, is unavailable. This is a deliberate operational design point, not an afterthought. The platform needs a documented break-glass process: a small number of emergency-access accounts held outside the normal flow, with their use alarmed and audited, so the platform can still be operated during an identity-provider outage without weakening the everyday model. Alongside this, the design must track certificate and secret expiry proactively (the 30-day certificate-expiry alert in section 6.10 is part of this), define partner-credential revocation, and own the application-registration lifecycle. The specifics of Chaucer's break-glass standard need confirming with the identity and security teams; the requirement is stated here so it is not missed.</w:t>
      </w:r>
    </w:p>
    <w:p>
      <w:pPr>
        <w:pStyle w:val="Heading3"/>
        <w:spacing w:after="90" w:before="160"/>
      </w:pPr>
      <w:r>
        <w:rPr>
          <w:rFonts w:ascii="Noe Text Regular" w:cs="Noe Text Regular" w:eastAsia="Noe Text Regular" w:hAnsi="Noe Text Regular"/>
        </w:rPr>
        <w:t xml:space="preserve">Important policy snippets</w:t>
      </w:r>
    </w:p>
    <w:p>
      <w:pPr>
        <w:spacing w:after="140"/>
      </w:pPr>
      <w:r>
        <w:rPr>
          <w:rFonts w:ascii="Noe Text" w:cs="Noe Text" w:eastAsia="Noe Text" w:hAnsi="Noe Text"/>
          <w:b w:val="false"/>
          <w:bCs w:val="false"/>
          <w:i w:val="false"/>
          <w:iCs w:val="false"/>
          <w:color w:val="333333"/>
          <w:sz w:val="21"/>
          <w:szCs w:val="21"/>
        </w:rPr>
        <w:t xml:space="preserve">The standard reusable policy fragments (OAuth/JWT validation, per-subscription rate limit and quota, and managed-identity backend authentication) are held once in Appendix 9.6 and referenced from here rather than repeated. The one fragment kept inline is the non-OAuth exception pattern, because it belongs with the exception process above:</w:t>
      </w:r>
    </w:p>
    <w:p>
      <w:pPr>
        <w:spacing w:after="140"/>
      </w:pPr>
      <w:r>
        <w:rPr>
          <w:rFonts w:ascii="Noe Text" w:cs="Noe Text" w:eastAsia="Noe Text" w:hAnsi="Noe Text"/>
          <w:b w:val="false"/>
          <w:bCs w:val="false"/>
          <w:i w:val="false"/>
          <w:iCs w:val="false"/>
          <w:color w:val="333333"/>
          <w:sz w:val="2"/>
          <w:szCs w:val="2"/>
        </w:rPr>
        <w:t xml:space="preserve"/>
      </w:r>
    </w:p>
    <w:p>
      <w:pPr>
        <w:spacing w:after="140"/>
      </w:pPr>
      <w:r>
        <w:rPr>
          <w:rFonts w:ascii="Noe Text" w:cs="Noe Text" w:eastAsia="Noe Text" w:hAnsi="Noe Text"/>
          <w:b w:val="false"/>
          <w:bCs w:val="false"/>
          <w:i w:val="false"/>
          <w:iCs w:val="false"/>
          <w:color w:val="333333"/>
          <w:sz w:val="2"/>
          <w:szCs w:val="2"/>
        </w:rPr>
        <w:t xml:space="preserve"/>
      </w:r>
    </w:p>
    <w:p>
      <w:pPr>
        <w:spacing w:after="140"/>
      </w:pPr>
      <w:r>
        <w:rPr>
          <w:rFonts w:ascii="Noe Text" w:cs="Noe Text" w:eastAsia="Noe Text" w:hAnsi="Noe Text"/>
          <w:b w:val="false"/>
          <w:bCs w:val="false"/>
          <w:i w:val="false"/>
          <w:iCs w:val="false"/>
          <w:color w:val="333333"/>
          <w:sz w:val="2"/>
          <w:szCs w:val="2"/>
        </w:rPr>
        <w:t xml:space="preserve"/>
      </w:r>
    </w:p>
    <w:p>
      <w:pPr>
        <w:spacing w:after="140"/>
      </w:pPr>
      <w:r>
        <w:rPr>
          <w:rFonts w:ascii="Noe Text" w:cs="Noe Text" w:eastAsia="Noe Text" w:hAnsi="Noe Text"/>
          <w:b w:val="false"/>
          <w:bCs w:val="false"/>
          <w:i w:val="false"/>
          <w:iCs w:val="false"/>
          <w:color w:val="333333"/>
          <w:sz w:val="21"/>
          <w:szCs w:val="21"/>
        </w:rPr>
        <w:t xml:space="preserve">Restrict an inbound webhook to a known partner IP range and a shared secret. Note that shared-secret and IP-allowlist authentication is an approved exception pattern, not a peer of OAuth: it is used only where a partner genuinely cannot support anything stronger. The preferred order is OAuth 2.0 where supported, then mutual TLS where appropriate, then a signed HMAC webhook signature, and only then a shared secret plus IP restriction. Wherever the shared-secret pattern is used, the design still requires defined secret rotation, revocation, replay protection, monitoring and a named owner.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rPr>
          <w:tblHeader/>
        </w:trPr>
        <w:tc>
          <w:tcPr>
            <w:tcW w:type="dxa" w:w="93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&lt;inbound&gt;
  &lt;ip-filter action="allow"&gt;
    &lt;address-range from="203.0.113.0" to="203.0.113.255" /&gt;
  &lt;/ip-filter&gt;
  &lt;check-header name="x-api-key" failed-check-httpcode="401"
      failed-check-error-message="Unauthorised: missing API key."&gt;
    &lt;value&gt;{{webhook-api-key}}&lt;/value&gt;
  &lt;/check-header&gt;
&lt;/inbound&gt;</w:t>
            </w:r>
          </w:p>
        </w:tc>
      </w:tr>
    </w:tbl>
    <w:p>
      <w:pPr>
        <w:spacing w:after="140"/>
      </w:pPr>
      <w:r>
        <w:rPr>
          <w:rFonts w:ascii="Noe Text" w:cs="Noe Text" w:eastAsia="Noe Text" w:hAnsi="Noe Text"/>
          <w:b w:val="false"/>
          <w:bCs w:val="false"/>
          <w:i w:val="false"/>
          <w:iCs w:val="false"/>
          <w:color w:val="333333"/>
          <w:sz w:val="2"/>
          <w:szCs w:val="2"/>
        </w:rPr>
        <w:t xml:space="preserve"/>
      </w:r>
    </w:p>
    <w:p>
      <w:pPr>
        <w:pStyle w:val="Heading3"/>
        <w:spacing w:after="90" w:before="160"/>
      </w:pPr>
      <w:r>
        <w:rPr>
          <w:rFonts w:ascii="Noe Text Regular" w:cs="Noe Text Regular" w:eastAsia="Noe Text Regular" w:hAnsi="Noe Text Regular"/>
        </w:rPr>
        <w:t xml:space="preserve">Regulatory and compliance alignment</w:t>
      </w:r>
    </w:p>
    <w:p>
      <w:pPr>
        <w:spacing w:after="140"/>
      </w:pPr>
      <w:r>
        <w:rPr>
          <w:rFonts w:ascii="Noe Text" w:cs="Noe Text" w:eastAsia="Noe Text" w:hAnsi="Noe Text"/>
          <w:b w:val="false"/>
          <w:bCs w:val="false"/>
          <w:i w:val="false"/>
          <w:iCs w:val="false"/>
          <w:color w:val="333333"/>
          <w:sz w:val="21"/>
          <w:szCs w:val="21"/>
        </w:rPr>
        <w:t xml:space="preserve">The alignment above is deliberately honest that it is not yet Chaucer-verified. To make it something Compliance can actually sign rather than a narrative, the matrix below restates it as control area → Azure capability that delivers it → evidence artefact that proves it → owner. It is still proposed until Compliance confirms it against Chaucer’s own control catalogue, but it is now in a form that can be confirmed line by 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2600"/>
        <w:gridCol w:w="1400"/>
      </w:tblGrid>
      <w:tr>
        <w:trPr>
          <w:tblHeader/>
        </w:trPr>
        <w:tc>
          <w:tcPr>
            <w:tcW w:type="dxa" w:w="29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Control area (regulatory driver)</w:t>
            </w:r>
          </w:p>
        </w:tc>
        <w:tc>
          <w:tcPr>
            <w:tcW w:type="dxa" w:w="24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Azure capability</w:t>
            </w:r>
          </w:p>
        </w:tc>
        <w:tc>
          <w:tcPr>
            <w:tcW w:type="dxa" w:w="26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Evidence artefact</w:t>
            </w:r>
          </w:p>
        </w:tc>
        <w:tc>
          <w:tcPr>
            <w:tcW w:type="dxa" w:w="14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Owner</w:t>
            </w:r>
          </w:p>
        </w:tc>
      </w:tr>
      <w:tr>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Access control &amp; authentication (FCA SYSC; UK GDPR)</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Entra ID OAuth 2.0, gateway JWT validation, control-plane RBAC</w:t>
            </w:r>
          </w:p>
        </w:tc>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Entra sign-in/audit logs; policy config in Git; access-review records</w:t>
            </w:r>
          </w:p>
        </w:tc>
        <w:tc>
          <w:tcPr>
            <w:tcW w:type="dxa" w:w="1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Identity + Compliance</w:t>
            </w:r>
          </w:p>
        </w:tc>
      </w:tr>
      <w:tr>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Encryption in transit (UK GDPR; Lloyd’s)</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TLS 1.2+, Front Door, Private Endpoints</w:t>
            </w:r>
          </w:p>
        </w:tc>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TLS/WAF configuration export; Private Endpoint inventory</w:t>
            </w:r>
          </w:p>
        </w:tc>
        <w:tc>
          <w:tcPr>
            <w:tcW w:type="dxa" w:w="1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Platform + Security</w:t>
            </w:r>
          </w:p>
        </w:tc>
      </w:tr>
      <w:tr>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Audit &amp; traceability (FCA; PRA operational resilience)</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Log Analytics, App Insights, correlation IDs</w:t>
            </w:r>
          </w:p>
        </w:tc>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Retained gateway logs; SIEM ingestion evidence; sample correlation-ID traces</w:t>
            </w:r>
          </w:p>
        </w:tc>
        <w:tc>
          <w:tcPr>
            <w:tcW w:type="dxa" w:w="1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Platform + Security</w:t>
            </w:r>
          </w:p>
        </w:tc>
      </w:tr>
      <w:tr>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Threat protection</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Front Door WAF, Azure DDoS, Defender for APIs</w:t>
            </w:r>
          </w:p>
        </w:tc>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WAF rule set and logs; Defender for APIs findings report</w:t>
            </w:r>
          </w:p>
        </w:tc>
        <w:tc>
          <w:tcPr>
            <w:tcW w:type="dxa" w:w="1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Security</w:t>
            </w:r>
          </w:p>
        </w:tc>
      </w:tr>
      <w:tr>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Availability &amp; operational resilience (PRA; Lloyd’s)</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Multi-region active-active, availability zones, Front Door failover</w:t>
            </w:r>
          </w:p>
        </w:tc>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DR test reports; SLA evidence; TDA architecture sign-off</w:t>
            </w:r>
          </w:p>
        </w:tc>
        <w:tc>
          <w:tcPr>
            <w:tcW w:type="dxa" w:w="1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Platform</w:t>
            </w:r>
          </w:p>
        </w:tc>
      </w:tr>
      <w:tr>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Secrets management</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Key Vault-backed named values</w:t>
            </w:r>
          </w:p>
        </w:tc>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Key Vault RBAC/access policy; secret-rotation records</w:t>
            </w:r>
          </w:p>
        </w:tc>
        <w:tc>
          <w:tcPr>
            <w:tcW w:type="dxa" w:w="1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Platform + Security</w:t>
            </w:r>
          </w:p>
        </w:tc>
      </w:tr>
      <w:tr>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Data residency (UK GDPR)</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UK South / UK West only</w:t>
            </w:r>
          </w:p>
        </w:tc>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Region configuration; Azure Policy allowed-locations assignment</w:t>
            </w:r>
          </w:p>
        </w:tc>
        <w:tc>
          <w:tcPr>
            <w:tcW w:type="dxa" w:w="1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Platform + Compliance</w:t>
            </w:r>
          </w:p>
        </w:tc>
      </w:tr>
      <w:tr>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Change control (FCA SYSC)</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APIOps, pull-request review, approval gates</w:t>
            </w:r>
          </w:p>
        </w:tc>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PR history; pipeline approval records</w:t>
            </w:r>
          </w:p>
        </w:tc>
        <w:tc>
          <w:tcPr>
            <w:tcW w:type="dxa" w:w="1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Platform</w:t>
            </w:r>
          </w:p>
        </w:tc>
      </w:tr>
      <w:tr>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Data minimisation &amp; PII (UK GDPR)</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Payload logging off + redaction; data classification</w:t>
            </w:r>
          </w:p>
        </w:tc>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Logging-policy configuration; DPIA reference</w:t>
            </w:r>
          </w:p>
        </w:tc>
        <w:tc>
          <w:tcPr>
            <w:tcW w:type="dxa" w:w="1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Compliance + Security</w:t>
            </w:r>
          </w:p>
        </w:tc>
      </w:tr>
    </w:tbl>
    <w:p>
      <w:pPr>
        <w:spacing w:after="140"/>
      </w:pPr>
      <w:r>
        <w:rPr>
          <w:rFonts w:ascii="Noe Text" w:cs="Noe Text" w:eastAsia="Noe Text" w:hAnsi="Noe Text"/>
          <w:b w:val="false"/>
          <w:bCs w:val="false"/>
          <w:i w:val="false"/>
          <w:iCs w:val="false"/>
          <w:color w:val="333333"/>
          <w:sz w:val="21"/>
          <w:szCs w:val="21"/>
        </w:rPr>
        <w:t xml:space="preserve">This matrix is the artefact Compliance signs; the regulatory references are indicative and must be reconciled with Chaucer’s obligations register before go-live.</w:t>
      </w:r>
    </w:p>
    <w:p>
      <w:pPr>
        <w:spacing w:after="140"/>
      </w:pPr>
      <w:r>
        <w:rPr>
          <w:rFonts w:ascii="Noe Text" w:cs="Noe Text" w:eastAsia="Noe Text" w:hAnsi="Noe Text"/>
          <w:b w:val="false"/>
          <w:bCs w:val="false"/>
          <w:i w:val="false"/>
          <w:iCs w:val="false"/>
          <w:color w:val="333333"/>
          <w:sz w:val="21"/>
          <w:szCs w:val="21"/>
        </w:rPr>
        <w:t xml:space="preserve">As a Lloyd's market insurer, Chaucer operates under FCA and PRA regulation and, for market-facing integrations, Lloyd's own requirements, alongside UK GDPR for personal data. This design does not attempt to certify compliance, which is Chaucer's responsibility and a detailed-design activity, but it is built to support the controls those regimes expect. The table below maps each obligation to how the platform is positioned to meet it, and, honestly, to what still needs Chaucer input. This is the area of the design most dependent on Chaucer's own standards, and it should be treated as a set of requirements to confirm rather than settled controls.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Obligation</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How the design supports it</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Still needed from Chaucer</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Data residency (FCA/PRA, UK data)</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Primary and secondary regions both in the UK (UK South, UK West); no data leaves the UK by default</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Confirm UK-only residency is sufficient and that no backend or SaaS dependency egresses data abroad</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Personal data protection (UK GDPR)</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TLS 1.2 in transit; payload masking possible at the gateway; PII kept out of verbose logs (Dev-only tracing)</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Data Protection Impact Assessment; confirm what PII flows through which APIs</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Audit trail and retention</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Every request logged with a correlation ID; security events routed to Chaucer's SIEM</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Confirm required retention periods against FCA/PRA record-keeping rules</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Access control and segregation of duties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Entra ID identity for every consumer and admin; workspace-scoped RBAC; APIOps change approvals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Map to Chaucer's existing joiner-mover-leaver and SoD policies</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Lloyd's market trust</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Mutual TLS available where the market requires certificate-based trust; per-partner subscriptions and revocation</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Confirm specific Lloyd's connectivity and certificate requirements per counterparty</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Operational resilience (PRA/FCA)</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Zone-redundant HA and multi-region DR with stated RTO/RPO targets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Agree RTO/RPO against Chaucer's operational-resilience impact tolerances</w:t>
            </w:r>
          </w:p>
        </w:tc>
      </w:tr>
    </w:tbl>
    <w:p>
      <w:pPr>
        <w:spacing w:after="140"/>
      </w:pPr>
      <w:r>
        <w:rPr>
          <w:rFonts w:ascii="Noe Text" w:cs="Noe Text" w:eastAsia="Noe Text" w:hAnsi="Noe Text"/>
          <w:b w:val="false"/>
          <w:bCs w:val="false"/>
          <w:i w:val="false"/>
          <w:iCs w:val="false"/>
          <w:color w:val="333333"/>
          <w:sz w:val="2"/>
          <w:szCs w:val="2"/>
        </w:rPr>
        <w:t xml:space="preserve"/>
      </w:r>
    </w:p>
    <w:p>
      <w:pPr>
        <w:spacing w:after="140"/>
      </w:pPr>
      <w:r>
        <w:rPr>
          <w:rFonts w:ascii="Noe Text" w:cs="Noe Text" w:eastAsia="Noe Text" w:hAnsi="Noe Text"/>
          <w:b w:val="false"/>
          <w:bCs w:val="false"/>
          <w:i w:val="false"/>
          <w:iCs w:val="false"/>
          <w:color w:val="333333"/>
          <w:sz w:val="21"/>
          <w:szCs w:val="21"/>
        </w:rPr>
        <w:t xml:space="preserve">The honest position is that compliance is the least Chaucer-verified part of this HLD: the platform is designed to make these controls achievable, but none can be signed off without Chaucer's compliance and data-protection teams confirming the specifics. This is called out again in the assumptions register (section 8.1).</w:t>
      </w:r>
    </w:p>
    <w:p>
      <w:pPr>
        <w:spacing w:after="140"/>
      </w:pPr>
      <w:r>
        <w:rPr>
          <w:rFonts w:ascii="Noe Text" w:cs="Noe Text" w:eastAsia="Noe Text" w:hAnsi="Noe Text"/>
          <w:b w:val="false"/>
          <w:bCs w:val="false"/>
          <w:i w:val="false"/>
          <w:iCs w:val="false"/>
          <w:color w:val="333333"/>
          <w:sz w:val="21"/>
          <w:szCs w:val="21"/>
        </w:rPr>
        <w:t xml:space="preserve">For detailed design, the control set maps to Azure capabilities and the evidence each would produce, so that compliance can be demonstrated rather than asserted: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25"/>
        <w:gridCol w:w="2325"/>
        <w:gridCol w:w="2325"/>
        <w:gridCol w:w="2325"/>
      </w:tblGrid>
      <w:tr>
        <w:trPr>
          <w:tblHeader/>
        </w:trPr>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Requirement</w:t>
            </w:r>
          </w:p>
        </w:tc>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Control</w:t>
            </w:r>
          </w:p>
        </w:tc>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Azure capability</w:t>
            </w:r>
          </w:p>
        </w:tc>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Evidence</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Data residency</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Approved-region policy</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Azure Policy, UK regions</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Policy compliance report</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 authentication</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Strong authentication</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Entra ID, OAuth 2.0</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App registration and token config</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Audit trail</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Full request logging</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 diagnostics, Log Analytics</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Log query evidence</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Security monitoring</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Detection and alerting</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 SIEM</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Alert and incident records</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Access control</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Least privilege</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RBAC, Managed Identity</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RBAC assignment export</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Network isolation</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Private access only</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Private Endpoint, NSG, Firewall</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Network config evidence</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Availability</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Resilience</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Availability Zones, multi-region</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DR test results</w:t>
            </w:r>
          </w:p>
        </w:tc>
      </w:tr>
    </w:tbl>
    <w:p>
      <w:pPr>
        <w:spacing w:after="140"/>
      </w:pPr>
      <w:r>
        <w:rPr>
          <w:rFonts w:ascii="Noe Text" w:cs="Noe Text" w:eastAsia="Noe Text" w:hAnsi="Noe Text"/>
          <w:b w:val="false"/>
          <w:bCs w:val="false"/>
          <w:i w:val="false"/>
          <w:iCs w:val="false"/>
          <w:color w:val="333333"/>
          <w:sz w:val="2"/>
          <w:szCs w:val="2"/>
        </w:rPr>
        <w:t xml:space="preserve"/>
      </w:r>
    </w:p>
    <w:p>
      <w:pPr>
        <w:pStyle w:val="Heading2"/>
        <w:spacing w:after="100" w:before="200"/>
      </w:pPr>
      <w:r>
        <w:rPr>
          <w:rFonts w:ascii="Noe Text Regular" w:cs="Noe Text Regular" w:eastAsia="Noe Text Regular" w:hAnsi="Noe Text Regular"/>
        </w:rPr>
        <w:t xml:space="preserve">6.7 API Product, Consumer and Developer Portal Model</w:t>
      </w:r>
    </w:p>
    <w:p>
      <w:pPr>
        <w:spacing w:after="140"/>
      </w:pPr>
      <w:r>
        <w:rPr>
          <w:rFonts w:ascii="Noe Text" w:cs="Noe Text" w:eastAsia="Noe Text" w:hAnsi="Noe Text"/>
          <w:b w:val="false"/>
          <w:bCs w:val="false"/>
          <w:i w:val="false"/>
          <w:iCs w:val="false"/>
          <w:color w:val="333333"/>
          <w:sz w:val="21"/>
          <w:szCs w:val="21"/>
        </w:rPr>
        <w:t xml:space="preserve">Once APIM is live, Chaucer needs a way for different teams to manage their own APIs without stepping on each other, while the platform team keeps one place to see and control everything. Workspaces, products, subscriptions, and groups fit together like a filing cabinet: workspaces are the drawers, products are the folders, subscriptions are the individual keys handed out, and Entra ID groups decide who can open which drawer.</w:t>
      </w:r>
    </w:p>
    <w:p>
      <w:pPr>
        <w:pStyle w:val="Heading3"/>
        <w:spacing w:after="90" w:before="160"/>
      </w:pPr>
      <w:r>
        <w:rPr>
          <w:rFonts w:ascii="Noe Text Regular" w:cs="Noe Text Regular" w:eastAsia="Noe Text Regular" w:hAnsi="Noe Text Regular"/>
        </w:rPr>
        <w:t xml:space="preserve">Choosing each layer: a clear strategy for Products, Consumers and the Portal</w:t>
      </w:r>
    </w:p>
    <w:p>
      <w:pPr>
        <w:spacing w:after="140"/>
      </w:pPr>
      <w:r>
        <w:rPr>
          <w:rFonts w:ascii="Noe Text" w:cs="Noe Text" w:eastAsia="Noe Text" w:hAnsi="Noe Text"/>
          <w:b w:val="false"/>
          <w:bCs w:val="false"/>
          <w:i w:val="false"/>
          <w:iCs w:val="false"/>
          <w:color w:val="333333"/>
          <w:sz w:val="21"/>
          <w:szCs w:val="21"/>
        </w:rPr>
        <w:t xml:space="preserve">The three constructs answer three different questions. Kept in that order — products first, then consumer access, then the portal that exposes them — the model stays clean as the estate grows.</w:t>
      </w:r>
    </w:p>
    <w:p>
      <w:pPr>
        <w:spacing w:after="140"/>
      </w:pPr>
      <w:r>
        <w:rPr>
          <w:rFonts w:ascii="Noe Text" w:cs="Noe Text" w:eastAsia="Noe Text" w:hAnsi="Noe Text"/>
          <w:b w:val="false"/>
          <w:bCs w:val="false"/>
          <w:i w:val="false"/>
          <w:iCs w:val="false"/>
          <w:color w:val="333333"/>
          <w:sz w:val="21"/>
          <w:szCs w:val="21"/>
        </w:rPr>
        <w:t xml:space="preserve">Products — decide by consumer class, not by API. A product is the unit a consumer subscribes to, so define one product per class of consumer (for example External Broker, External Market, Internal Core Systems), bundle only the APIs that class may call, and attach the class-wide rules (rate limits, quota, approval model) at product level. The test for “do we need a new product?” is “is this a distinct audience with distinct access rules?” — if yes, new product; if no, add the API to an existing one.</w:t>
      </w:r>
    </w:p>
    <w:p>
      <w:pPr>
        <w:spacing w:after="140"/>
      </w:pPr>
      <w:r>
        <w:rPr>
          <w:rFonts w:ascii="Noe Text" w:cs="Noe Text" w:eastAsia="Noe Text" w:hAnsi="Noe Text"/>
          <w:b w:val="false"/>
          <w:bCs w:val="false"/>
          <w:i w:val="false"/>
          <w:iCs w:val="false"/>
          <w:color w:val="333333"/>
          <w:sz w:val="21"/>
          <w:szCs w:val="21"/>
        </w:rPr>
        <w:t xml:space="preserve">Consumers — govern through Entra ID groups and per-application subscriptions, never through local APIM users. Represent each consuming organisation or team as an Entra ID group, issue one subscription (key) per consuming application so access can be revoked in isolation, and let product visibility follow group membership. This is what keeps Chaucer’s existing joiner-mover-leaver process authoritative: access is added and removed in Entra ID, and APIM follows automatically.</w:t>
      </w:r>
    </w:p>
    <w:p>
      <w:pPr>
        <w:spacing w:after="140"/>
      </w:pPr>
      <w:r>
        <w:rPr>
          <w:rFonts w:ascii="Noe Text" w:cs="Noe Text" w:eastAsia="Noe Text" w:hAnsi="Noe Text"/>
          <w:b w:val="false"/>
          <w:bCs w:val="false"/>
          <w:i w:val="false"/>
          <w:iCs w:val="false"/>
          <w:color w:val="333333"/>
          <w:sz w:val="21"/>
          <w:szCs w:val="21"/>
        </w:rPr>
        <w:t xml:space="preserve">Developer portal — treat it as the single self-service surface and curate what each audience sees. Enable Entra ID single sign-on, disable self-registration, and rely on group-filtered visibility so a broker sees only broker products. Everything a consumer needs to self-serve — discovery, documentation, subscription, and an interactive test console — lives here and nowhere else; anything that needs a ticket or a conversation is a gap to close in the portal, not a process to keep.</w:t>
      </w:r>
    </w:p>
    <w:p>
      <w:pPr>
        <w:spacing w:after="140"/>
      </w:pPr>
      <w:r>
        <w:rPr>
          <w:rFonts w:ascii="Noe Text" w:cs="Noe Text" w:eastAsia="Noe Text" w:hAnsi="Noe Text"/>
          <w:b w:val="false"/>
          <w:bCs w:val="false"/>
          <w:i w:val="false"/>
          <w:iCs w:val="false"/>
          <w:color w:val="333333"/>
          <w:sz w:val="21"/>
          <w:szCs w:val="21"/>
        </w:rPr>
        <w:t xml:space="preserve">In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00"/>
      </w:tblGrid>
      <w:tr>
        <w:trPr>
          <w:tblHeader/>
        </w:trPr>
        <w:tc>
          <w:tcPr>
            <w:tcW w:type="dxa" w:w="20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Layer</w:t>
            </w:r>
          </w:p>
        </w:tc>
        <w:tc>
          <w:tcPr>
            <w:tcW w:type="dxa" w:w="34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The question it answers</w:t>
            </w:r>
          </w:p>
        </w:tc>
        <w:tc>
          <w:tcPr>
            <w:tcW w:type="dxa" w:w="39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The strategy</w:t>
            </w:r>
          </w:p>
        </w:tc>
      </w:tr>
      <w:tr>
        <w:tc>
          <w:tcPr>
            <w:tcW w:type="dxa" w:w="2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Product</w:t>
            </w:r>
          </w:p>
        </w:tc>
        <w:tc>
          <w:tcPr>
            <w:tcW w:type="dxa" w:w="3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“Which APIs does this consumer class get, and under what rules?”</w:t>
            </w:r>
          </w:p>
        </w:tc>
        <w:tc>
          <w:tcPr>
            <w:tcW w:type="dxa" w:w="3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One product per consumer class; APIs bundled into it; policy, quota and approval set at product scope</w:t>
            </w:r>
          </w:p>
        </w:tc>
      </w:tr>
      <w:tr>
        <w:tc>
          <w:tcPr>
            <w:tcW w:type="dxa" w:w="2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Consumer / subscription</w:t>
            </w:r>
          </w:p>
        </w:tc>
        <w:tc>
          <w:tcPr>
            <w:tcW w:type="dxa" w:w="3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“Who is calling, and how is access granted and revoked?”</w:t>
            </w:r>
          </w:p>
        </w:tc>
        <w:tc>
          <w:tcPr>
            <w:tcW w:type="dxa" w:w="3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Entra ID group per organisation/team; one subscription per application; no local APIM users</w:t>
            </w:r>
          </w:p>
        </w:tc>
      </w:tr>
      <w:tr>
        <w:tc>
          <w:tcPr>
            <w:tcW w:type="dxa" w:w="20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Developer portal</w:t>
            </w:r>
          </w:p>
        </w:tc>
        <w:tc>
          <w:tcPr>
            <w:tcW w:type="dxa" w:w="3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“How does a consumer discover, subscribe and test without a ticket?”</w:t>
            </w:r>
          </w:p>
        </w:tc>
        <w:tc>
          <w:tcPr>
            <w:tcW w:type="dxa" w:w="3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SSO on, self-registration off, group-filtered catalogue; portal is the only self-service surface</w:t>
            </w:r>
          </w:p>
        </w:tc>
      </w:tr>
    </w:tbl>
    <w:p>
      <w:pPr>
        <w:spacing w:after="60"/>
      </w:pPr>
    </w:p>
    <w:p>
      <w:pPr>
        <w:spacing w:after="120" w:before="80"/>
        <w:jc w:val="center"/>
      </w:pPr>
      <w:r>
        <w:drawing>
          <wp:inline distT="0" distB="0" distL="0" distR="0">
            <wp:extent cx="54864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3448050"/>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18: Recommended workspace, product, subscription, and group structure</w:t>
      </w:r>
    </w:p>
    <w:p>
      <w:pPr>
        <w:spacing w:after="140"/>
      </w:pPr>
      <w:r>
        <w:rPr>
          <w:rFonts w:ascii="Noe Text" w:cs="Noe Text" w:eastAsia="Noe Text" w:hAnsi="Noe Text"/>
          <w:b/>
          <w:bCs/>
          <w:i w:val="false"/>
          <w:iCs w:val="false"/>
          <w:color w:val="333333"/>
          <w:sz w:val="21"/>
          <w:szCs w:val="21"/>
        </w:rPr>
        <w:t xml:space="preserve">Workspaces</w:t>
      </w:r>
    </w:p>
    <w:p>
      <w:pPr>
        <w:spacing w:after="140"/>
      </w:pPr>
      <w:r>
        <w:rPr>
          <w:rFonts w:ascii="Noe Text" w:cs="Noe Text" w:eastAsia="Noe Text" w:hAnsi="Noe Text"/>
          <w:b w:val="false"/>
          <w:bCs w:val="false"/>
          <w:i w:val="false"/>
          <w:iCs w:val="false"/>
          <w:color w:val="333333"/>
          <w:sz w:val="21"/>
          <w:szCs w:val="21"/>
        </w:rPr>
        <w:t xml:space="preserve">One workspace per business domain that owns integrations: Claims, Policy Admin, Finance, and Partner and Broker are the natural starting set. Each domain team owns what happens inside its workspace; the platform team keeps ownership of the shared instance, networking, monitoring, and global policy. Workspaces are a Premium-tier capability, which lines up with the network mode decision above.</w:t>
      </w:r>
    </w:p>
    <w:p>
      <w:pPr>
        <w:spacing w:after="140"/>
      </w:pPr>
      <w:r>
        <w:rPr>
          <w:rFonts w:ascii="Noe Text" w:cs="Noe Text" w:eastAsia="Noe Text" w:hAnsi="Noe Text"/>
          <w:b/>
          <w:bCs/>
          <w:i w:val="false"/>
          <w:iCs w:val="false"/>
          <w:color w:val="333333"/>
          <w:sz w:val="21"/>
          <w:szCs w:val="21"/>
        </w:rPr>
        <w:t xml:space="preserve">Products, subscriptions, groups and users</w:t>
      </w:r>
    </w:p>
    <w:p>
      <w:pPr>
        <w:pStyle w:val="ListParagraph"/>
        <w:numPr>
          <w:ilvl w:val="0"/>
          <w:numId w:val="2"/>
        </w:numPr>
        <w:spacing w:after="70"/>
      </w:pPr>
      <w:r>
        <w:rPr>
          <w:rFonts w:ascii="Noe Text" w:cs="Noe Text" w:eastAsia="Noe Text" w:hAnsi="Noe Text"/>
          <w:color w:val="333333"/>
          <w:sz w:val="21"/>
          <w:szCs w:val="21"/>
        </w:rPr>
        <w:t xml:space="preserve">Products group related APIs and carry the access rule for that group, for example an External Broker product bundling every API a broker may call.</w:t>
      </w:r>
    </w:p>
    <w:p>
      <w:pPr>
        <w:pStyle w:val="ListParagraph"/>
        <w:numPr>
          <w:ilvl w:val="0"/>
          <w:numId w:val="2"/>
        </w:numPr>
        <w:spacing w:after="70"/>
      </w:pPr>
      <w:r>
        <w:rPr>
          <w:rFonts w:ascii="Noe Text" w:cs="Noe Text" w:eastAsia="Noe Text" w:hAnsi="Noe Text"/>
          <w:color w:val="333333"/>
          <w:sz w:val="21"/>
          <w:szCs w:val="21"/>
        </w:rPr>
        <w:t xml:space="preserve">Subscriptions are individual keys issued per consuming application or partner, so one consumer's access can be revoked without affecting anyone else.</w:t>
      </w:r>
    </w:p>
    <w:p>
      <w:pPr>
        <w:pStyle w:val="ListParagraph"/>
        <w:numPr>
          <w:ilvl w:val="0"/>
          <w:numId w:val="2"/>
        </w:numPr>
        <w:spacing w:after="70"/>
      </w:pPr>
      <w:r>
        <w:rPr>
          <w:rFonts w:ascii="Noe Text" w:cs="Noe Text" w:eastAsia="Noe Text" w:hAnsi="Noe Text"/>
          <w:color w:val="333333"/>
          <w:sz w:val="21"/>
          <w:szCs w:val="21"/>
        </w:rPr>
        <w:t xml:space="preserve">Groups map to Entra ID, never to local APIM accounts, so a broker's technical team or the platform administrators are each represented by one Entra ID group.</w:t>
      </w:r>
    </w:p>
    <w:p>
      <w:pPr>
        <w:pStyle w:val="ListParagraph"/>
        <w:numPr>
          <w:ilvl w:val="0"/>
          <w:numId w:val="2"/>
        </w:numPr>
        <w:spacing w:after="70"/>
      </w:pPr>
      <w:r>
        <w:rPr>
          <w:rFonts w:ascii="Noe Text" w:cs="Noe Text" w:eastAsia="Noe Text" w:hAnsi="Noe Text"/>
          <w:color w:val="333333"/>
          <w:sz w:val="21"/>
          <w:szCs w:val="21"/>
        </w:rPr>
        <w:t xml:space="preserve">Users are never created directly inside APIM; access always flows from an Entra ID identity through a group, so Chaucer's existing joiner-mover-leaver process keeps APIM access correct automatically.</w:t>
      </w:r>
    </w:p>
    <w:p>
      <w:pPr>
        <w:pStyle w:val="Heading3"/>
        <w:spacing w:after="90" w:before="160"/>
      </w:pPr>
      <w:r>
        <w:rPr>
          <w:rFonts w:ascii="Noe Text Regular" w:cs="Noe Text Regular" w:eastAsia="Noe Text Regular" w:hAnsi="Noe Text Regular"/>
        </w:rPr>
        <w:t xml:space="preserve">Backend governance constructs</w:t>
      </w:r>
    </w:p>
    <w:p>
      <w:pPr>
        <w:spacing w:after="140"/>
      </w:pPr>
      <w:r>
        <w:rPr>
          <w:rFonts w:ascii="Noe Text" w:cs="Noe Text" w:eastAsia="Noe Text" w:hAnsi="Noe Text"/>
          <w:b w:val="false"/>
          <w:bCs w:val="false"/>
          <w:i w:val="false"/>
          <w:iCs w:val="false"/>
          <w:color w:val="333333"/>
          <w:sz w:val="21"/>
          <w:szCs w:val="21"/>
        </w:rPr>
        <w:t xml:space="preserve">Beyond the runtime architecture, APIM provides a set of backend constructs that decide how APIs are organised, secured, discovered, and extended over time. Used well, they let Chaucer add and evolve API capability without the platform becoming a tangle. Used poorly, they become the tangle. This section explains each construct and how Chaucer should use it. The constructs build on one another: named values feed policies, products group APIs and attach policies, groups decide who sees a product, tags make everything discoverable, and workspaces let teams own their slice of all of the above.</w:t>
      </w:r>
    </w:p>
    <w:p>
      <w:pPr>
        <w:pStyle w:val="Heading3"/>
        <w:spacing w:after="90" w:before="160"/>
      </w:pPr>
      <w:r>
        <w:rPr>
          <w:rFonts w:ascii="Noe Text Regular" w:cs="Noe Text Regular" w:eastAsia="Noe Text Regular" w:hAnsi="Noe Text Regular"/>
        </w:rPr>
        <w:t xml:space="preserve">Named values</w:t>
      </w:r>
    </w:p>
    <w:p>
      <w:pPr>
        <w:spacing w:after="140"/>
      </w:pPr>
      <w:r>
        <w:rPr>
          <w:rFonts w:ascii="Noe Text" w:cs="Noe Text" w:eastAsia="Noe Text" w:hAnsi="Noe Text"/>
          <w:b w:val="false"/>
          <w:bCs w:val="false"/>
          <w:i w:val="false"/>
          <w:iCs w:val="false"/>
          <w:color w:val="333333"/>
          <w:sz w:val="21"/>
          <w:szCs w:val="21"/>
        </w:rPr>
        <w:t xml:space="preserve">Named values are APIM's key-value store for configuration and secrets that policies reference by name rather than hard-coding. A named value can hold a plain setting (a backend URL, a rate-limit ceiling, a feature flag) or a secret, and a secret named value can be backed directly by Azure Key Vault so the actual secret never lives in APIM at all and rotates automatically when it changes in the vault.</w:t>
      </w:r>
    </w:p>
    <w:p>
      <w:pPr>
        <w:spacing w:after="140"/>
      </w:pPr>
      <w:r>
        <w:rPr>
          <w:rFonts w:ascii="Noe Text" w:cs="Noe Text" w:eastAsia="Noe Text" w:hAnsi="Noe Text"/>
          <w:b w:val="false"/>
          <w:bCs w:val="false"/>
          <w:i w:val="false"/>
          <w:iCs w:val="false"/>
          <w:color w:val="333333"/>
          <w:sz w:val="21"/>
          <w:szCs w:val="21"/>
        </w:rPr>
        <w:t xml:space="preserve">The purpose is twofold: keep sensitive material out of policy XML, and keep environment-specific configuration in one place so the same policy works unchanged across Dev, UAT and Production. Typical uses at Chaucer:</w:t>
      </w:r>
    </w:p>
    <w:p>
      <w:pPr>
        <w:pStyle w:val="ListParagraph"/>
        <w:numPr>
          <w:ilvl w:val="0"/>
          <w:numId w:val="2"/>
        </w:numPr>
        <w:spacing w:after="70"/>
      </w:pPr>
      <w:r>
        <w:rPr>
          <w:rFonts w:ascii="Noe Text" w:cs="Noe Text" w:eastAsia="Noe Text" w:hAnsi="Noe Text"/>
          <w:color w:val="333333"/>
          <w:sz w:val="21"/>
          <w:szCs w:val="21"/>
        </w:rPr>
        <w:t xml:space="preserve">Key Vault-backed secrets: the webhook shared secret, partner client secrets, and signing keys referenced by policies but stored and rotated in Key Vault.</w:t>
      </w:r>
    </w:p>
    <w:p>
      <w:pPr>
        <w:pStyle w:val="ListParagraph"/>
        <w:numPr>
          <w:ilvl w:val="0"/>
          <w:numId w:val="2"/>
        </w:numPr>
        <w:spacing w:after="70"/>
      </w:pPr>
      <w:r>
        <w:rPr>
          <w:rFonts w:ascii="Noe Text" w:cs="Noe Text" w:eastAsia="Noe Text" w:hAnsi="Noe Text"/>
          <w:color w:val="333333"/>
          <w:sz w:val="21"/>
          <w:szCs w:val="21"/>
        </w:rPr>
        <w:t xml:space="preserve">Environment configuration: backend base URLs and timeouts that differ per environment, so promotion through APIOps changes the named value, not the policy.</w:t>
      </w:r>
    </w:p>
    <w:p>
      <w:pPr>
        <w:pStyle w:val="ListParagraph"/>
        <w:numPr>
          <w:ilvl w:val="0"/>
          <w:numId w:val="2"/>
        </w:numPr>
        <w:spacing w:after="70"/>
      </w:pPr>
      <w:r>
        <w:rPr>
          <w:rFonts w:ascii="Noe Text" w:cs="Noe Text" w:eastAsia="Noe Text" w:hAnsi="Noe Text"/>
          <w:color w:val="333333"/>
          <w:sz w:val="21"/>
          <w:szCs w:val="21"/>
        </w:rPr>
        <w:t xml:space="preserve">Reused constants: a standard rate-limit ceiling or a tenant ID referenced by many policies, changed once in one place.</w:t>
      </w:r>
    </w:p>
    <w:p>
      <w:pPr>
        <w:spacing w:after="140"/>
      </w:pPr>
      <w:r>
        <w:rPr>
          <w:rFonts w:ascii="Noe Text" w:cs="Noe Text" w:eastAsia="Noe Text" w:hAnsi="Noe Text"/>
          <w:b w:val="false"/>
          <w:bCs w:val="false"/>
          <w:i w:val="false"/>
          <w:iCs w:val="false"/>
          <w:color w:val="333333"/>
          <w:sz w:val="21"/>
          <w:szCs w:val="21"/>
        </w:rPr>
        <w:t xml:space="preserve">Governance rule: no secret is ever typed into a policy; it is always a Key Vault-backed named value. Named values are themselves environment-scoped and version-controlled through APIOps, so a reviewer can see what changed.</w:t>
      </w:r>
    </w:p>
    <w:p>
      <w:pPr>
        <w:pStyle w:val="Heading3"/>
        <w:spacing w:after="90" w:before="160"/>
      </w:pPr>
      <w:r>
        <w:rPr>
          <w:rFonts w:ascii="Noe Text Regular" w:cs="Noe Text Regular" w:eastAsia="Noe Text Regular" w:hAnsi="Noe Text Regular"/>
        </w:rPr>
        <w:t xml:space="preserve">Products</w:t>
      </w:r>
    </w:p>
    <w:p>
      <w:pPr>
        <w:spacing w:after="140"/>
      </w:pPr>
      <w:r>
        <w:rPr>
          <w:rFonts w:ascii="Noe Text" w:cs="Noe Text" w:eastAsia="Noe Text" w:hAnsi="Noe Text"/>
          <w:b w:val="false"/>
          <w:bCs w:val="false"/>
          <w:i w:val="false"/>
          <w:iCs w:val="false"/>
          <w:color w:val="333333"/>
          <w:sz w:val="21"/>
          <w:szCs w:val="21"/>
        </w:rPr>
        <w:t xml:space="preserve">A product is a bundle of one or more APIs published together under a single set of access rules. It is the unit consumers actually subscribe to: a developer does not subscribe to an API directly, they subscribe to a product that contains it. A product carries its own policies (rate limits, quotas, and any product-specific behaviour), its own visibility (which groups can see it), and its own subscription approval model (automatic or requiring sign-off).</w:t>
      </w:r>
    </w:p>
    <w:p>
      <w:pPr>
        <w:spacing w:after="140"/>
      </w:pPr>
      <w:r>
        <w:rPr>
          <w:rFonts w:ascii="Noe Text" w:cs="Noe Text" w:eastAsia="Noe Text" w:hAnsi="Noe Text"/>
          <w:b w:val="false"/>
          <w:bCs w:val="false"/>
          <w:i w:val="false"/>
          <w:iCs w:val="false"/>
          <w:color w:val="333333"/>
          <w:sz w:val="21"/>
          <w:szCs w:val="21"/>
        </w:rPr>
        <w:t xml:space="preserve">This is how Chaucer separates consumer classes cleanly. The natural product set mirrors the consumer model already in the design:</w:t>
      </w:r>
    </w:p>
    <w:p>
      <w:pPr>
        <w:pStyle w:val="ListParagraph"/>
        <w:numPr>
          <w:ilvl w:val="0"/>
          <w:numId w:val="2"/>
        </w:numPr>
        <w:spacing w:after="70"/>
      </w:pPr>
      <w:r>
        <w:rPr>
          <w:rFonts w:ascii="Noe Text" w:cs="Noe Text" w:eastAsia="Noe Text" w:hAnsi="Noe Text"/>
          <w:color w:val="333333"/>
          <w:sz w:val="21"/>
          <w:szCs w:val="21"/>
        </w:rPr>
        <w:t xml:space="preserve">External-facing products, for example External Broker, External Market and External Partner, each bundling only the APIs that class of partner may call, with stricter rate limits and manual subscription approval.</w:t>
      </w:r>
    </w:p>
    <w:p>
      <w:pPr>
        <w:pStyle w:val="ListParagraph"/>
        <w:numPr>
          <w:ilvl w:val="0"/>
          <w:numId w:val="2"/>
        </w:numPr>
        <w:spacing w:after="70"/>
      </w:pPr>
      <w:r>
        <w:rPr>
          <w:rFonts w:ascii="Noe Text" w:cs="Noe Text" w:eastAsia="Noe Text" w:hAnsi="Noe Text"/>
          <w:color w:val="333333"/>
          <w:sz w:val="21"/>
          <w:szCs w:val="21"/>
        </w:rPr>
        <w:t xml:space="preserve">Internal products, for example Internal Core Systems and Internal Data Platform, with higher limits and automatic approval for trusted internal consumers.</w:t>
      </w:r>
    </w:p>
    <w:p>
      <w:pPr>
        <w:spacing w:after="140"/>
      </w:pPr>
      <w:r>
        <w:rPr>
          <w:rFonts w:ascii="Noe Text" w:cs="Noe Text" w:eastAsia="Noe Text" w:hAnsi="Noe Text"/>
          <w:b w:val="false"/>
          <w:bCs w:val="false"/>
          <w:i w:val="false"/>
          <w:iCs w:val="false"/>
          <w:color w:val="333333"/>
          <w:sz w:val="21"/>
          <w:szCs w:val="21"/>
        </w:rPr>
        <w:t xml:space="preserve">Because product policy sits above API policy in the scope order, a product is where Chaucer enforces the rules that should apply to every API a given consumer class touches, without repeating them per API.</w:t>
      </w:r>
    </w:p>
    <w:p>
      <w:pPr>
        <w:pStyle w:val="Heading3"/>
        <w:spacing w:after="90" w:before="160"/>
      </w:pPr>
      <w:r>
        <w:rPr>
          <w:rFonts w:ascii="Noe Text Regular" w:cs="Noe Text Regular" w:eastAsia="Noe Text Regular" w:hAnsi="Noe Text Regular"/>
        </w:rPr>
        <w:t xml:space="preserve">Groups</w:t>
      </w:r>
    </w:p>
    <w:p>
      <w:pPr>
        <w:spacing w:after="140"/>
      </w:pPr>
      <w:r>
        <w:rPr>
          <w:rFonts w:ascii="Noe Text" w:cs="Noe Text" w:eastAsia="Noe Text" w:hAnsi="Noe Text"/>
          <w:b w:val="false"/>
          <w:bCs w:val="false"/>
          <w:i w:val="false"/>
          <w:iCs w:val="false"/>
          <w:color w:val="333333"/>
          <w:sz w:val="21"/>
          <w:szCs w:val="21"/>
        </w:rPr>
        <w:t xml:space="preserve">Groups control who can see and subscribe to which products. A product's visibility is set by group membership, so a broker's group sees the broker products and nothing else, while an internal developer group sees the internal products. APIM has built-in groups (Administrators, Developers, Guests), but the important point for Chaucer is that custom groups map to Microsoft Entra ID, not to local APIM accounts.</w:t>
      </w:r>
    </w:p>
    <w:p>
      <w:pPr>
        <w:spacing w:after="140"/>
      </w:pPr>
      <w:r>
        <w:rPr>
          <w:rFonts w:ascii="Noe Text" w:cs="Noe Text" w:eastAsia="Noe Text" w:hAnsi="Noe Text"/>
          <w:b w:val="false"/>
          <w:bCs w:val="false"/>
          <w:i w:val="false"/>
          <w:iCs w:val="false"/>
          <w:color w:val="333333"/>
          <w:sz w:val="21"/>
          <w:szCs w:val="21"/>
        </w:rPr>
        <w:t xml:space="preserve">This is what keeps access governance in one place. A partner's technical team, an internal domain team, or the platform administrators are each represented by an Entra ID group; adding or removing a person happens in Entra ID through Chaucer's existing joiner-mover-leaver process, and their APIM visibility follows automatically. No access is granted by creating a user inside APIM.</w:t>
      </w:r>
    </w:p>
    <w:p>
      <w:pPr>
        <w:pStyle w:val="Heading3"/>
        <w:spacing w:after="90" w:before="160"/>
      </w:pPr>
      <w:r>
        <w:rPr>
          <w:rFonts w:ascii="Noe Text Regular" w:cs="Noe Text Regular" w:eastAsia="Noe Text Regular" w:hAnsi="Noe Text Regular"/>
        </w:rPr>
        <w:t xml:space="preserve">Tags</w:t>
      </w:r>
    </w:p>
    <w:p>
      <w:pPr>
        <w:spacing w:after="140"/>
      </w:pPr>
      <w:r>
        <w:rPr>
          <w:rFonts w:ascii="Noe Text" w:cs="Noe Text" w:eastAsia="Noe Text" w:hAnsi="Noe Text"/>
          <w:b w:val="false"/>
          <w:bCs w:val="false"/>
          <w:i w:val="false"/>
          <w:iCs w:val="false"/>
          <w:color w:val="333333"/>
          <w:sz w:val="21"/>
          <w:szCs w:val="21"/>
        </w:rPr>
        <w:t xml:space="preserve">Tags are free-form labels attached to APIs (and products) purely for categorisation and discoverability. They do not enforce anything; their job is to make a growing catalogue navigable. In the developer portal, consumers can filter and search by tag, and internally the platform team can report on the estate by tag.</w:t>
      </w:r>
    </w:p>
    <w:p>
      <w:pPr>
        <w:spacing w:after="140"/>
      </w:pPr>
      <w:r>
        <w:rPr>
          <w:rFonts w:ascii="Noe Text" w:cs="Noe Text" w:eastAsia="Noe Text" w:hAnsi="Noe Text"/>
          <w:b w:val="false"/>
          <w:bCs w:val="false"/>
          <w:i w:val="false"/>
          <w:iCs w:val="false"/>
          <w:color w:val="333333"/>
          <w:sz w:val="21"/>
          <w:szCs w:val="21"/>
        </w:rPr>
        <w:t xml:space="preserve">Chaucer should agree a small, consistent tag taxonomy up front, because tags are only useful if applied the same way by everyone. Sensible dimensions include business domain (claims, policy, finance), consumer audience (internal, partner, public), lifecycle status (preview, active, deprecated), and data sensitivity (contains-PII). A tag is discoverability, not a control: sensitivity tagging flags an API for review, it does not secure it.</w:t>
      </w:r>
    </w:p>
    <w:p>
      <w:pPr>
        <w:pStyle w:val="Heading3"/>
        <w:spacing w:after="90" w:before="160"/>
      </w:pPr>
      <w:r>
        <w:rPr>
          <w:rFonts w:ascii="Noe Text Regular" w:cs="Noe Text Regular" w:eastAsia="Noe Text Regular" w:hAnsi="Noe Text Regular"/>
        </w:rPr>
        <w:t xml:space="preserve">Workspaces</w:t>
      </w:r>
    </w:p>
    <w:p>
      <w:pPr>
        <w:spacing w:after="140"/>
      </w:pPr>
      <w:r>
        <w:rPr>
          <w:rFonts w:ascii="Noe Text" w:cs="Noe Text" w:eastAsia="Noe Text" w:hAnsi="Noe Text"/>
          <w:b w:val="false"/>
          <w:bCs w:val="false"/>
          <w:i w:val="false"/>
          <w:iCs w:val="false"/>
          <w:color w:val="333333"/>
          <w:sz w:val="21"/>
          <w:szCs w:val="21"/>
        </w:rPr>
        <w:t xml:space="preserve">Workspaces are how Chaucer decentralises day-to-day API management without losing central control. A workspace is a self-contained slice of the APIM instance, its own APIs, products, subscriptions, named values, tags and policies, that a specific team manages through Azure RBAC scoped to that workspace, while the platform team keeps ownership of the shared infrastructure, networking, monitoring and global policy. It is the federated model: central governance, delegated development.</w:t>
      </w:r>
    </w:p>
    <w:p>
      <w:pPr>
        <w:spacing w:after="140"/>
      </w:pPr>
      <w:r>
        <w:rPr>
          <w:rFonts w:ascii="Noe Text" w:cs="Noe Text" w:eastAsia="Noe Text" w:hAnsi="Noe Text"/>
          <w:b w:val="false"/>
          <w:bCs w:val="false"/>
          <w:i w:val="false"/>
          <w:iCs w:val="false"/>
          <w:color w:val="333333"/>
          <w:sz w:val="21"/>
          <w:szCs w:val="21"/>
        </w:rPr>
        <w:t xml:space="preserve">Each workspace behaves like a folder within the service, holding its own copies of the constructs above. A few boundaries are worth knowing at design time:</w:t>
      </w:r>
    </w:p>
    <w:p>
      <w:pPr>
        <w:pStyle w:val="ListParagraph"/>
        <w:numPr>
          <w:ilvl w:val="0"/>
          <w:numId w:val="2"/>
        </w:numPr>
        <w:spacing w:after="70"/>
      </w:pPr>
      <w:r>
        <w:rPr>
          <w:rFonts w:ascii="Noe Text" w:cs="Noe Text" w:eastAsia="Noe Text" w:hAnsi="Noe Text"/>
          <w:color w:val="333333"/>
          <w:sz w:val="21"/>
          <w:szCs w:val="21"/>
        </w:rPr>
        <w:t xml:space="preserve">Names are unique across the whole service: two workspaces cannot both have an API, product or tag of the same name, even though they are otherwise isolated.</w:t>
      </w:r>
    </w:p>
    <w:p>
      <w:pPr>
        <w:pStyle w:val="ListParagraph"/>
        <w:numPr>
          <w:ilvl w:val="0"/>
          <w:numId w:val="2"/>
        </w:numPr>
        <w:spacing w:after="70"/>
      </w:pPr>
      <w:r>
        <w:rPr>
          <w:rFonts w:ascii="Noe Text" w:cs="Noe Text" w:eastAsia="Noe Text" w:hAnsi="Noe Text"/>
          <w:color w:val="333333"/>
          <w:sz w:val="21"/>
          <w:szCs w:val="21"/>
        </w:rPr>
        <w:t xml:space="preserve">Workspace policies can reference workspace-scoped named values and resources, but for security they cannot reach service-level named values or backends by name; anything shared must be provided within the workspace.</w:t>
      </w:r>
    </w:p>
    <w:p>
      <w:pPr>
        <w:pStyle w:val="ListParagraph"/>
        <w:numPr>
          <w:ilvl w:val="0"/>
          <w:numId w:val="2"/>
        </w:numPr>
        <w:spacing w:after="70"/>
      </w:pPr>
      <w:r>
        <w:rPr>
          <w:rFonts w:ascii="Noe Text" w:cs="Noe Text" w:eastAsia="Noe Text" w:hAnsi="Noe Text"/>
          <w:color w:val="333333"/>
          <w:sz w:val="21"/>
          <w:szCs w:val="21"/>
        </w:rPr>
        <w:t xml:space="preserve">Policy scope runs service, then workspace, then product, then API, then operation, so a workspace can apply a blanket policy to all of its own APIs beneath the global service policy.</w:t>
      </w:r>
    </w:p>
    <w:p>
      <w:pPr>
        <w:spacing w:after="140"/>
      </w:pPr>
      <w:r>
        <w:rPr>
          <w:rFonts w:ascii="Noe Text" w:cs="Noe Text" w:eastAsia="Noe Text" w:hAnsi="Noe Text"/>
          <w:b w:val="false"/>
          <w:bCs w:val="false"/>
          <w:i w:val="false"/>
          <w:iCs w:val="false"/>
          <w:color w:val="333333"/>
          <w:sz w:val="21"/>
          <w:szCs w:val="21"/>
        </w:rPr>
        <w:t xml:space="preserve">Chaucer's recommended split is one workspace per business domain that owns integrations, Claims, Policy Admin, Finance, and Partner and Broker, so each domain team publishes and manages its own APIs and subscriptions while the platform team governs the whole. Workspaces are a Premium-tier capability, which aligns with the tier recommendation in section 6.12.</w:t>
      </w:r>
    </w:p>
    <w:p>
      <w:pPr>
        <w:pStyle w:val="Heading3"/>
        <w:spacing w:after="90" w:before="160"/>
      </w:pPr>
      <w:r>
        <w:rPr>
          <w:rFonts w:ascii="Noe Text Regular" w:cs="Noe Text Regular" w:eastAsia="Noe Text Regular" w:hAnsi="Noe Text Regular"/>
        </w:rPr>
        <w:t xml:space="preserve">Refining the workspace strategy: gateway model, sizing and constraints</w:t>
      </w:r>
    </w:p>
    <w:p>
      <w:pPr>
        <w:spacing w:after="140"/>
      </w:pPr>
      <w:r>
        <w:rPr>
          <w:rFonts w:ascii="Noe Text" w:cs="Noe Text" w:eastAsia="Noe Text" w:hAnsi="Noe Text"/>
          <w:b w:val="false"/>
          <w:bCs w:val="false"/>
          <w:i w:val="false"/>
          <w:iCs w:val="false"/>
          <w:color w:val="333333"/>
          <w:sz w:val="21"/>
          <w:szCs w:val="21"/>
        </w:rPr>
        <w:t xml:space="preserve">The one-workspace-per-domain split above is the right shape, but three decisions turn it from a sketch into something buildable: which gateway a workspace runs on, how many workspaces to create, and which platform constraints to design around.</w:t>
      </w:r>
    </w:p>
    <w:p>
      <w:pPr>
        <w:spacing w:after="140"/>
      </w:pPr>
      <w:r>
        <w:rPr>
          <w:rFonts w:ascii="Noe Text" w:cs="Noe Text" w:eastAsia="Noe Text" w:hAnsi="Noe Text"/>
          <w:b w:val="false"/>
          <w:bCs w:val="false"/>
          <w:i w:val="false"/>
          <w:iCs w:val="false"/>
          <w:color w:val="333333"/>
          <w:sz w:val="21"/>
          <w:szCs w:val="21"/>
        </w:rPr>
        <w:t xml:space="preserve">Gateway model — use the built-in gateway, not dedicated workspace gateways. A workspace’s runtime can run on either the instance’s built-in (default managed) gateway or a separate, dedicated workspace-gateway resource. Dedicated gateways give stronger runtime isolation between domains, but they do not currently support multi-region deployment, Private Link, or custom hostnames, and they add cost, a separate scale surface, and a provisioning step that can take several hours. Because Chaucer’s design depends on exactly those three capabilities — multi-region (6.11), Private Link origin from Front Door (6.4), and custom hostnames — workspaces should be associated with the built-in gateway, which now supports workspaces and inherits all of those features. Dedicated workspace gateways are held in reserve for a future domain that needs hard runtime isolation and can accept the multi-region/Private Link trade-off.</w:t>
      </w:r>
    </w:p>
    <w:p>
      <w:pPr>
        <w:spacing w:after="140"/>
      </w:pPr>
      <w:r>
        <w:rPr>
          <w:rFonts w:ascii="Noe Text" w:cs="Noe Text" w:eastAsia="Noe Text" w:hAnsi="Noe Text"/>
          <w:b w:val="false"/>
          <w:bCs w:val="false"/>
          <w:i w:val="false"/>
          <w:iCs w:val="false"/>
          <w:color w:val="333333"/>
          <w:sz w:val="21"/>
          <w:szCs w:val="21"/>
        </w:rPr>
        <w:t xml:space="preserve">Sizing — one workspace per domain that owns integrations, not per team or per API. The starting set stays Claims, Policy Admin, Finance, and Partner and Broker. The guardrail is ownership: create a workspace only where a distinct team will own the APIs, products and subscriptions inside it through their whole lifecycle. Splitting more finely than ownership creates administrative overhead without governance benefit; a workspace gateway can carry many workspaces (up to 30 as a shared gateway) so there is headroom, but the number should track real team boundaries, not be maximised.</w:t>
      </w:r>
    </w:p>
    <w:p>
      <w:pPr>
        <w:spacing w:after="140"/>
      </w:pPr>
      <w:r>
        <w:rPr>
          <w:rFonts w:ascii="Noe Text" w:cs="Noe Text" w:eastAsia="Noe Text" w:hAnsi="Noe Text"/>
          <w:b w:val="false"/>
          <w:bCs w:val="false"/>
          <w:i w:val="false"/>
          <w:iCs w:val="false"/>
          <w:color w:val="333333"/>
          <w:sz w:val="21"/>
          <w:szCs w:val="21"/>
        </w:rPr>
        <w:t xml:space="preserve">Constraints to design around. Three platform boundaries shape the model and should be reflected in build standards: names are unique across the whole service, so two workspaces cannot share an API, product or tag name even though they are otherwise isolated; workspace policies cannot reach service-level named values or backends by name, so anything shared must be provided within the workspace or promoted into it through APIOps; and service-level managed identities are not available inside workspaces, which affects the “call the backend using Managed Identity” pattern — workspace-scoped APIs must use a user-assigned identity made available to the workspace, or have that backend authentication handled at service level. Each of these is a build-time rule, not a blocker.</w:t>
      </w:r>
    </w:p>
    <w:p>
      <w:pPr>
        <w:spacing w:after="140"/>
      </w:pPr>
      <w:r>
        <w:rPr>
          <w:rFonts w:ascii="Noe Text" w:cs="Noe Text" w:eastAsia="Noe Text" w:hAnsi="Noe Text"/>
          <w:b w:val="false"/>
          <w:bCs w:val="false"/>
          <w:i w:val="false"/>
          <w:iCs w:val="false"/>
          <w:color w:val="333333"/>
          <w:sz w:val="21"/>
          <w:szCs w:val="21"/>
        </w:rPr>
        <w:t xml:space="preserve">The workspace decisions in one place: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00"/>
      </w:tblGrid>
      <w:tr>
        <w:trPr>
          <w:tblHeader/>
        </w:trPr>
        <w:tc>
          <w:tcPr>
            <w:tcW w:type="dxa" w:w="17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Decision</w:t>
            </w:r>
          </w:p>
        </w:tc>
        <w:tc>
          <w:tcPr>
            <w:tcW w:type="dxa" w:w="34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The constraint</w:t>
            </w:r>
          </w:p>
        </w:tc>
        <w:tc>
          <w:tcPr>
            <w:tcW w:type="dxa" w:w="42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The Chaucer position</w:t>
            </w:r>
          </w:p>
        </w:tc>
      </w:tr>
      <w:tr>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Gateway</w:t>
            </w:r>
          </w:p>
        </w:tc>
        <w:tc>
          <w:tcPr>
            <w:tcW w:type="dxa" w:w="3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Dedicated workspace gateway vs built-in gateway</w:t>
            </w:r>
          </w:p>
        </w:tc>
        <w:tc>
          <w:tcPr>
            <w:tcW w:type="dxa" w:w="4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Built-in gateway — it is the only option that keeps multi-region, Private Link and custom hostnames</w:t>
            </w:r>
          </w:p>
        </w:tc>
      </w:tr>
      <w:tr>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Number</w:t>
            </w:r>
          </w:p>
        </w:tc>
        <w:tc>
          <w:tcPr>
            <w:tcW w:type="dxa" w:w="3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One per team-owned domain</w:t>
            </w:r>
          </w:p>
        </w:tc>
        <w:tc>
          <w:tcPr>
            <w:tcW w:type="dxa" w:w="4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4 to start (Claims, Policy Admin, Finance, Partner &amp; Broker); add only when a new owning team appears</w:t>
            </w:r>
          </w:p>
        </w:tc>
      </w:tr>
      <w:tr>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Naming</w:t>
            </w:r>
          </w:p>
        </w:tc>
        <w:tc>
          <w:tcPr>
            <w:tcW w:type="dxa" w:w="3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Names unique across the whole service</w:t>
            </w:r>
          </w:p>
        </w:tc>
        <w:tc>
          <w:tcPr>
            <w:tcW w:type="dxa" w:w="4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Prefix API/product/tag names by domain to avoid collisions between workspaces</w:t>
            </w:r>
          </w:p>
        </w:tc>
      </w:tr>
      <w:tr>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Shared config</w:t>
            </w:r>
          </w:p>
        </w:tc>
        <w:tc>
          <w:tcPr>
            <w:tcW w:type="dxa" w:w="3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Workspace policy cannot see service-level named values/backends</w:t>
            </w:r>
          </w:p>
        </w:tc>
        <w:tc>
          <w:tcPr>
            <w:tcW w:type="dxa" w:w="4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Provide shared named values within each workspace via APIOps promotion</w:t>
            </w:r>
          </w:p>
        </w:tc>
      </w:tr>
      <w:tr>
        <w:tc>
          <w:tcPr>
            <w:tcW w:type="dxa" w:w="1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Identity</w:t>
            </w:r>
          </w:p>
        </w:tc>
        <w:tc>
          <w:tcPr>
            <w:tcW w:type="dxa" w:w="3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No service-level managed identity inside workspaces</w:t>
            </w:r>
          </w:p>
        </w:tc>
        <w:tc>
          <w:tcPr>
            <w:tcW w:type="dxa" w:w="4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Use a user-assigned identity for workspace backend auth, or handle at service level</w:t>
            </w:r>
          </w:p>
        </w:tc>
      </w:tr>
    </w:tbl>
    <w:p>
      <w:pPr>
        <w:spacing w:after="60"/>
      </w:pPr>
    </w:p>
    <w:p>
      <w:pPr>
        <w:pStyle w:val="Heading3"/>
        <w:spacing w:after="90" w:before="160"/>
      </w:pPr>
      <w:r>
        <w:rPr>
          <w:rFonts w:ascii="Noe Text Regular" w:cs="Noe Text Regular" w:eastAsia="Noe Text Regular" w:hAnsi="Noe Text Regular"/>
        </w:rPr>
        <w:t xml:space="preserve">How the constructs fit together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Construct</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Governs</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Enforces or informs</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Named values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Configuration and secrets used by policies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Enforces (Key Vault-backed, environment-scoped)</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Products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Which APIs are bundled and their access rules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Enforces (policy, quota, approval)</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Groups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Who can see and subscribe to a product</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Enforces (via Entra ID membership)</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Tags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Categorisation and search</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Informs (discoverability only)</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Workspaces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Which team owns which APIs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Enforces (RBAC-scoped isolation)</w:t>
            </w:r>
          </w:p>
        </w:tc>
      </w:tr>
    </w:tbl>
    <w:p>
      <w:pPr>
        <w:spacing w:after="140"/>
      </w:pPr>
      <w:r>
        <w:rPr>
          <w:rFonts w:ascii="Noe Text" w:cs="Noe Text" w:eastAsia="Noe Text" w:hAnsi="Noe Text"/>
          <w:b w:val="false"/>
          <w:bCs w:val="false"/>
          <w:i w:val="false"/>
          <w:iCs w:val="false"/>
          <w:color w:val="333333"/>
          <w:sz w:val="2"/>
          <w:szCs w:val="2"/>
        </w:rPr>
        <w:t xml:space="preserve"/>
      </w:r>
    </w:p>
    <w:p>
      <w:pPr>
        <w:pStyle w:val="Heading3"/>
        <w:spacing w:after="90" w:before="160"/>
      </w:pPr>
      <w:r>
        <w:rPr>
          <w:rFonts w:ascii="Noe Text Regular" w:cs="Noe Text Regular" w:eastAsia="Noe Text Regular" w:hAnsi="Noe Text Regular"/>
        </w:rPr>
        <w:t xml:space="preserve">Developer portal</w:t>
      </w:r>
    </w:p>
    <w:p>
      <w:pPr>
        <w:spacing w:after="140"/>
      </w:pPr>
      <w:r>
        <w:rPr>
          <w:rFonts w:ascii="Noe Text" w:cs="Noe Text" w:eastAsia="Noe Text" w:hAnsi="Noe Text"/>
          <w:b w:val="false"/>
          <w:bCs w:val="false"/>
          <w:i w:val="false"/>
          <w:iCs w:val="false"/>
          <w:color w:val="333333"/>
          <w:sz w:val="21"/>
          <w:szCs w:val="21"/>
        </w:rPr>
        <w:t xml:space="preserve">The developer portal is APIM's self-service front door for the people who consume APIs. It is an automatically generated, customisable website that publishes the API catalogue, its documentation, and the means to subscribe and test, so that discovering and adopting a Chaucer API does not require a ticket or a conversation. In the wider ecosystem it is the surface that turns the governance constructs above into something a developer actually experiences: products, tags and group visibility all show up here.</w:t>
      </w:r>
    </w:p>
    <w:p>
      <w:pPr>
        <w:pStyle w:val="Heading3"/>
        <w:spacing w:after="90" w:before="160"/>
      </w:pPr>
      <w:r>
        <w:rPr>
          <w:rFonts w:ascii="Noe Text Regular" w:cs="Noe Text Regular" w:eastAsia="Noe Text Regular" w:hAnsi="Noe Text Regular"/>
        </w:rPr>
        <w:t xml:space="preserve">Its role in the ecosystem</w:t>
      </w:r>
    </w:p>
    <w:p>
      <w:pPr>
        <w:spacing w:after="140"/>
      </w:pPr>
      <w:r>
        <w:rPr>
          <w:rFonts w:ascii="Noe Text" w:cs="Noe Text" w:eastAsia="Noe Text" w:hAnsi="Noe Text"/>
          <w:b w:val="false"/>
          <w:bCs w:val="false"/>
          <w:i w:val="false"/>
          <w:iCs w:val="false"/>
          <w:color w:val="333333"/>
          <w:sz w:val="21"/>
          <w:szCs w:val="21"/>
        </w:rPr>
        <w:t xml:space="preserve">APIM has two audiences. The platform and domain teams work in the management plane (portal, CLI, APIOps) to define APIs, products and policies. The consuming developers, internal or partner, live in the developer portal. It is where they find what exists, read how to use it, obtain a subscription key or token, and try calls interactively. Nothing a consumer needs to self-serve should live anywhere else.</w:t>
      </w:r>
    </w:p>
    <w:p>
      <w:pPr>
        <w:pStyle w:val="Heading3"/>
        <w:spacing w:after="90" w:before="160"/>
      </w:pPr>
      <w:r>
        <w:rPr>
          <w:rFonts w:ascii="Noe Text Regular" w:cs="Noe Text Regular" w:eastAsia="Noe Text Regular" w:hAnsi="Noe Text Regular"/>
        </w:rPr>
        <w:t xml:space="preserve">How it supports discovery</w:t>
      </w:r>
    </w:p>
    <w:p>
      <w:pPr>
        <w:spacing w:after="140"/>
      </w:pPr>
      <w:r>
        <w:rPr>
          <w:rFonts w:ascii="Noe Text" w:cs="Noe Text" w:eastAsia="Noe Text" w:hAnsi="Noe Text"/>
          <w:b w:val="false"/>
          <w:bCs w:val="false"/>
          <w:i w:val="false"/>
          <w:iCs w:val="false"/>
          <w:color w:val="333333"/>
          <w:sz w:val="21"/>
          <w:szCs w:val="21"/>
        </w:rPr>
        <w:t xml:space="preserve">The portal lists the products and APIs a signed-in developer is allowed to see, filtered by their Entra ID group membership, so a broker sees broker products and never an internal-only API. Within that, developers browse by product, search by name, and filter by tag, which is why a consistent tag taxonomy (section 6.7) matters: tags are the primary discovery axis in the portal. Each API page carries its operations, request and response schemas, and an interactive console for trying a call against a real or mock backend.</w:t>
      </w:r>
    </w:p>
    <w:p>
      <w:pPr>
        <w:pStyle w:val="Heading3"/>
        <w:spacing w:after="90" w:before="160"/>
      </w:pPr>
      <w:r>
        <w:rPr>
          <w:rFonts w:ascii="Noe Text Regular" w:cs="Noe Text Regular" w:eastAsia="Noe Text Regular" w:hAnsi="Noe Text Regular"/>
        </w:rPr>
        <w:t xml:space="preserve">How products surface to developers</w:t>
      </w:r>
    </w:p>
    <w:p>
      <w:pPr>
        <w:spacing w:after="140"/>
      </w:pPr>
      <w:r>
        <w:rPr>
          <w:rFonts w:ascii="Noe Text" w:cs="Noe Text" w:eastAsia="Noe Text" w:hAnsi="Noe Text"/>
          <w:b w:val="false"/>
          <w:bCs w:val="false"/>
          <w:i w:val="false"/>
          <w:iCs w:val="false"/>
          <w:color w:val="333333"/>
          <w:sz w:val="21"/>
          <w:szCs w:val="21"/>
        </w:rPr>
        <w:t xml:space="preserve">Grouping is expressed through products, not raw APIs. A developer sees a product tile, for example External Broker, opens it to view the APIs it bundles, and subscribes to the product as a unit. The subscription they receive then works across every API in that product. This is deliberate: it means Chaucer curates the consumer's experience at the product level, and a developer never has to assemble access API by API.</w:t>
      </w:r>
    </w:p>
    <w:p>
      <w:pPr>
        <w:pStyle w:val="Heading3"/>
        <w:spacing w:after="90" w:before="160"/>
      </w:pPr>
      <w:r>
        <w:rPr>
          <w:rFonts w:ascii="Noe Text Regular" w:cs="Noe Text Regular" w:eastAsia="Noe Text Regular" w:hAnsi="Noe Text Regular"/>
        </w:rPr>
        <w:t xml:space="preserve">Onboarding a new consumer</w:t>
      </w:r>
    </w:p>
    <w:p>
      <w:pPr>
        <w:spacing w:after="140"/>
      </w:pPr>
      <w:r>
        <w:rPr>
          <w:rFonts w:ascii="Noe Text" w:cs="Noe Text" w:eastAsia="Noe Text" w:hAnsi="Noe Text"/>
          <w:b w:val="false"/>
          <w:bCs w:val="false"/>
          <w:i w:val="false"/>
          <w:iCs w:val="false"/>
          <w:color w:val="333333"/>
          <w:sz w:val="21"/>
          <w:szCs w:val="21"/>
        </w:rPr>
        <w:t xml:space="preserve">The end-to-end path for bringing a new broker, partner or internal team onto the platform through the portal:</w:t>
      </w:r>
    </w:p>
    <w:p>
      <w:pPr>
        <w:pStyle w:val="ListParagraph"/>
        <w:numPr>
          <w:ilvl w:val="0"/>
          <w:numId w:val="2"/>
        </w:numPr>
        <w:spacing w:after="70"/>
      </w:pPr>
      <w:r>
        <w:rPr>
          <w:rFonts w:ascii="Noe Text" w:cs="Noe Text" w:eastAsia="Noe Text" w:hAnsi="Noe Text"/>
          <w:color w:val="333333"/>
          <w:sz w:val="21"/>
          <w:szCs w:val="21"/>
        </w:rPr>
        <w:t xml:space="preserve">Access: the consumer is added to the appropriate Entra ID group (for example, a specific partner's group). Sign-in to the portal is through Entra ID single sign-on; self-registration is disabled, so access is deliberate.</w:t>
      </w:r>
    </w:p>
    <w:p>
      <w:pPr>
        <w:pStyle w:val="ListParagraph"/>
        <w:numPr>
          <w:ilvl w:val="0"/>
          <w:numId w:val="2"/>
        </w:numPr>
        <w:spacing w:after="70"/>
      </w:pPr>
      <w:r>
        <w:rPr>
          <w:rFonts w:ascii="Noe Text" w:cs="Noe Text" w:eastAsia="Noe Text" w:hAnsi="Noe Text"/>
          <w:color w:val="333333"/>
          <w:sz w:val="21"/>
          <w:szCs w:val="21"/>
        </w:rPr>
        <w:t xml:space="preserve">Discover: signed in, they see only the products their group is permitted to view, and browse the APIs and documentation within them.</w:t>
      </w:r>
    </w:p>
    <w:p>
      <w:pPr>
        <w:pStyle w:val="ListParagraph"/>
        <w:numPr>
          <w:ilvl w:val="0"/>
          <w:numId w:val="2"/>
        </w:numPr>
        <w:spacing w:after="70"/>
      </w:pPr>
      <w:r>
        <w:rPr>
          <w:rFonts w:ascii="Noe Text" w:cs="Noe Text" w:eastAsia="Noe Text" w:hAnsi="Noe Text"/>
          <w:color w:val="333333"/>
          <w:sz w:val="21"/>
          <w:szCs w:val="21"/>
        </w:rPr>
        <w:t xml:space="preserve">Subscribe: they request a subscription to the relevant product. For external products this triggers an approval step; for trusted internal products it can be automatic.</w:t>
      </w:r>
    </w:p>
    <w:p>
      <w:pPr>
        <w:pStyle w:val="ListParagraph"/>
        <w:numPr>
          <w:ilvl w:val="0"/>
          <w:numId w:val="2"/>
        </w:numPr>
        <w:spacing w:after="70"/>
      </w:pPr>
      <w:r>
        <w:rPr>
          <w:rFonts w:ascii="Noe Text" w:cs="Noe Text" w:eastAsia="Noe Text" w:hAnsi="Noe Text"/>
          <w:color w:val="333333"/>
          <w:sz w:val="21"/>
          <w:szCs w:val="21"/>
        </w:rPr>
        <w:t xml:space="preserve">Credentials: on approval, a subscription key is issued, and for OAuth-protected APIs the consumer's application obtains a token from Entra ID. The backend never sees a raw credential, only a validated token or key.</w:t>
      </w:r>
    </w:p>
    <w:p>
      <w:pPr>
        <w:pStyle w:val="ListParagraph"/>
        <w:numPr>
          <w:ilvl w:val="0"/>
          <w:numId w:val="2"/>
        </w:numPr>
        <w:spacing w:after="70"/>
      </w:pPr>
      <w:r>
        <w:rPr>
          <w:rFonts w:ascii="Noe Text" w:cs="Noe Text" w:eastAsia="Noe Text" w:hAnsi="Noe Text"/>
          <w:color w:val="333333"/>
          <w:sz w:val="21"/>
          <w:szCs w:val="21"/>
        </w:rPr>
        <w:t xml:space="preserve">Test and integrate: using the interactive console and the published schemas, the consumer validates their calls, then integrates against the stable published contract rather than against a specific backend.</w:t>
      </w:r>
    </w:p>
    <w:p>
      <w:pPr>
        <w:pStyle w:val="Heading3"/>
        <w:spacing w:after="90" w:before="160"/>
      </w:pPr>
      <w:r>
        <w:rPr>
          <w:rFonts w:ascii="Noe Text Regular" w:cs="Noe Text Regular" w:eastAsia="Noe Text Regular" w:hAnsi="Noe Text Regular"/>
        </w:rPr>
        <w:t xml:space="preserve">How to navigate the portal, in brief</w:t>
      </w:r>
    </w:p>
    <w:p>
      <w:pPr>
        <w:spacing w:after="140"/>
      </w:pPr>
      <w:r>
        <w:rPr>
          <w:rFonts w:ascii="Noe Text" w:cs="Noe Text" w:eastAsia="Noe Text" w:hAnsi="Noe Text"/>
          <w:b w:val="false"/>
          <w:bCs w:val="false"/>
          <w:i w:val="false"/>
          <w:iCs w:val="false"/>
          <w:color w:val="333333"/>
          <w:sz w:val="21"/>
          <w:szCs w:val="21"/>
        </w:rPr>
        <w:t xml:space="preserve">For a first-time user, the flow through the portal is short and predictable: sign in with the corporate or partner identity; land on the catalogue of visible products; open a product to see its APIs; open an API to read its operations and schemas; use the built-in console to send a test call with a subscription key or token; and manage subscriptions and keys from the profile area. The platform team can brand and customise the portal, add getting-started pages and onboarding guidance, and control exactly which content each audience sees, so the portal Chaucer publishes is a curated experience rather than a raw list.</w:t>
      </w:r>
    </w:p>
    <w:p>
      <w:pPr>
        <w:pStyle w:val="Heading3"/>
        <w:spacing w:after="90" w:before="160"/>
      </w:pPr>
      <w:r>
        <w:rPr>
          <w:rFonts w:ascii="Noe Text Regular" w:cs="Noe Text Regular" w:eastAsia="Noe Text Regular" w:hAnsi="Noe Text Regular"/>
        </w:rPr>
        <w:t xml:space="preserve">The API consumer journey, end to end</w:t>
      </w:r>
    </w:p>
    <w:p>
      <w:pPr>
        <w:spacing w:after="140"/>
      </w:pPr>
      <w:r>
        <w:rPr>
          <w:rFonts w:ascii="Noe Text" w:cs="Noe Text" w:eastAsia="Noe Text" w:hAnsi="Noe Text"/>
          <w:b w:val="false"/>
          <w:bCs w:val="false"/>
          <w:i w:val="false"/>
          <w:iCs w:val="false"/>
          <w:color w:val="333333"/>
          <w:sz w:val="21"/>
          <w:szCs w:val="21"/>
        </w:rPr>
        <w:t xml:space="preserve">The portal navigation above covers a first visit; this section sets out the whole consumer journey, from being granted access to steady-state production use, so that what a broker or internal team actually experiences is designed rather than assumed. It runs in ten steps across two halves: getting connected (steps 1–5) and running in production (steps 6–10).</w:t>
      </w:r>
    </w:p>
    <w:p xmlns:a="http://schemas.openxmlformats.org/drawingml/2006/main" xmlns:pic="http://schemas.openxmlformats.org/drawingml/2006/picture">
      <w:pPr>
        <w:spacing w:after="120" w:before="80"/>
        <w:jc w:val="center"/>
      </w:pPr>
      <w:r>
        <w:drawing>
          <wp:inline distT="0" distB="0" distL="0" distR="0">
            <wp:extent cx="5943600" cy="1171366"/>
            <wp:effectExtent t="0" r="0" b="0" l="0"/>
            <wp:docPr id="202"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42" cstate="none"/>
                    <a:srcRect/>
                    <a:stretch>
                      <a:fillRect/>
                    </a:stretch>
                  </pic:blipFill>
                  <pic:spPr bwMode="auto">
                    <a:xfrm>
                      <a:off x="0" y="0"/>
                      <a:ext cx="5943600" cy="1171366"/>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19: The API consumer journey — ten steps from access granted to steady-state use, support and versioning</w:t>
      </w:r>
    </w:p>
    <w:p>
      <w:pPr>
        <w:spacing w:after="140"/>
      </w:pPr>
      <w:r>
        <w:rPr>
          <w:rFonts w:ascii="Noe Text" w:cs="Noe Text" w:eastAsia="Noe Text" w:hAnsi="Noe Text"/>
          <w:b w:val="false"/>
          <w:bCs w:val="false"/>
          <w:i w:val="false"/>
          <w:iCs w:val="false"/>
          <w:color w:val="333333"/>
          <w:sz w:val="21"/>
          <w:szCs w:val="21"/>
        </w:rPr>
        <w:t xml:space="preserve">Getting connected. A consumer is first added to the appropriate Entra ID group, which is what makes any products visible to them; there is no self-registration. Signing in to the developer portal through single sign-on, they see only the products their group permits, browse the APIs and documentation, and request a subscription to the product they need — automatic for trusted internal products, gated by approval for external ones. On approval a subscription key is issued, and for OAuth-protected APIs their application obtains a token from Entra ID; the backend never sees a raw credential. They validate their integration against the published contract using the interactive console before writing any real code.</w:t>
      </w:r>
    </w:p>
    <w:p>
      <w:pPr>
        <w:spacing w:after="140"/>
      </w:pPr>
      <w:r>
        <w:rPr>
          <w:rFonts w:ascii="Noe Text" w:cs="Noe Text" w:eastAsia="Noe Text" w:hAnsi="Noe Text"/>
          <w:b w:val="false"/>
          <w:bCs w:val="false"/>
          <w:i w:val="false"/>
          <w:iCs w:val="false"/>
          <w:color w:val="333333"/>
          <w:sz w:val="21"/>
          <w:szCs w:val="21"/>
        </w:rPr>
        <w:t xml:space="preserve">Running in production. In steady state the consumer calls the API through APIM, where JWT validation and per-subscription rate limits and quotas are enforced at the gateway on every call. Their client is expected to handle throttling and transient failure gracefully — backing off on HTTP 429 and 5xx responses and honouring the rate-limit headers the gateway returns — rather than retrying blindly. Because every request carries a correlation ID and per-consumer telemetry is captured, both Chaucer and (through the portal) the consumer can see usage and diagnose issues against a single trace. When a breaking change is coming, the consumer’s own tooling is warned in-band by the Sunset and Deprecation headers described in section 6.9, giving a defined window to migrate to the next version. Day-to-day, the consumer manages their own subscriptions and rotates their keys from the portal profile area, so routine credential hygiene does not require a Chaucer ticket.</w:t>
      </w:r>
    </w:p>
    <w:p>
      <w:pPr>
        <w:spacing w:after="140"/>
      </w:pPr>
      <w:r>
        <w:rPr>
          <w:rFonts w:ascii="Noe Text" w:cs="Noe Text" w:eastAsia="Noe Text" w:hAnsi="Noe Text"/>
          <w:b w:val="false"/>
          <w:bCs w:val="false"/>
          <w:i w:val="false"/>
          <w:iCs w:val="false"/>
          <w:color w:val="333333"/>
          <w:sz w:val="21"/>
          <w:szCs w:val="21"/>
        </w:rPr>
        <w:t xml:space="preserve">Two responsibilities sit with Chaucer to make this journey real and should be confirmed as operational tasks, not assumptions: a named owner for approving external subscription requests within an agreed SLA, and a defined support and escalation path (who a partner contacts when a call fails, and how correlation IDs are used to resolve it). Both are recorded against the identity and operating-model items in the assumptions register.</w:t>
      </w:r>
    </w:p>
    <w:p>
      <w:pPr>
        <w:pStyle w:val="Heading2"/>
        <w:spacing w:after="100" w:before="200"/>
      </w:pPr>
      <w:r>
        <w:rPr>
          <w:rFonts w:ascii="Noe Text Regular" w:cs="Noe Text Regular" w:eastAsia="Noe Text Regular" w:hAnsi="Noe Text Regular"/>
        </w:rPr>
        <w:t xml:space="preserve">6.8 API Design Standards, Policies and Governance</w:t>
      </w:r>
    </w:p>
    <w:p>
      <w:pPr>
        <w:pStyle w:val="Heading3"/>
        <w:spacing w:after="90" w:before="160"/>
      </w:pPr>
      <w:r>
        <w:rPr>
          <w:rFonts w:ascii="Noe Text Regular" w:cs="Noe Text Regular" w:eastAsia="Noe Text Regular" w:hAnsi="Noe Text Regular"/>
        </w:rPr>
        <w:t xml:space="preserve">Target operating model and RACI</w:t>
      </w:r>
    </w:p>
    <w:p>
      <w:pPr>
        <w:spacing w:after="140"/>
      </w:pPr>
      <w:r>
        <w:rPr>
          <w:rFonts w:ascii="Noe Text" w:cs="Noe Text" w:eastAsia="Noe Text" w:hAnsi="Noe Text"/>
          <w:b w:val="false"/>
          <w:bCs w:val="false"/>
          <w:i w:val="false"/>
          <w:iCs w:val="false"/>
          <w:color w:val="333333"/>
          <w:sz w:val="21"/>
          <w:szCs w:val="21"/>
        </w:rPr>
        <w:t xml:space="preserve">Governance only works if ownership is unambiguous. The model is a federated one: a central Platform team owns and runs the shared APIM platform and its guardrails, while Domain teams own the APIs inside their workspace; Network, Identity, Security and Compliance own their respective controls across all domains. The RACI below fixes who is Responsible, Accountable, Consulted and Informed for the activities that recur.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150"/>
        <w:gridCol w:w="1150"/>
        <w:gridCol w:w="1150"/>
        <w:gridCol w:w="1150"/>
        <w:gridCol w:w="1150"/>
        <w:gridCol w:w="1150"/>
      </w:tblGrid>
      <w:tr>
        <w:trPr>
          <w:tblHeader/>
        </w:trPr>
        <w:tc>
          <w:tcPr>
            <w:tcW w:type="dxa" w:w="24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Activity</w:t>
            </w:r>
          </w:p>
        </w:tc>
        <w:tc>
          <w:tcPr>
            <w:tcW w:type="dxa" w:w="115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Platform</w:t>
            </w:r>
          </w:p>
        </w:tc>
        <w:tc>
          <w:tcPr>
            <w:tcW w:type="dxa" w:w="115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Domain</w:t>
            </w:r>
          </w:p>
        </w:tc>
        <w:tc>
          <w:tcPr>
            <w:tcW w:type="dxa" w:w="115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Network</w:t>
            </w:r>
          </w:p>
        </w:tc>
        <w:tc>
          <w:tcPr>
            <w:tcW w:type="dxa" w:w="115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Identity</w:t>
            </w:r>
          </w:p>
        </w:tc>
        <w:tc>
          <w:tcPr>
            <w:tcW w:type="dxa" w:w="115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Security</w:t>
            </w:r>
          </w:p>
        </w:tc>
        <w:tc>
          <w:tcPr>
            <w:tcW w:type="dxa" w:w="115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Compliance</w:t>
            </w:r>
          </w:p>
        </w:tc>
      </w:tr>
      <w:tr>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Run the APIM platform (upgrades, capacity, guardrails)</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A/R</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r>
      <w:tr>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Design &amp; build an API</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A/R</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r>
      <w:tr>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Onboard &amp; publish an API (gates)</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A/R</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R</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r>
      <w:tr>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Baseline policy &amp; security configuration</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A/R</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r>
      <w:tr>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Network changes (UDR/NSG/DNS/firewall)</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A/R</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r>
      <w:tr>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Identity groups &amp; app registrations</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A/R</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r>
      <w:tr>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Security controls &amp; threat monitoring</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A/R</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r>
      <w:tr>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Compliance evidence &amp; sign-off</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A/R</w:t>
            </w:r>
          </w:p>
        </w:tc>
      </w:tr>
      <w:tr>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Deprecation &amp; partner migration</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A/R</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R</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r>
      <w:tr>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Incident response</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A/R</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R</w:t>
            </w:r>
          </w:p>
        </w:tc>
        <w:tc>
          <w:tcPr>
            <w:tcW w:type="dxa" w:w="115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w:t>
            </w:r>
          </w:p>
        </w:tc>
      </w:tr>
    </w:tbl>
    <w:p>
      <w:pPr>
        <w:spacing w:after="140"/>
      </w:pPr>
      <w:r>
        <w:rPr>
          <w:rFonts w:ascii="Noe Text" w:cs="Noe Text" w:eastAsia="Noe Text" w:hAnsi="Noe Text"/>
          <w:b w:val="false"/>
          <w:bCs w:val="false"/>
          <w:i w:val="false"/>
          <w:iCs w:val="false"/>
          <w:color w:val="333333"/>
          <w:sz w:val="21"/>
          <w:szCs w:val="21"/>
        </w:rPr>
        <w:t xml:space="preserve">R = Responsible (does the work), A = Accountable (owns the outcome), C = Consulted, I = Informed. Named individuals for each accountable role are to be recorded by Chaucer against this table before go-live.</w:t>
      </w:r>
    </w:p>
    <w:p>
      <w:pPr>
        <w:spacing w:after="140"/>
      </w:pPr>
      <w:r>
        <w:rPr>
          <w:rFonts w:ascii="Noe Text" w:cs="Noe Text" w:eastAsia="Noe Text" w:hAnsi="Noe Text"/>
          <w:b w:val="false"/>
          <w:bCs w:val="false"/>
          <w:i w:val="false"/>
          <w:iCs w:val="false"/>
          <w:color w:val="333333"/>
          <w:sz w:val="21"/>
          <w:szCs w:val="21"/>
        </w:rPr>
        <w:t xml:space="preserve">APIM policies apply at four levels, and the most specific one always wins: Global, then Product, then API, then Operation. Chaucer should keep global policies to the handful that must never be skipped everywhere (correlation ID, HTTPS enforcement, header stripping), and push everything consumer-specific down to Product level, where it belongs.</w:t>
      </w:r>
    </w:p>
    <w:p>
      <w:pPr>
        <w:spacing w:after="140"/>
      </w:pPr>
      <w:r>
        <w:rPr>
          <w:rFonts w:ascii="Noe Text" w:cs="Noe Text" w:eastAsia="Noe Text" w:hAnsi="Noe Text"/>
          <w:b w:val="false"/>
          <w:bCs w:val="false"/>
          <w:i w:val="false"/>
          <w:iCs w:val="false"/>
          <w:color w:val="333333"/>
          <w:sz w:val="21"/>
          <w:szCs w:val="21"/>
        </w:rPr>
        <w:t xml:space="preserve">Rather than let each team write policies from scratch, the platform ships a small library of reusable policy fragments that are referenced by name, so a fix to the standard JWT-validation fragment updates every API that includes it. The matrix below shows which standard policy applies at which scope. The full policy snippets themselves are in the Security section.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Policy</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Scope</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Purpose</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Correlation ID injection</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Global</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Stamp every request with a trace ID carried through to the backend and logs</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HTTPS and TLS 1.2 enforcement</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Global</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Reject any non-TLS or outdated-protocol request outright</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Sensitive header stripping</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Global</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Remove internal headers before a response leaves the gateway</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JWT validation</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Product</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Check token issuer, audience, expiry and scope per consumer group</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Rate limit and quota</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Product</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Cap each subscription so one consumer cannot exhaust the platform</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Managed identity to backend</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Authenticate to the backend with no stored secret</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Response caching</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Operation</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Cache safe, cacheable GETs where the backend allows it</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IP allow-list and shared secret</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Operation</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Lock a specific webhook operation to a known source</w:t>
            </w:r>
          </w:p>
        </w:tc>
      </w:tr>
    </w:tbl>
    <w:p>
      <w:pPr>
        <w:spacing w:after="140"/>
      </w:pPr>
      <w:r>
        <w:rPr>
          <w:rFonts w:ascii="Noe Text" w:cs="Noe Text" w:eastAsia="Noe Text" w:hAnsi="Noe Text"/>
          <w:b w:val="false"/>
          <w:bCs w:val="false"/>
          <w:i w:val="false"/>
          <w:iCs w:val="false"/>
          <w:color w:val="333333"/>
          <w:sz w:val="2"/>
          <w:szCs w:val="2"/>
        </w:rPr>
        <w:t xml:space="preserve"/>
      </w:r>
    </w:p>
    <w:p>
      <w:pPr>
        <w:spacing w:after="140"/>
      </w:pPr>
      <w:r>
        <w:rPr>
          <w:rFonts w:ascii="Noe Text" w:cs="Noe Text" w:eastAsia="Noe Text" w:hAnsi="Noe Text"/>
          <w:b w:val="false"/>
          <w:bCs w:val="false"/>
          <w:i w:val="false"/>
          <w:iCs w:val="false"/>
          <w:color w:val="333333"/>
          <w:sz w:val="21"/>
          <w:szCs w:val="21"/>
        </w:rPr>
        <w:t xml:space="preserve">This keeps the number of distinct policies small and consistent: a reviewer can see at a glance what is enforced everywhere versus what is specific to one consumer or one operation, which is the point of a policy design rather than a pile of per-API XML.</w:t>
      </w:r>
    </w:p>
    <w:p>
      <w:pPr>
        <w:spacing w:after="140"/>
      </w:pPr>
      <w:r>
        <w:rPr>
          <w:rFonts w:ascii="Noe Text" w:cs="Noe Text" w:eastAsia="Noe Text" w:hAnsi="Noe Text"/>
          <w:b w:val="false"/>
          <w:bCs w:val="false"/>
          <w:i w:val="false"/>
          <w:iCs w:val="false"/>
          <w:color w:val="333333"/>
          <w:sz w:val="21"/>
          <w:szCs w:val="21"/>
        </w:rPr>
        <w:t xml:space="preserve">Governance matters as much as structure: the value of a shared policy library is lost if any team can quietly override a global control at a lower scope. The design therefore assigns clear ownership, and treats global security policies as protected, changeable only through the platform and security owners rather than by an individual API team. Who owns each policy area is set out below; the exception-approval row is the control that stops a lower scope silently weakening a global rule.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Policy area</w:t>
            </w:r>
          </w:p>
        </w:tc>
        <w:tc>
          <w:tcPr>
            <w:tcW w:type="dxa" w:w="465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Owner</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Authentication</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Platform / Security</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Rate limiting</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 Platform</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Security headers</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Platform / Security</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Transformation</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 team</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Consumer-specific quota</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Product / API owner</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Logging</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Platform / Security</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Exception approval</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Architecture / Security</w:t>
            </w:r>
          </w:p>
        </w:tc>
      </w:tr>
    </w:tbl>
    <w:p>
      <w:pPr>
        <w:pStyle w:val="Heading3"/>
        <w:spacing w:after="90" w:before="160"/>
      </w:pPr>
      <w:r>
        <w:rPr>
          <w:rFonts w:ascii="Noe Text Regular" w:cs="Noe Text Regular" w:eastAsia="Noe Text Regular" w:hAnsi="Noe Text Regular"/>
        </w:rPr>
        <w:t xml:space="preserve">RBAC role assignments (to confirm with Chaucer Identity and Platform)</w:t>
      </w:r>
    </w:p>
    <w:p>
      <w:pPr>
        <w:spacing w:after="140"/>
      </w:pPr>
      <w:r>
        <w:rPr>
          <w:rFonts w:ascii="Noe Text" w:cs="Noe Text" w:eastAsia="Noe Text" w:hAnsi="Noe Text"/>
          <w:b w:val="false"/>
          <w:bCs w:val="false"/>
          <w:i w:val="false"/>
          <w:iCs w:val="false"/>
          <w:color w:val="333333"/>
          <w:sz w:val="21"/>
          <w:szCs w:val="21"/>
        </w:rPr>
        <w:t xml:space="preserve">Policy ownership above states who is accountable for each area; the table below maps that to the actual Azure role each group needs, so an implementer can create the role assignments directly rather than infer them. All assignments are scoped as narrowly as the built-in roles allow, and none are assigned to individuals, only to Entra ID groups.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00"/>
      </w:tblGrid>
      <w:tr>
        <w:trPr>
          <w:tblHeader/>
        </w:trPr>
        <w:tc>
          <w:tcPr>
            <w:tcW w:type="dxa" w:w="26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Scope</w:t>
            </w:r>
          </w:p>
        </w:tc>
        <w:tc>
          <w:tcPr>
            <w:tcW w:type="dxa" w:w="36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Azure role</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Assigned to</w:t>
            </w:r>
          </w:p>
        </w:tc>
      </w:tr>
      <w:tr>
        <w:trPr>
          <w:tblHeader w:val="false"/>
        </w:trP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 service (full control)</w:t>
            </w:r>
          </w:p>
        </w:tc>
        <w:tc>
          <w:tcPr>
            <w:tcW w:type="dxa" w:w="3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 Management Service Contributor</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Platform team break-glass group only (section 6.6); day-to-day changes flow through APIOps, not this role</w:t>
            </w:r>
          </w:p>
        </w:tc>
      </w:tr>
      <w:tr>
        <w:trPr>
          <w:tblHeader w:val="false"/>
        </w:trP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Workspace (per business domain)</w:t>
            </w:r>
          </w:p>
        </w:tc>
        <w:tc>
          <w:tcPr>
            <w:tcW w:type="dxa" w:w="3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 Management Workspace Contributor / API Management Workspace API Developer</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Domain team Entra ID group for that workspace (Claims, Policy Admin, Finance, Partner and Broker)</w:t>
            </w:r>
          </w:p>
        </w:tc>
      </w:tr>
      <w:tr>
        <w:trPr>
          <w:tblHeader w:val="false"/>
        </w:trP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Named values and secrets</w:t>
            </w:r>
          </w:p>
        </w:tc>
        <w:tc>
          <w:tcPr>
            <w:tcW w:type="dxa" w:w="3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 Management Service Contributor scoped to named values, plus Key Vault Secrets User on the backing vault</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Platform / Security group only; never assigned at workspace scope for Key Vault-backed secrets</w:t>
            </w:r>
          </w:p>
        </w:tc>
      </w:tr>
      <w:tr>
        <w:trPr>
          <w:tblHeader w:val="false"/>
        </w:trP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APIOps pipeline service principal</w:t>
            </w:r>
          </w:p>
        </w:tc>
        <w:tc>
          <w:tcPr>
            <w:tcW w:type="dxa" w:w="3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 Management Service Contributor (or workspace-scoped equivalent for workspace-only pipelines)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Pipeline service connection / managed identity, not a human account</w:t>
            </w:r>
          </w:p>
        </w:tc>
      </w:tr>
      <w:tr>
        <w:trPr>
          <w:tblHeader w:val="false"/>
        </w:trP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Read-only estate visibility</w:t>
            </w:r>
          </w:p>
        </w:tc>
        <w:tc>
          <w:tcPr>
            <w:tcW w:type="dxa" w:w="3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 Management Service Reader</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Architecture, security and audit groups who need to see configuration without changing it</w:t>
            </w:r>
          </w:p>
        </w:tc>
      </w:tr>
      <w:tr>
        <w:trPr>
          <w:tblHeader w:val="false"/>
        </w:trP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Resource group / networking</w:t>
            </w:r>
          </w:p>
        </w:tc>
        <w:tc>
          <w:tcPr>
            <w:tcW w:type="dxa" w:w="3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Network Contributor (subnet and NSG scope only)</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 Network team, scoped to the APIM subnet, not the wider hub</w:t>
            </w:r>
          </w:p>
        </w:tc>
      </w:tr>
    </w:tbl>
    <w:p>
      <w:pPr>
        <w:spacing w:after="140"/>
      </w:pPr>
      <w:r>
        <w:rPr>
          <w:rFonts w:ascii="Noe Text" w:cs="Noe Text" w:eastAsia="Noe Text" w:hAnsi="Noe Text"/>
          <w:b w:val="false"/>
          <w:bCs w:val="false"/>
          <w:i/>
          <w:iCs/>
          <w:color w:val="333333"/>
          <w:sz w:val="21"/>
          <w:szCs w:val="21"/>
        </w:rPr>
        <w:t xml:space="preserve">This table proposes a starting model; the exact built-in role names should be validated against the current Azure role definitions at build time, since Microsoft periodically introduces more granular workspace-scoped roles.</w:t>
      </w:r>
    </w:p>
    <w:p>
      <w:pPr>
        <w:spacing w:after="140"/>
      </w:pPr>
      <w:r>
        <w:rPr>
          <w:rFonts w:ascii="Noe Text" w:cs="Noe Text" w:eastAsia="Noe Text" w:hAnsi="Noe Text"/>
          <w:b w:val="false"/>
          <w:bCs w:val="false"/>
          <w:i w:val="false"/>
          <w:iCs w:val="false"/>
          <w:color w:val="333333"/>
          <w:sz w:val="2"/>
          <w:szCs w:val="2"/>
        </w:rPr>
        <w:t xml:space="preserve"/>
      </w:r>
    </w:p>
    <w:p>
      <w:pPr>
        <w:spacing w:after="140"/>
      </w:pPr>
      <w:r>
        <w:rPr>
          <w:rFonts w:ascii="Noe Text" w:cs="Noe Text" w:eastAsia="Noe Text" w:hAnsi="Noe Text"/>
          <w:b w:val="false"/>
          <w:bCs w:val="false"/>
          <w:i w:val="false"/>
          <w:iCs w:val="false"/>
          <w:color w:val="333333"/>
          <w:sz w:val="21"/>
          <w:szCs w:val="21"/>
        </w:rPr>
        <w:t xml:space="preserve">A small, empowered governance board sets the standards; automation enforces them so governance never becomes a bottleneck.</w:t>
      </w:r>
    </w:p>
    <w:p>
      <w:pPr>
        <w:spacing w:after="120" w:before="80"/>
        <w:jc w:val="center"/>
      </w:pPr>
      <w:r>
        <w:drawing>
          <wp:inline distT="0" distB="0" distL="0" distR="0">
            <wp:extent cx="54864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1628775"/>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20: API governance framework</w:t>
      </w:r>
    </w:p>
    <w:p>
      <w:pPr>
        <w:spacing w:after="140"/>
      </w:pPr>
      <w:r>
        <w:rPr>
          <w:rFonts w:ascii="Noe Text" w:cs="Noe Text" w:eastAsia="Noe Text" w:hAnsi="Noe Text"/>
          <w:b w:val="false"/>
          <w:bCs w:val="false"/>
          <w:i w:val="false"/>
          <w:iCs w:val="false"/>
          <w:color w:val="333333"/>
          <w:sz w:val="21"/>
          <w:szCs w:val="21"/>
        </w:rPr>
        <w:t xml:space="preserve">Every API also moves through the same seven lifecycle stages, with no manual hand-off between them, and usage analytics from the Monitor stage feed straight back into the next design cycle.</w:t>
      </w:r>
    </w:p>
    <w:p>
      <w:pPr>
        <w:spacing w:after="120" w:before="80"/>
        <w:jc w:val="center"/>
      </w:pPr>
      <w:r>
        <w:drawing>
          <wp:inline distT="0" distB="0" distL="0" distR="0">
            <wp:extent cx="54864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1352550"/>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21: API lifecycle management, Chaucer</w:t>
      </w:r>
    </w:p>
    <w:p>
      <w:pPr>
        <w:spacing w:after="140"/>
      </w:pPr>
      <w:r>
        <w:rPr>
          <w:rFonts w:ascii="Noe Text" w:cs="Noe Text" w:eastAsia="Noe Text" w:hAnsi="Noe Text"/>
          <w:b w:val="false"/>
          <w:bCs w:val="false"/>
          <w:i w:val="false"/>
          <w:iCs w:val="false"/>
          <w:color w:val="333333"/>
          <w:sz w:val="21"/>
          <w:szCs w:val="21"/>
        </w:rPr>
        <w:t xml:space="preserve">In practice, this maps onto concrete gates: intake registers the API and its intended consumers, design review checks schema and naming standards, a security gate confirms scopes and rate limits, pre-production sign-off requires automated policy and contract tests to pass, and production publish makes the API visible in the Developer Portal under an approved product. Retirement follows a defined deprecation notice and sunset window rather than a silent removal.</w:t>
      </w:r>
    </w:p>
    <w:p>
      <w:pPr>
        <w:pStyle w:val="Heading3"/>
        <w:spacing w:after="90" w:before="160"/>
      </w:pPr>
      <w:r>
        <w:rPr>
          <w:rFonts w:ascii="Noe Text Regular" w:cs="Noe Text Regular" w:eastAsia="Noe Text Regular" w:hAnsi="Noe Text Regular"/>
        </w:rPr>
        <w:t xml:space="preserve">Onboarding a new API</w:t>
      </w:r>
    </w:p>
    <w:p>
      <w:pPr>
        <w:spacing w:after="140"/>
      </w:pPr>
      <w:r>
        <w:rPr>
          <w:rFonts w:ascii="Noe Text" w:cs="Noe Text" w:eastAsia="Noe Text" w:hAnsi="Noe Text"/>
          <w:b w:val="false"/>
          <w:bCs w:val="false"/>
          <w:i w:val="false"/>
          <w:iCs w:val="false"/>
          <w:color w:val="333333"/>
          <w:sz w:val="21"/>
          <w:szCs w:val="21"/>
        </w:rPr>
        <w:t xml:space="preserve">This section describes the end-to-end path for bringing a new API onto the platform using the governance constructs above, so that every API added to Chaucer's estate is consistent, discoverable, secured and owned from day one. It ties together naming, product and group assignment, tagging and workspace placement into one repeatable process rather than a series of ad hoc choices.</w:t>
      </w:r>
    </w:p>
    <w:p>
      <w:pPr>
        <w:pStyle w:val="Heading3"/>
        <w:spacing w:after="90" w:before="160"/>
      </w:pPr>
      <w:r>
        <w:rPr>
          <w:rFonts w:ascii="Noe Text Regular" w:cs="Noe Text Regular" w:eastAsia="Noe Text Regular" w:hAnsi="Noe Text Regular"/>
        </w:rPr>
        <w:t xml:space="preserve">The end-to-end flow</w:t>
      </w:r>
    </w:p>
    <w:p>
      <w:pPr>
        <w:spacing w:after="140"/>
      </w:pPr>
      <w:r>
        <w:rPr>
          <w:rFonts w:ascii="Noe Text" w:cs="Noe Text" w:eastAsia="Noe Text" w:hAnsi="Noe Text"/>
          <w:b w:val="false"/>
          <w:bCs w:val="false"/>
          <w:i w:val="false"/>
          <w:iCs w:val="false"/>
          <w:color w:val="333333"/>
          <w:sz w:val="21"/>
          <w:szCs w:val="21"/>
        </w:rPr>
        <w:t xml:space="preserve">The diagram below shows the end-to-end onboarding path at a glance; the steps beneath it describe each stage in detail.</w:t>
      </w:r>
    </w:p>
    <w:p xmlns:a="http://schemas.openxmlformats.org/drawingml/2006/main" xmlns:pic="http://schemas.openxmlformats.org/drawingml/2006/picture">
      <w:pPr>
        <w:spacing w:after="120" w:before="80"/>
        <w:jc w:val="center"/>
      </w:pPr>
      <w:r>
        <w:drawing>
          <wp:inline distT="0" distB="0" distL="0" distR="0">
            <wp:extent cx="5943600" cy="902306"/>
            <wp:effectExtent t="0" r="0" b="0" l="0"/>
            <wp:docPr id="102"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7" cstate="none"/>
                    <a:srcRect/>
                    <a:stretch>
                      <a:fillRect/>
                    </a:stretch>
                  </pic:blipFill>
                  <pic:spPr bwMode="auto">
                    <a:xfrm>
                      <a:off x="0" y="0"/>
                      <a:ext cx="5943600" cy="902306"/>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22: Onboarding a new API — the ten-step repeatable path from placement to publication</w:t>
      </w:r>
    </w:p>
    <w:p>
      <w:pPr>
        <w:pStyle w:val="ListParagraph"/>
        <w:numPr>
          <w:ilvl w:val="0"/>
          <w:numId w:val="2"/>
        </w:numPr>
        <w:spacing w:after="70"/>
      </w:pPr>
      <w:r>
        <w:rPr>
          <w:rFonts w:ascii="Noe Text" w:cs="Noe Text" w:eastAsia="Noe Text" w:hAnsi="Noe Text"/>
          <w:color w:val="333333"/>
          <w:sz w:val="21"/>
          <w:szCs w:val="21"/>
        </w:rPr>
        <w:t xml:space="preserve">Placement: decide which workspace owns the API, based on the business domain (Claims, Policy Admin, Finance, or Partner and Broker). The owning domain team, not the platform team, drives the rest of the process within that workspace.</w:t>
      </w:r>
    </w:p>
    <w:p>
      <w:pPr>
        <w:pStyle w:val="ListParagraph"/>
        <w:numPr>
          <w:ilvl w:val="0"/>
          <w:numId w:val="2"/>
        </w:numPr>
        <w:spacing w:after="70"/>
      </w:pPr>
      <w:r>
        <w:rPr>
          <w:rFonts w:ascii="Noe Text" w:cs="Noe Text" w:eastAsia="Noe Text" w:hAnsi="Noe Text"/>
          <w:color w:val="333333"/>
          <w:sz w:val="21"/>
          <w:szCs w:val="21"/>
        </w:rPr>
        <w:t xml:space="preserve">Naming: apply the naming convention from section 4.2, so the API's path follows /api/{domain}/{version}/{resource} with plural, lowercase, kebab-case resources. Consistent naming is what makes the estate navigable and routable.</w:t>
      </w:r>
    </w:p>
    <w:p>
      <w:pPr>
        <w:pStyle w:val="ListParagraph"/>
        <w:numPr>
          <w:ilvl w:val="0"/>
          <w:numId w:val="2"/>
        </w:numPr>
        <w:spacing w:after="70"/>
      </w:pPr>
      <w:r>
        <w:rPr>
          <w:rFonts w:ascii="Noe Text" w:cs="Noe Text" w:eastAsia="Noe Text" w:hAnsi="Noe Text"/>
          <w:color w:val="333333"/>
          <w:sz w:val="21"/>
          <w:szCs w:val="21"/>
        </w:rPr>
        <w:t xml:space="preserve">Definition: import or author the API (typically from an OpenAPI specification), which brings its operations and request and response schemas into APIM.</w:t>
      </w:r>
    </w:p>
    <w:p>
      <w:pPr>
        <w:pStyle w:val="ListParagraph"/>
        <w:numPr>
          <w:ilvl w:val="0"/>
          <w:numId w:val="2"/>
        </w:numPr>
        <w:spacing w:after="70"/>
      </w:pPr>
      <w:r>
        <w:rPr>
          <w:rFonts w:ascii="Noe Text" w:cs="Noe Text" w:eastAsia="Noe Text" w:hAnsi="Noe Text"/>
          <w:color w:val="333333"/>
          <w:sz w:val="21"/>
          <w:szCs w:val="21"/>
        </w:rPr>
        <w:t xml:space="preserve">Policy: attach the standard policy set at the right scope, JWT validation and rate limits at product level, managed-identity backend auth at API level, referencing Key Vault-backed named values rather than inline secrets.</w:t>
      </w:r>
    </w:p>
    <w:p>
      <w:pPr>
        <w:pStyle w:val="ListParagraph"/>
        <w:numPr>
          <w:ilvl w:val="0"/>
          <w:numId w:val="2"/>
        </w:numPr>
        <w:spacing w:after="70"/>
      </w:pPr>
      <w:r>
        <w:rPr>
          <w:rFonts w:ascii="Noe Text" w:cs="Noe Text" w:eastAsia="Noe Text" w:hAnsi="Noe Text"/>
          <w:color w:val="333333"/>
          <w:sz w:val="21"/>
          <w:szCs w:val="21"/>
        </w:rPr>
        <w:t xml:space="preserve">Product assignment: add the API to the appropriate product (for example Internal Core Systems or External Broker), which determines its access rules and which consumers can subscribe.</w:t>
      </w:r>
    </w:p>
    <w:p>
      <w:pPr>
        <w:pStyle w:val="ListParagraph"/>
        <w:numPr>
          <w:ilvl w:val="0"/>
          <w:numId w:val="2"/>
        </w:numPr>
        <w:spacing w:after="70"/>
      </w:pPr>
      <w:r>
        <w:rPr>
          <w:rFonts w:ascii="Noe Text" w:cs="Noe Text" w:eastAsia="Noe Text" w:hAnsi="Noe Text"/>
          <w:color w:val="333333"/>
          <w:sz w:val="21"/>
          <w:szCs w:val="21"/>
        </w:rPr>
        <w:t xml:space="preserve">Group visibility: confirm the product's visibility is set to the correct Entra ID groups, so only the intended audience sees it in the developer portal.</w:t>
      </w:r>
    </w:p>
    <w:p>
      <w:pPr>
        <w:pStyle w:val="ListParagraph"/>
        <w:numPr>
          <w:ilvl w:val="0"/>
          <w:numId w:val="2"/>
        </w:numPr>
        <w:spacing w:after="70"/>
      </w:pPr>
      <w:r>
        <w:rPr>
          <w:rFonts w:ascii="Noe Text" w:cs="Noe Text" w:eastAsia="Noe Text" w:hAnsi="Noe Text"/>
          <w:color w:val="333333"/>
          <w:sz w:val="21"/>
          <w:szCs w:val="21"/>
        </w:rPr>
        <w:t xml:space="preserve">Tagging: apply the agreed tags, business domain, audience, lifecycle status and any sensitivity flag, so the API is discoverable and reportable from the moment it is published.</w:t>
      </w:r>
    </w:p>
    <w:p>
      <w:pPr>
        <w:pStyle w:val="ListParagraph"/>
        <w:numPr>
          <w:ilvl w:val="0"/>
          <w:numId w:val="2"/>
        </w:numPr>
        <w:spacing w:after="70"/>
      </w:pPr>
      <w:r>
        <w:rPr>
          <w:rFonts w:ascii="Noe Text" w:cs="Noe Text" w:eastAsia="Noe Text" w:hAnsi="Noe Text"/>
          <w:color w:val="333333"/>
          <w:sz w:val="21"/>
          <w:szCs w:val="21"/>
        </w:rPr>
        <w:t xml:space="preserve">Versioning: publish under an explicit version (for example /v1/) using the strategy in section 6.9, so future breaking changes can be introduced as /v2/ without disruption.</w:t>
      </w:r>
    </w:p>
    <w:p>
      <w:pPr>
        <w:pStyle w:val="ListParagraph"/>
        <w:numPr>
          <w:ilvl w:val="0"/>
          <w:numId w:val="2"/>
        </w:numPr>
        <w:spacing w:after="70"/>
      </w:pPr>
      <w:r>
        <w:rPr>
          <w:rFonts w:ascii="Noe Text" w:cs="Noe Text" w:eastAsia="Noe Text" w:hAnsi="Noe Text"/>
          <w:color w:val="333333"/>
          <w:sz w:val="21"/>
          <w:szCs w:val="21"/>
        </w:rPr>
        <w:t xml:space="preserve">Promotion: move the API through Dev, UAT and Production via the APIOps pipeline, reviewed and deployed as code, never hand-configured in Production.</w:t>
      </w:r>
    </w:p>
    <w:p>
      <w:pPr>
        <w:pStyle w:val="ListParagraph"/>
        <w:numPr>
          <w:ilvl w:val="0"/>
          <w:numId w:val="2"/>
        </w:numPr>
        <w:spacing w:after="70"/>
      </w:pPr>
      <w:r>
        <w:rPr>
          <w:rFonts w:ascii="Noe Text" w:cs="Noe Text" w:eastAsia="Noe Text" w:hAnsi="Noe Text"/>
          <w:color w:val="333333"/>
          <w:sz w:val="21"/>
          <w:szCs w:val="21"/>
        </w:rPr>
        <w:t xml:space="preserve">Publication and governance: pass the design and security gates from section 6.8, then publish to the developer portal. The API is now live under an owner, in a product, visible to the right groups, tagged, versioned and monitored.</w:t>
      </w:r>
    </w:p>
    <w:p>
      <w:pPr>
        <w:pStyle w:val="Heading3"/>
        <w:spacing w:after="90" w:before="160"/>
      </w:pPr>
      <w:r>
        <w:rPr>
          <w:rFonts w:ascii="Noe Text Regular" w:cs="Noe Text Regular" w:eastAsia="Noe Text Regular" w:hAnsi="Noe Text Regular"/>
        </w:rPr>
        <w:t xml:space="preserve">Onboarding checklist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Step</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Governance construct</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Outcome</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Assign to workspace</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Workspace</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Clear domain ownership</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Apply naming convention</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Design standard</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Consistent, routable path</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Attach standard policies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Named values, policy scope</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Secured with no inline secrets</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Add to product</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Product</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Access rules and subscribers defined</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Set product visibility</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Groups (Entra ID)</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Only the intended audience sees it</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Apply tags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Tags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Discoverable and reportable</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Publish under a version</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Versioning</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Future changes are non-breaking</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Promote via APIOps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Environments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Consistent across Dev, UAT, Prod</w:t>
            </w:r>
          </w:p>
        </w:tc>
      </w:tr>
    </w:tbl>
    <w:p>
      <w:pPr>
        <w:spacing w:after="140"/>
      </w:pPr>
      <w:r>
        <w:rPr>
          <w:rFonts w:ascii="Noe Text" w:cs="Noe Text" w:eastAsia="Noe Text" w:hAnsi="Noe Text"/>
          <w:b w:val="false"/>
          <w:bCs w:val="false"/>
          <w:i w:val="false"/>
          <w:iCs w:val="false"/>
          <w:color w:val="333333"/>
          <w:sz w:val="2"/>
          <w:szCs w:val="2"/>
        </w:rPr>
        <w:t xml:space="preserve"/>
      </w:r>
    </w:p>
    <w:p>
      <w:pPr>
        <w:spacing w:after="140"/>
      </w:pPr>
      <w:r>
        <w:rPr>
          <w:rFonts w:ascii="Noe Text" w:cs="Noe Text" w:eastAsia="Noe Text" w:hAnsi="Noe Text"/>
          <w:b w:val="false"/>
          <w:bCs w:val="false"/>
          <w:i w:val="false"/>
          <w:iCs w:val="false"/>
          <w:color w:val="333333"/>
          <w:sz w:val="21"/>
          <w:szCs w:val="21"/>
        </w:rPr>
        <w:t xml:space="preserve">Followed each time, this process means growth does not erode governance: the hundredth API onto the platform is organised exactly like the first.</w:t>
      </w:r>
    </w:p>
    <w:p>
      <w:pPr>
        <w:pStyle w:val="Heading3"/>
        <w:spacing w:after="90" w:before="160"/>
      </w:pPr>
      <w:r>
        <w:rPr>
          <w:rFonts w:ascii="Noe Text Regular" w:cs="Noe Text Regular" w:eastAsia="Noe Text Regular" w:hAnsi="Noe Text Regular"/>
        </w:rPr>
        <w:t xml:space="preserve">Onboarding service levels (time-to-first-API)</w:t>
      </w:r>
    </w:p>
    <w:p>
      <w:pPr>
        <w:spacing w:after="140"/>
      </w:pPr>
      <w:r>
        <w:rPr>
          <w:rFonts w:ascii="Noe Text" w:cs="Noe Text" w:eastAsia="Noe Text" w:hAnsi="Noe Text"/>
          <w:b w:val="false"/>
          <w:bCs w:val="false"/>
          <w:i w:val="false"/>
          <w:iCs w:val="false"/>
          <w:color w:val="333333"/>
          <w:sz w:val="21"/>
          <w:szCs w:val="21"/>
        </w:rPr>
        <w:t xml:space="preserve">The onboarding steps above have owners and target cycle times so “time-to-first-API” is a committed number rather than an open-ended process. The targets below are for a straightforward API on the happy path; complex or high-sensitivity APIs will take longer and that is expected.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00"/>
      </w:tblGrid>
      <w:tr>
        <w:trPr>
          <w:tblHeader/>
        </w:trPr>
        <w:tc>
          <w:tcPr>
            <w:tcW w:type="dxa" w:w="45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Stage</w:t>
            </w:r>
          </w:p>
        </w:tc>
        <w:tc>
          <w:tcPr>
            <w:tcW w:type="dxa" w:w="24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Owner</w:t>
            </w:r>
          </w:p>
        </w:tc>
        <w:tc>
          <w:tcPr>
            <w:tcW w:type="dxa" w:w="24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Target cycle time</w:t>
            </w:r>
          </w:p>
        </w:tc>
      </w:tr>
      <w:tr>
        <w:tc>
          <w:tcPr>
            <w:tcW w:type="dxa" w:w="4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Intake &amp; placement (workspace, ownership)</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Platform</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2 business days</w:t>
            </w:r>
          </w:p>
        </w:tc>
      </w:tr>
      <w:tr>
        <w:tc>
          <w:tcPr>
            <w:tcW w:type="dxa" w:w="4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Design &amp; naming review</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Domain + Platform</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3 business days</w:t>
            </w:r>
          </w:p>
        </w:tc>
      </w:tr>
      <w:tr>
        <w:tc>
          <w:tcPr>
            <w:tcW w:type="dxa" w:w="4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Security review (classification, auth, policy)</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Security</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3 business days</w:t>
            </w:r>
          </w:p>
        </w:tc>
      </w:tr>
      <w:tr>
        <w:tc>
          <w:tcPr>
            <w:tcW w:type="dxa" w:w="4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Build &amp; policy in Dev</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Domain</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Domain-dependent</w:t>
            </w:r>
          </w:p>
        </w:tc>
      </w:tr>
      <w:tr>
        <w:tc>
          <w:tcPr>
            <w:tcW w:type="dxa" w:w="4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Promotion through gates to Production</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Platform</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1 business day per gate</w:t>
            </w:r>
          </w:p>
        </w:tc>
      </w:tr>
      <w:tr>
        <w:tc>
          <w:tcPr>
            <w:tcW w:type="dxa" w:w="4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Overall time-to-first-API (simple API, happy path)</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w:t>
            </w:r>
          </w:p>
        </w:tc>
        <w:tc>
          <w:tcPr>
            <w:tcW w:type="dxa" w:w="2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~10 business days</w:t>
            </w:r>
          </w:p>
        </w:tc>
      </w:tr>
    </w:tbl>
    <w:p>
      <w:pPr>
        <w:spacing w:after="140"/>
      </w:pPr>
      <w:r>
        <w:rPr>
          <w:rFonts w:ascii="Noe Text" w:cs="Noe Text" w:eastAsia="Noe Text" w:hAnsi="Noe Text"/>
          <w:b w:val="false"/>
          <w:bCs w:val="false"/>
          <w:i w:val="false"/>
          <w:iCs w:val="false"/>
          <w:color w:val="333333"/>
          <w:sz w:val="21"/>
          <w:szCs w:val="21"/>
        </w:rPr>
        <w:t xml:space="preserve">These targets should be tracked as an operational metric; persistent breaches are a signal to simplify a gate, not to skip it.</w:t>
      </w:r>
    </w:p>
    <w:p>
      <w:pPr>
        <w:spacing w:after="60"/>
      </w:pPr>
    </w:p>
    <w:p>
      <w:pPr>
        <w:pStyle w:val="Heading2"/>
        <w:spacing w:after="100" w:before="200"/>
      </w:pPr>
      <w:r>
        <w:rPr>
          <w:rFonts w:ascii="Noe Text Regular" w:cs="Noe Text Regular" w:eastAsia="Noe Text Regular" w:hAnsi="Noe Text Regular"/>
        </w:rPr>
        <w:t xml:space="preserve">6.9 API Lifecycle and Versioning Strategy</w:t>
      </w:r>
    </w:p>
    <w:p>
      <w:pPr>
        <w:spacing w:after="140"/>
      </w:pPr>
      <w:r>
        <w:rPr>
          <w:rFonts w:ascii="Noe Text" w:cs="Noe Text" w:eastAsia="Noe Text" w:hAnsi="Noe Text"/>
          <w:b w:val="false"/>
          <w:bCs w:val="false"/>
          <w:i w:val="false"/>
          <w:iCs w:val="false"/>
          <w:color w:val="333333"/>
          <w:sz w:val="21"/>
          <w:szCs w:val="21"/>
        </w:rPr>
        <w:t xml:space="preserve">Versioning exists so that Chaucer can improve an API without breaking the systems already calling it. The design uses two distinct APIM mechanisms for two distinct situations, and it is worth being precise about which is which, because they are often confused.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Mechanism</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When it is used</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Consumer effect</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Revision</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 change that does not break the contract, for example adding an optional field or fixing a bug</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Consumers keep calling the same URL; the new revision can be tested online, then made current</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Version</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 change that breaks the contract, for example removing a field or changing a type</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 new version (v2) is published alongside v1; consumers move when they are ready</w:t>
            </w:r>
          </w:p>
        </w:tc>
      </w:tr>
    </w:tbl>
    <w:p>
      <w:pPr>
        <w:spacing w:after="140"/>
      </w:pPr>
      <w:r>
        <w:rPr>
          <w:rFonts w:ascii="Noe Text" w:cs="Noe Text" w:eastAsia="Noe Text" w:hAnsi="Noe Text"/>
          <w:b w:val="false"/>
          <w:bCs w:val="false"/>
          <w:i w:val="false"/>
          <w:iCs w:val="false"/>
          <w:color w:val="333333"/>
          <w:sz w:val="2"/>
          <w:szCs w:val="2"/>
        </w:rPr>
        <w:t xml:space="preserve"/>
      </w:r>
    </w:p>
    <w:p>
      <w:pPr>
        <w:spacing w:after="140"/>
      </w:pPr>
      <w:r>
        <w:rPr>
          <w:rFonts w:ascii="Noe Text" w:cs="Noe Text" w:eastAsia="Noe Text" w:hAnsi="Noe Text"/>
          <w:b w:val="false"/>
          <w:bCs w:val="false"/>
          <w:i w:val="false"/>
          <w:iCs w:val="false"/>
          <w:color w:val="333333"/>
          <w:sz w:val="21"/>
          <w:szCs w:val="21"/>
        </w:rPr>
        <w:t xml:space="preserve">Versions are expressed in the URL path (for example /api/claims/v1/ and /api/claims/v2/), which is the clearest scheme for partners to read and the easiest to route on at the gateway. APIM also supports header-based and query-string versioning; path-based is the house standard here, with the others available only where a specific partner integration requires them.</w:t>
      </w:r>
    </w:p>
    <w:p>
      <w:pPr>
        <w:spacing w:after="140"/>
      </w:pPr>
      <w:r>
        <w:rPr>
          <w:rFonts w:ascii="Noe Text" w:cs="Noe Text" w:eastAsia="Noe Text" w:hAnsi="Noe Text"/>
          <w:b w:val="false"/>
          <w:bCs w:val="false"/>
          <w:i w:val="false"/>
          <w:iCs w:val="false"/>
          <w:color w:val="333333"/>
          <w:sz w:val="21"/>
          <w:szCs w:val="21"/>
        </w:rPr>
        <w:t xml:space="preserve">The table below sets out how each kind of change is handled and what the consumer experiences.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Change type</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Versioning approach</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Consumer impact</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Breaking change</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New major version, for example /v2/, published alongside /v1/</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None until the consumer opts in</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Non-breaking addition</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Same version, new revision, additive fields only</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Zero impact, backward compatible</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Deprecated version</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Marked deprecated in the Developer Portal; a Sunset response header advertises the retirement date</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90-day minimum notice period</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Retired version</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Removed after the sunset window; the gateway returns 410 Gone</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Enforced by APIM policy, never a silent removal</w:t>
            </w:r>
          </w:p>
        </w:tc>
      </w:tr>
    </w:tbl>
    <w:p>
      <w:pPr>
        <w:spacing w:after="140"/>
      </w:pPr>
      <w:r>
        <w:rPr>
          <w:rFonts w:ascii="Noe Text" w:cs="Noe Text" w:eastAsia="Noe Text" w:hAnsi="Noe Text"/>
          <w:b w:val="false"/>
          <w:bCs w:val="false"/>
          <w:i w:val="false"/>
          <w:iCs w:val="false"/>
          <w:color w:val="333333"/>
          <w:sz w:val="2"/>
          <w:szCs w:val="2"/>
        </w:rPr>
        <w:t xml:space="preserve"/>
      </w:r>
    </w:p>
    <w:p>
      <w:pPr>
        <w:spacing w:after="140"/>
      </w:pPr>
      <w:r>
        <w:rPr>
          <w:rFonts w:ascii="Noe Text" w:cs="Noe Text" w:eastAsia="Noe Text" w:hAnsi="Noe Text"/>
          <w:b w:val="false"/>
          <w:bCs w:val="false"/>
          <w:i w:val="false"/>
          <w:iCs w:val="false"/>
          <w:color w:val="333333"/>
          <w:sz w:val="21"/>
          <w:szCs w:val="21"/>
        </w:rPr>
        <w:t xml:space="preserve">The diagram below shows how a version transition plays out over time. A new version can be published as a preview while the current version is still live, the current version then enters a deprecation window of at least 90 days during which a Sunset header warns callers, and only after that window and confirmed consumer migration is it retired.</w:t>
      </w:r>
    </w:p>
    <w:p>
      <w:pPr>
        <w:spacing w:after="120" w:before="80"/>
        <w:jc w:val="center"/>
      </w:pPr>
      <w:r>
        <w:drawing>
          <wp:inline distT="0" distB="0" distL="0" distR="0">
            <wp:extent cx="54864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1495425"/>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23: API version lifecycle over time</w:t>
      </w:r>
    </w:p>
    <w:p>
      <w:pPr>
        <w:spacing w:after="140"/>
      </w:pPr>
      <w:r>
        <w:rPr>
          <w:rFonts w:ascii="Noe Text" w:cs="Noe Text" w:eastAsia="Noe Text" w:hAnsi="Noe Text"/>
          <w:b w:val="false"/>
          <w:bCs w:val="false"/>
          <w:i w:val="false"/>
          <w:iCs w:val="false"/>
          <w:color w:val="333333"/>
          <w:sz w:val="21"/>
          <w:szCs w:val="21"/>
        </w:rPr>
        <w:t xml:space="preserve">Deprecation is signalled in-band, not just in documentation: while a version is deprecated the gateway attaches a standard Sunset header (and, where useful, a Deprecation header) to every response, so a consumer's own tooling can flag the coming retirement automatically. This is what makes 'never a silent removal' enforceable rather than a promise.</w:t>
      </w:r>
    </w:p>
    <w:p>
      <w:pPr>
        <w:pStyle w:val="Heading3"/>
        <w:spacing w:after="90" w:before="160"/>
      </w:pPr>
      <w:r>
        <w:rPr>
          <w:rFonts w:ascii="Noe Text Regular" w:cs="Noe Text Regular" w:eastAsia="Noe Text Regular" w:hAnsi="Noe Text Regular"/>
        </w:rPr>
        <w:t xml:space="preserve">Maintaining the lifecycle: deprecation, Sunset and retirement</w:t>
      </w:r>
    </w:p>
    <w:p>
      <w:pPr>
        <w:spacing w:after="140"/>
      </w:pPr>
      <w:r>
        <w:rPr>
          <w:rFonts w:ascii="Noe Text" w:cs="Noe Text" w:eastAsia="Noe Text" w:hAnsi="Noe Text"/>
          <w:b w:val="false"/>
          <w:bCs w:val="false"/>
          <w:i w:val="false"/>
          <w:iCs w:val="false"/>
          <w:color w:val="333333"/>
          <w:sz w:val="21"/>
          <w:szCs w:val="21"/>
        </w:rPr>
        <w:t xml:space="preserve">Every published API is treated as having a full lifecycle, not just a launch. The mechanics below make each transition explicit and machine-readable, so consumers are never surprised and retirement is always a planned event.</w:t>
      </w:r>
    </w:p>
    <w:p>
      <w:pPr>
        <w:spacing w:after="140"/>
      </w:pPr>
      <w:r>
        <w:rPr>
          <w:rFonts w:ascii="Noe Text" w:cs="Noe Text" w:eastAsia="Noe Text" w:hAnsi="Noe Text"/>
          <w:b w:val="false"/>
          <w:bCs w:val="false"/>
          <w:i w:val="false"/>
          <w:iCs w:val="false"/>
          <w:color w:val="333333"/>
          <w:sz w:val="21"/>
          <w:szCs w:val="21"/>
        </w:rPr>
        <w:t xml:space="preserve">Publish and run. A new version is published under an explicit path segment (/v1/, /v2/) and made visible in the Developer Portal under the product that governs it. While a version is current it is monitored through the same observability stack (section 6.10), and non-breaking changes are shipped as revisions against the same version so consumers keep calling the same URL.</w:t>
      </w:r>
    </w:p>
    <w:p>
      <w:pPr>
        <w:spacing w:after="140"/>
      </w:pPr>
      <w:r>
        <w:rPr>
          <w:rFonts w:ascii="Noe Text" w:cs="Noe Text" w:eastAsia="Noe Text" w:hAnsi="Noe Text"/>
          <w:b w:val="false"/>
          <w:bCs w:val="false"/>
          <w:i w:val="false"/>
          <w:iCs w:val="false"/>
          <w:color w:val="333333"/>
          <w:sz w:val="21"/>
          <w:szCs w:val="21"/>
        </w:rPr>
        <w:t xml:space="preserve">Deprecate. When a breaking change requires a new version, the outgoing version enters a deprecation window of at least 90 days. During this window the gateway attaches a standard Sunset HTTP header (RFC 8594) to every response, giving the exact date the version will stop being served, and, where useful, a Deprecation header marking it as deprecated. Because these are response headers rather than documentation, a consumer’s own tooling can detect the coming retirement automatically. A policy fragment applied at the version scope adds the headers, so no per-API work is needed.</w:t>
      </w:r>
    </w:p>
    <w:p>
      <w:pPr>
        <w:spacing w:after="140"/>
      </w:pPr>
      <w:r>
        <w:rPr>
          <w:rFonts w:ascii="Noe Text" w:cs="Noe Text" w:eastAsia="Noe Text" w:hAnsi="Noe Text"/>
          <w:b w:val="false"/>
          <w:bCs w:val="false"/>
          <w:i w:val="false"/>
          <w:iCs w:val="false"/>
          <w:color w:val="333333"/>
          <w:sz w:val="21"/>
          <w:szCs w:val="21"/>
        </w:rPr>
        <w:t xml:space="preserve">Notify and track. Deprecation is announced in the portal and, for external products, to the named technical contact on each subscription. The platform team tracks which subscriptions are still calling the deprecated version through per-consumer telemetry, so migration can be confirmed by data rather than assumed.</w:t>
      </w:r>
    </w:p>
    <w:p>
      <w:pPr>
        <w:spacing w:after="140"/>
      </w:pPr>
      <w:r>
        <w:rPr>
          <w:rFonts w:ascii="Noe Text" w:cs="Noe Text" w:eastAsia="Noe Text" w:hAnsi="Noe Text"/>
          <w:b w:val="false"/>
          <w:bCs w:val="false"/>
          <w:i w:val="false"/>
          <w:iCs w:val="false"/>
          <w:color w:val="333333"/>
          <w:sz w:val="21"/>
          <w:szCs w:val="21"/>
        </w:rPr>
        <w:t xml:space="preserve">Retire. The version is removed only after the window has elapsed and telemetry confirms consumers have migrated. Retirement is a deliberate, logged step — never a silent removal — and the version’s routes return a clear gone/redirect response thereafter. All of this is driven from Git through APIOps, so a retired version is removed as reviewed code, not by a manual portal edit.</w:t>
      </w:r>
    </w:p>
    <w:p>
      <w:pPr>
        <w:spacing w:after="140"/>
      </w:pPr>
      <w:r>
        <w:rPr>
          <w:rFonts w:ascii="Noe Text" w:cs="Noe Text" w:eastAsia="Noe Text" w:hAnsi="Noe Text"/>
          <w:b w:val="false"/>
          <w:bCs w:val="false"/>
          <w:i w:val="false"/>
          <w:iCs w:val="false"/>
          <w:color w:val="333333"/>
          <w:sz w:val="21"/>
          <w:szCs w:val="21"/>
        </w:rPr>
        <w:t xml:space="preserve">Operational ownership of deprecation. The headers and window make deprecation enforceable, but a person still owns the conversation. For every deprecation, the owning Domain team is responsible for the migration relationship with affected consumers, and the Platform team is accountable for the process being followed. For external partners this means: identify affected subscriptions from telemetry, contact the named technical and business contacts on each subscription, agree a migration date within the window, track progress, and escalate to the partner’s relationship owner if a consumer is not moving with the deadline approaching. Retirement proceeds only when telemetry confirms migration; if a critical partner genuinely cannot meet the date, an extension is a logged, approved decision, not a slipped deadline.</w:t>
      </w:r>
    </w:p>
    <w:p>
      <w:pPr>
        <w:spacing w:after="140"/>
      </w:pPr>
      <w:r>
        <w:rPr>
          <w:rFonts w:ascii="Noe Text" w:cs="Noe Text" w:eastAsia="Noe Text" w:hAnsi="Noe Text"/>
          <w:b w:val="false"/>
          <w:bCs w:val="false"/>
          <w:i w:val="false"/>
          <w:iCs w:val="false"/>
          <w:color w:val="333333"/>
          <w:sz w:val="21"/>
          <w:szCs w:val="21"/>
        </w:rPr>
        <w:t xml:space="preserve">The headers attached during the deprecation window: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00"/>
      </w:tblGrid>
      <w:tr>
        <w:trPr>
          <w:tblHeader/>
        </w:trPr>
        <w:tc>
          <w:tcPr>
            <w:tcW w:type="dxa" w:w="15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Header</w:t>
            </w:r>
          </w:p>
        </w:tc>
        <w:tc>
          <w:tcPr>
            <w:tcW w:type="dxa" w:w="42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Example value</w:t>
            </w:r>
          </w:p>
        </w:tc>
        <w:tc>
          <w:tcPr>
            <w:tcW w:type="dxa" w:w="36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What it tells the consumer</w:t>
            </w:r>
          </w:p>
        </w:tc>
      </w:tr>
      <w:tr>
        <w:tc>
          <w:tcPr>
            <w:tcW w:type="dxa" w:w="1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Sunset</w:t>
            </w:r>
          </w:p>
        </w:tc>
        <w:tc>
          <w:tcPr>
            <w:tcW w:type="dxa" w:w="4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Sunset: Sat, 30 Nov 2026 23:59:59 GMT</w:t>
            </w:r>
          </w:p>
        </w:tc>
        <w:tc>
          <w:tcPr>
            <w:tcW w:type="dxa" w:w="3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States the exact date/time the version stops being served (RFC 8594)</w:t>
            </w:r>
          </w:p>
        </w:tc>
      </w:tr>
      <w:tr>
        <w:tc>
          <w:tcPr>
            <w:tcW w:type="dxa" w:w="1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Deprecation</w:t>
            </w:r>
          </w:p>
        </w:tc>
        <w:tc>
          <w:tcPr>
            <w:tcW w:type="dxa" w:w="4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Deprecation: true</w:t>
            </w:r>
          </w:p>
        </w:tc>
        <w:tc>
          <w:tcPr>
            <w:tcW w:type="dxa" w:w="3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Marks the version as deprecated so tooling can flag it</w:t>
            </w:r>
          </w:p>
        </w:tc>
      </w:tr>
      <w:tr>
        <w:tc>
          <w:tcPr>
            <w:tcW w:type="dxa" w:w="15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Link (optional)</w:t>
            </w:r>
          </w:p>
        </w:tc>
        <w:tc>
          <w:tcPr>
            <w:tcW w:type="dxa" w:w="4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Link: &lt;https://developer.chaucer.example/…/v2&gt;; rel="successor-version"</w:t>
            </w:r>
          </w:p>
        </w:tc>
        <w:tc>
          <w:tcPr>
            <w:tcW w:type="dxa" w:w="3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Points callers at the version they should move to</w:t>
            </w:r>
          </w:p>
        </w:tc>
      </w:tr>
    </w:tbl>
    <w:p>
      <w:pPr>
        <w:spacing w:after="60"/>
      </w:pPr>
    </w:p>
    <w:p>
      <w:pPr>
        <w:pStyle w:val="Heading2"/>
        <w:spacing w:after="100" w:before="200"/>
      </w:pPr>
      <w:r>
        <w:rPr>
          <w:rFonts w:ascii="Noe Text Regular" w:cs="Noe Text Regular" w:eastAsia="Noe Text Regular" w:hAnsi="Noe Text Regular"/>
        </w:rPr>
        <w:t xml:space="preserve">6.10 Observability and Operations</w:t>
      </w:r>
    </w:p>
    <w:p>
      <w:pPr>
        <w:spacing w:after="140"/>
      </w:pPr>
      <w:r>
        <w:rPr>
          <w:rFonts w:ascii="Noe Text" w:cs="Noe Text" w:eastAsia="Noe Text" w:hAnsi="Noe Text"/>
          <w:b w:val="false"/>
          <w:bCs w:val="false"/>
          <w:i w:val="false"/>
          <w:iCs w:val="false"/>
          <w:color w:val="333333"/>
          <w:sz w:val="21"/>
          <w:szCs w:val="21"/>
        </w:rPr>
        <w:t xml:space="preserve">Every gateway, policy, and backend call feeds into a single Azure Monitor view, so there are no blind spots between environments. Application Insights carries end-to-end tracing; Log Analytics holds the raw diagnostic logs; dashboards give operations, integration, security, and executive audiences the view each of them needs.</w:t>
      </w:r>
    </w:p>
    <w:p>
      <w:pPr>
        <w:spacing w:after="120" w:before="80"/>
        <w:jc w:val="center"/>
      </w:pPr>
      <w:r>
        <w:drawing>
          <wp:inline distT="0" distB="0" distL="0" distR="0">
            <wp:extent cx="54864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1828800"/>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24: Monitoring architecture</w:t>
      </w:r>
    </w:p>
    <w:p>
      <w:pPr>
        <w:spacing w:after="140"/>
      </w:pPr>
      <w:r>
        <w:rPr>
          <w:rFonts w:ascii="Noe Text" w:cs="Noe Text" w:eastAsia="Noe Text" w:hAnsi="Noe Text"/>
          <w:b w:val="false"/>
          <w:bCs w:val="false"/>
          <w:i w:val="false"/>
          <w:iCs w:val="false"/>
          <w:color w:val="333333"/>
          <w:sz w:val="21"/>
          <w:szCs w:val="21"/>
        </w:rPr>
        <w:t xml:space="preserve">What is actually logged, and where it goes, matters as much as the diagram. Each source emits structured telemetry through APIM's diagnostic settings, every record carries the same correlation ID so a single request can be followed end to end, and each stream lands in the sink suited to its purpose.</w:t>
      </w:r>
    </w:p>
    <w:p>
      <w:pPr>
        <w:spacing w:after="120" w:before="80"/>
        <w:jc w:val="center"/>
      </w:pPr>
      <w:r>
        <w:drawing>
          <wp:inline distT="0" distB="0" distL="0" distR="0">
            <wp:extent cx="54864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1476375"/>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25: What is logged and where it goes</w:t>
      </w:r>
    </w:p>
    <w:p>
      <w:pPr>
        <w:spacing w:after="140"/>
      </w:pPr>
      <w:r>
        <w:rPr>
          <w:rFonts w:ascii="Noe Text" w:cs="Noe Text" w:eastAsia="Noe Text" w:hAnsi="Noe Text"/>
          <w:b w:val="false"/>
          <w:bCs w:val="false"/>
          <w:i w:val="false"/>
          <w:iCs w:val="false"/>
          <w:color w:val="333333"/>
          <w:sz w:val="21"/>
          <w:szCs w:val="21"/>
        </w:rPr>
        <w:t xml:space="preserve">The retention periods below are proposed starting points to be reconciled with Chaucer's actual logging and data-retention standard, not confirmed values; the 90-day figures in particular should be checked against Chaucer's SIEM and compliance retention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Telemetry</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Sink</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Retention (proposed)</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Gateway request and response metadata</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Log Analytics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90 days hot, then archived per Chaucer's log policy</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End-to-end distributed traces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Application Insights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Sampled in production to control cost</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Policy trace (verbose)</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Application Insights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Enabled in Dev only; off in production by default</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WAF and Front Door logs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Log Analytics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90 days, feeding the security dashboard</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Security-relevant events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 SIEM</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Long-term, per existing SIEM retention standard</w:t>
            </w:r>
          </w:p>
        </w:tc>
      </w:tr>
    </w:tbl>
    <w:p>
      <w:pPr>
        <w:spacing w:after="140"/>
      </w:pPr>
      <w:r>
        <w:rPr>
          <w:rFonts w:ascii="Noe Text" w:cs="Noe Text" w:eastAsia="Noe Text" w:hAnsi="Noe Text"/>
          <w:b w:val="false"/>
          <w:bCs w:val="false"/>
          <w:i w:val="false"/>
          <w:iCs w:val="false"/>
          <w:color w:val="333333"/>
          <w:sz w:val="2"/>
          <w:szCs w:val="2"/>
        </w:rPr>
        <w:t xml:space="preserve"/>
      </w:r>
    </w:p>
    <w:p>
      <w:pPr>
        <w:spacing w:after="140"/>
      </w:pPr>
      <w:r>
        <w:rPr>
          <w:rFonts w:ascii="Noe Text" w:cs="Noe Text" w:eastAsia="Noe Text" w:hAnsi="Noe Text"/>
          <w:b w:val="false"/>
          <w:bCs w:val="false"/>
          <w:i w:val="false"/>
          <w:iCs w:val="false"/>
          <w:color w:val="333333"/>
          <w:sz w:val="21"/>
          <w:szCs w:val="21"/>
        </w:rPr>
        <w:t xml:space="preserve">Correlation IDs are propagated from the gateway to the backend, so a trace does not stop at APIM; a support engineer can follow one broker request from the edge, through the policy pipeline, into Logic Apps and back. This propagation should be validated end to end during the pilot, since a correlation ID that is dropped by an intermediate hop breaks the trace. Verbose policy tracing is deliberately restricted to Dev, because it is expensive and can capture sensitive payload detail that has no place in a production log.</w:t>
      </w:r>
    </w:p>
    <w:p>
      <w:pPr>
        <w:spacing w:after="140"/>
      </w:pPr>
      <w:r>
        <w:rPr>
          <w:rFonts w:ascii="Noe Text" w:cs="Noe Text" w:eastAsia="Noe Text" w:hAnsi="Noe Text"/>
          <w:b w:val="false"/>
          <w:bCs w:val="false"/>
          <w:i w:val="false"/>
          <w:iCs w:val="false"/>
          <w:color w:val="333333"/>
          <w:sz w:val="21"/>
          <w:szCs w:val="21"/>
        </w:rPr>
        <w:t xml:space="preserve">Dashboards are cut by audience rather than one generic view: an operations dashboard tracks latency, error rate and throttling; an integration dashboard tracks per-API and per-consumer volumes; a security dashboard surfaces 401s, WAF blocks and anomalous spikes; and an executive view rolls up availability against the SLA. The alert thresholds below are proposed defaults to be agreed with Chaucer's operations team, not fixed commitments; they are starting points for tuning against real traffic.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Metric</w:t>
            </w:r>
          </w:p>
        </w:tc>
        <w:tc>
          <w:tcPr>
            <w:tcW w:type="dxa" w:w="465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Alert threshold (proposed)</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Failed requests, 5xx</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More than 1% of total requests</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Gateway response time</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p95 above 500ms</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Unauthorised requests, 401</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More than 10 per minute</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Certificate expiry</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Less than 30 days to expiry</w:t>
            </w:r>
          </w:p>
        </w:tc>
      </w:tr>
    </w:tbl>
    <w:p>
      <w:pPr>
        <w:spacing w:after="140"/>
      </w:pPr>
      <w:r>
        <w:rPr>
          <w:rFonts w:ascii="Noe Text" w:cs="Noe Text" w:eastAsia="Noe Text" w:hAnsi="Noe Text"/>
          <w:b w:val="false"/>
          <w:bCs w:val="false"/>
          <w:i w:val="false"/>
          <w:iCs w:val="false"/>
          <w:color w:val="333333"/>
          <w:sz w:val="2"/>
          <w:szCs w:val="2"/>
        </w:rPr>
        <w:t xml:space="preserve"/>
      </w:r>
    </w:p>
    <w:p>
      <w:pPr>
        <w:pStyle w:val="Heading3"/>
        <w:spacing w:after="90" w:before="160"/>
      </w:pPr>
      <w:r>
        <w:rPr>
          <w:rFonts w:ascii="Noe Text Regular" w:cs="Noe Text Regular" w:eastAsia="Noe Text Regular" w:hAnsi="Noe Text Regular"/>
        </w:rPr>
        <w:t xml:space="preserve">Testing and non-functional assurance</w:t>
      </w:r>
    </w:p>
    <w:p>
      <w:pPr>
        <w:spacing w:after="140"/>
      </w:pPr>
      <w:r>
        <w:rPr>
          <w:rFonts w:ascii="Noe Text" w:cs="Noe Text" w:eastAsia="Noe Text" w:hAnsi="Noe Text"/>
          <w:b w:val="false"/>
          <w:bCs w:val="false"/>
          <w:i w:val="false"/>
          <w:iCs w:val="false"/>
          <w:color w:val="333333"/>
          <w:sz w:val="21"/>
          <w:szCs w:val="21"/>
        </w:rPr>
        <w:t xml:space="preserve">Observability tells you how the platform behaves in production; testing proves it will behave before it gets there. The platform is assured across four kinds of test, and against the explicit non-functional requirements recorded in Appendix 9.5.</w:t>
      </w:r>
    </w:p>
    <w:p>
      <w:pPr>
        <w:spacing w:after="140"/>
      </w:pPr>
      <w:r>
        <w:rPr>
          <w:rFonts w:ascii="Noe Text" w:cs="Noe Text" w:eastAsia="Noe Text" w:hAnsi="Noe Text"/>
          <w:b w:val="false"/>
          <w:bCs w:val="false"/>
          <w:i w:val="false"/>
          <w:iCs w:val="false"/>
          <w:color w:val="333333"/>
          <w:sz w:val="21"/>
          <w:szCs w:val="21"/>
        </w:rPr>
        <w:t xml:space="preserve">Functional and contract testing catches breaking changes early: every API is validated against its published OpenAPI contract in the pipeline, so a change that would break consumers fails the build rather than reaching them. Performance and load testing sizes and proves capacity: the platform is tested against Chaucer’s expected and peak requests-per-second before go-live, and the capacity metric behaviour under that load is used to set autoscale thresholds (6.12). Security testing is continuous and periodic: WAF and Defender for APIs run continuously, and independent penetration testing is performed before go-live and on a regular cadence thereafter, with findings tracked to closure. Resilience and chaos testing proves the DR design is real: regional failover is exercised on a schedule (Appendix 9.7) rather than assumed, including deliberately failing a region and confirming Front Door routes around it within the RTO.</w:t>
      </w:r>
    </w:p>
    <w:p>
      <w:pPr>
        <w:spacing w:after="140"/>
      </w:pPr>
      <w:r>
        <w:rPr>
          <w:rFonts w:ascii="Noe Text" w:cs="Noe Text" w:eastAsia="Noe Text" w:hAnsi="Noe Text"/>
          <w:b w:val="false"/>
          <w:bCs w:val="false"/>
          <w:i w:val="false"/>
          <w:iCs w:val="false"/>
          <w:color w:val="333333"/>
          <w:sz w:val="21"/>
          <w:szCs w:val="21"/>
        </w:rPr>
        <w:t xml:space="preserve">The specific numeric targets these tests are measured against — latency, throughput, concurrency, availability, RTO/RPO and error budget — are stated as non-functional requirements in Appendix 9.5 so they are testable rather than implied.</w:t>
      </w:r>
    </w:p>
    <w:p>
      <w:pPr>
        <w:spacing w:after="60"/>
      </w:pPr>
    </w:p>
    <w:p>
      <w:pPr>
        <w:pStyle w:val="Heading2"/>
        <w:spacing w:after="100" w:before="200"/>
      </w:pPr>
      <w:r>
        <w:rPr>
          <w:rFonts w:ascii="Noe Text Regular" w:cs="Noe Text Regular" w:eastAsia="Noe Text Regular" w:hAnsi="Noe Text Regular"/>
        </w:rPr>
        <w:t xml:space="preserve">6.11 High Availability and Disaster Recovery Design</w:t>
      </w:r>
    </w:p>
    <w:p>
      <w:pPr>
        <w:spacing w:after="140"/>
      </w:pPr>
      <w:r>
        <w:rPr>
          <w:rFonts w:ascii="Noe Text" w:cs="Noe Text" w:eastAsia="Noe Text" w:hAnsi="Noe Text"/>
          <w:b w:val="false"/>
          <w:bCs w:val="false"/>
          <w:i w:val="false"/>
          <w:iCs w:val="false"/>
          <w:color w:val="333333"/>
          <w:sz w:val="21"/>
          <w:szCs w:val="21"/>
        </w:rPr>
        <w:t xml:space="preserve">High availability is about surviving a failure inside one Azure region without anyone outside noticing. Azure Availability Zones are physically separate datacentres with independent power and cooling; when APIM is deployed across zones, the edge layer only sends traffic to zones that are healthy.</w:t>
      </w:r>
    </w:p>
    <w:p>
      <w:pPr>
        <w:spacing w:after="120" w:before="80"/>
        <w:jc w:val="center"/>
      </w:pPr>
      <w:r>
        <w:drawing>
          <wp:inline distT="0" distB="0" distL="0" distR="0">
            <wp:extent cx="54864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1857375"/>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26: High availability architecture</w:t>
      </w:r>
    </w:p>
    <w:p>
      <w:pPr>
        <w:spacing w:after="140"/>
      </w:pPr>
      <w:r>
        <w:rPr>
          <w:rFonts w:ascii="Noe Text" w:cs="Noe Text" w:eastAsia="Noe Text" w:hAnsi="Noe Text"/>
          <w:b w:val="false"/>
          <w:bCs w:val="false"/>
          <w:i w:val="false"/>
          <w:iCs w:val="false"/>
          <w:color w:val="333333"/>
          <w:sz w:val="21"/>
          <w:szCs w:val="21"/>
        </w:rPr>
        <w:t xml:space="preserve">Backend services should also be zone-redundant; a zone-resilient gateway in front of a single-zone backend only moves the weak point, it does not remove it. Zone redundancy carries no separate line-item cost on Premium or Standard v2; it is a configuration choice, not an add-on.</w:t>
      </w:r>
    </w:p>
    <w:p>
      <w:pPr>
        <w:pStyle w:val="Heading3"/>
        <w:spacing w:after="90" w:before="160"/>
      </w:pPr>
      <w:r>
        <w:rPr>
          <w:rFonts w:ascii="Noe Text Regular" w:cs="Noe Text Regular" w:eastAsia="Noe Text Regular" w:hAnsi="Noe Text Regular"/>
        </w:rPr>
        <w:t xml:space="preserve">The whole chain is only as resilient as its weakest link</w:t>
      </w:r>
    </w:p>
    <w:p>
      <w:pPr>
        <w:spacing w:after="140"/>
      </w:pPr>
      <w:r>
        <w:rPr>
          <w:rFonts w:ascii="Noe Text" w:cs="Noe Text" w:eastAsia="Noe Text" w:hAnsi="Noe Text"/>
          <w:b w:val="false"/>
          <w:bCs w:val="false"/>
          <w:i w:val="false"/>
          <w:iCs w:val="false"/>
          <w:color w:val="333333"/>
          <w:sz w:val="21"/>
          <w:szCs w:val="21"/>
        </w:rPr>
        <w:t xml:space="preserve">A highly available gateway does not make the transaction highly available on its own. The complete path, consumer to Front Door to WAF to APIM to the network to Logic Apps to the backend, is only as resilient as its least-resilient hop. Each component's resilience should be assessed and owned explicitly rather than assumed from APIM's own SLA.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Component</w:t>
            </w:r>
          </w:p>
        </w:tc>
        <w:tc>
          <w:tcPr>
            <w:tcW w:type="dxa" w:w="465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Resilience to confirm</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Front Door + WAF</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Global service; confirm health-probe paths touch a real dependency, not a static page</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Zone-redundant; multi-region for regional failure</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Network (Firewall / NVA / DNS)</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Confirm the egress and DNS path is itself resilient, not a single point of failure</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Logic Apps Standard</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Confirm the hosting plan is zone-redundant to match the gateway</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Backend data stores</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Each has its own replication and RPO; the worst one sets the real data RPO</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Entra ID</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Identity outage needs a break-glass path (section 6.6)</w:t>
            </w:r>
          </w:p>
        </w:tc>
      </w:tr>
    </w:tbl>
    <w:p>
      <w:pPr>
        <w:spacing w:after="140"/>
      </w:pPr>
      <w:r>
        <w:rPr>
          <w:rFonts w:ascii="Noe Text" w:cs="Noe Text" w:eastAsia="Noe Text" w:hAnsi="Noe Text"/>
          <w:b w:val="false"/>
          <w:bCs w:val="false"/>
          <w:i w:val="false"/>
          <w:iCs w:val="false"/>
          <w:color w:val="333333"/>
          <w:sz w:val="2"/>
          <w:szCs w:val="2"/>
        </w:rPr>
        <w:t xml:space="preserve"/>
      </w:r>
    </w:p>
    <w:p>
      <w:pPr>
        <w:spacing w:after="140"/>
      </w:pPr>
      <w:r>
        <w:rPr>
          <w:rFonts w:ascii="Noe Text" w:cs="Noe Text" w:eastAsia="Noe Text" w:hAnsi="Noe Text"/>
          <w:b w:val="false"/>
          <w:bCs w:val="false"/>
          <w:i w:val="false"/>
          <w:iCs w:val="false"/>
          <w:color w:val="333333"/>
          <w:sz w:val="21"/>
          <w:szCs w:val="21"/>
        </w:rPr>
        <w:t xml:space="preserve">The single most important item to confirm here is whether Logic Apps Standard is configured for the same zone and regional resilience as the gateway; if it is not, the platform's real availability is set by Logic Apps, not by APIM.</w:t>
      </w:r>
    </w:p>
    <w:p>
      <w:pPr>
        <w:spacing w:after="140"/>
      </w:pPr>
      <w:r>
        <w:rPr>
          <w:rFonts w:ascii="Noe Text" w:cs="Noe Text" w:eastAsia="Noe Text" w:hAnsi="Noe Text"/>
          <w:b w:val="false"/>
          <w:bCs w:val="false"/>
          <w:i w:val="false"/>
          <w:iCs w:val="false"/>
          <w:color w:val="333333"/>
          <w:sz w:val="21"/>
          <w:szCs w:val="21"/>
        </w:rPr>
        <w:t xml:space="preserve">Disaster recovery covers the rarer case: an entire Azure region becomes unavailable, not just one zone. For an insurance platform handling claims and policy data, this has to be planned for rather than hoped against.</w:t>
      </w:r>
    </w:p>
    <w:p>
      <w:pPr>
        <w:spacing w:after="120" w:before="80"/>
        <w:jc w:val="center"/>
      </w:pPr>
      <w:r>
        <w:drawing>
          <wp:inline distT="0" distB="0" distL="0" distR="0">
            <wp:extent cx="54864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2085975"/>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27: Disaster recovery architecture</w:t>
      </w:r>
    </w:p>
    <w:p>
      <w:pPr>
        <w:spacing w:after="140"/>
      </w:pPr>
      <w:r>
        <w:rPr>
          <w:rFonts w:ascii="Noe Text" w:cs="Noe Text" w:eastAsia="Noe Text" w:hAnsi="Noe Text"/>
          <w:b w:val="false"/>
          <w:bCs w:val="false"/>
          <w:i w:val="false"/>
          <w:iCs w:val="false"/>
          <w:color w:val="333333"/>
          <w:sz w:val="21"/>
          <w:szCs w:val="21"/>
        </w:rPr>
        <w:t xml:space="preserve">Recommendation: run APIM Premium active in both UK South and UK West behind the same Front Door entry point. Front Door already health-checks both regions, so a UK South failure moves traffic to UK West automatically. All configuration lives in Git through APIOps, so a region can be rebuilt from nothing if it ever has to be.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Metric</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Target</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What it means</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Recovery Time Objective</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Under 30 minutes, often seconds with active-active</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How long the API layer is unavailable after a regional failure</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Recovery Point Objective, configuration</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Near zero</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Configuration is rebuilt from Git, nothing is lost</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Recovery Point Objective, data</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Depends on each backend's own replication SLA</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 does not create or remove this risk</w:t>
            </w:r>
          </w:p>
        </w:tc>
      </w:tr>
    </w:tbl>
    <w:p>
      <w:pPr>
        <w:spacing w:after="140"/>
      </w:pPr>
      <w:r>
        <w:rPr>
          <w:rFonts w:ascii="Noe Text" w:cs="Noe Text" w:eastAsia="Noe Text" w:hAnsi="Noe Text"/>
          <w:b w:val="false"/>
          <w:bCs w:val="false"/>
          <w:i w:val="false"/>
          <w:iCs w:val="false"/>
          <w:color w:val="333333"/>
          <w:sz w:val="2"/>
          <w:szCs w:val="2"/>
        </w:rPr>
        <w:t xml:space="preserve"/>
      </w:r>
    </w:p>
    <w:p>
      <w:pPr>
        <w:spacing w:after="140"/>
      </w:pPr>
      <w:r>
        <w:rPr>
          <w:rFonts w:ascii="Noe Text" w:cs="Noe Text" w:eastAsia="Noe Text" w:hAnsi="Noe Text"/>
          <w:b w:val="false"/>
          <w:bCs w:val="false"/>
          <w:i w:val="false"/>
          <w:iCs w:val="false"/>
          <w:color w:val="333333"/>
          <w:sz w:val="21"/>
          <w:szCs w:val="21"/>
        </w:rPr>
        <w:t xml:space="preserve">Active-active roughly doubles the APIM unit cost, since a live Premium unit runs in each region. Active-passive saves less than expected, since standby units still bill close to full price. Given the sensitivity of claims and policy data, we recommend active-active despite the higher run cost.</w:t>
      </w:r>
    </w:p>
    <w:p>
      <w:pPr>
        <w:pStyle w:val="Heading3"/>
        <w:spacing w:after="90" w:before="160"/>
      </w:pPr>
      <w:r>
        <w:rPr>
          <w:rFonts w:ascii="Noe Text Regular" w:cs="Noe Text Regular" w:eastAsia="Noe Text Regular" w:hAnsi="Noe Text Regular"/>
        </w:rPr>
        <w:t xml:space="preserve">How this aligns with the chosen edge service (Front Door, Option B)</w:t>
      </w:r>
    </w:p>
    <w:p>
      <w:pPr>
        <w:spacing w:after="140"/>
      </w:pPr>
      <w:r>
        <w:rPr>
          <w:rFonts w:ascii="Noe Text" w:cs="Noe Text" w:eastAsia="Noe Text" w:hAnsi="Noe Text"/>
          <w:b w:val="false"/>
          <w:bCs w:val="false"/>
          <w:i w:val="false"/>
          <w:iCs w:val="false"/>
          <w:color w:val="333333"/>
          <w:sz w:val="21"/>
          <w:szCs w:val="21"/>
        </w:rPr>
        <w:t xml:space="preserve">The HA/DR model here is not independent of the edge decision in section 6.4 — it is a direct consequence of choosing Azure Front Door (Option B). Front Door is what makes multi-region active-active practical: it health-probes both regional APIM gateways, holds the single global hostname every consumer uses, and moves traffic from UK South to UK West automatically when a region’s probes fail, with no DNS-cache delay. Had Chaucer chosen Option A (Application Gateway only), regional failover would not be built in and a separate global-routing layer would have to be added to achieve the same DR posture. The table makes the dependency explicit.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00"/>
      </w:tblGrid>
      <w:tr>
        <w:trPr>
          <w:tblHeader/>
        </w:trPr>
        <w:tc>
          <w:tcPr>
            <w:tcW w:type="dxa" w:w="22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Resilience layer</w:t>
            </w:r>
          </w:p>
        </w:tc>
        <w:tc>
          <w:tcPr>
            <w:tcW w:type="dxa" w:w="33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Provided by (given Option B)</w:t>
            </w:r>
          </w:p>
        </w:tc>
        <w:tc>
          <w:tcPr>
            <w:tcW w:type="dxa" w:w="38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Effect</w:t>
            </w:r>
          </w:p>
        </w:tc>
      </w:tr>
      <w:tr>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Regional failover</w:t>
            </w:r>
          </w:p>
        </w:tc>
        <w:tc>
          <w:tcPr>
            <w:tcW w:type="dxa" w:w="3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Front Door automatic origin failover (health-probed)</w:t>
            </w:r>
          </w:p>
        </w:tc>
        <w:tc>
          <w:tcPr>
            <w:tcW w:type="dxa" w:w="38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 UK South outage routes to UK West with no manual action or DNS wait</w:t>
            </w:r>
          </w:p>
        </w:tc>
      </w:tr>
      <w:tr>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Single entry point</w:t>
            </w:r>
          </w:p>
        </w:tc>
        <w:tc>
          <w:tcPr>
            <w:tcW w:type="dxa" w:w="3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One Front Door global hostname for all consumers</w:t>
            </w:r>
          </w:p>
        </w:tc>
        <w:tc>
          <w:tcPr>
            <w:tcW w:type="dxa" w:w="38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Consumers are unaware of which region serves them; no client-side change on failover</w:t>
            </w:r>
          </w:p>
        </w:tc>
      </w:tr>
      <w:tr>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Edge resilience</w:t>
            </w:r>
          </w:p>
        </w:tc>
        <w:tc>
          <w:tcPr>
            <w:tcW w:type="dxa" w:w="3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Front Door global anycast + edge WAF/DDoS</w:t>
            </w:r>
          </w:p>
        </w:tc>
        <w:tc>
          <w:tcPr>
            <w:tcW w:type="dxa" w:w="38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Volumetric and malicious traffic absorbed before it reaches either region</w:t>
            </w:r>
          </w:p>
        </w:tc>
      </w:tr>
      <w:tr>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In-region HA</w:t>
            </w:r>
          </w:p>
        </w:tc>
        <w:tc>
          <w:tcPr>
            <w:tcW w:type="dxa" w:w="3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Zone-redundant APIM (classic Premium) behind Front Door</w:t>
            </w:r>
          </w:p>
        </w:tc>
        <w:tc>
          <w:tcPr>
            <w:tcW w:type="dxa" w:w="38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Survives loss of a single datacentre within a region</w:t>
            </w:r>
          </w:p>
        </w:tc>
      </w:tr>
      <w:tr>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Backend resilience</w:t>
            </w:r>
          </w:p>
        </w:tc>
        <w:tc>
          <w:tcPr>
            <w:tcW w:type="dxa" w:w="3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Zone-redundant Logic Apps / Functions / Service Bus</w:t>
            </w:r>
          </w:p>
        </w:tc>
        <w:tc>
          <w:tcPr>
            <w:tcW w:type="dxa" w:w="38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Confirmed separately — the chain is only as resilient as its weakest hop (A.09)</w:t>
            </w:r>
          </w:p>
        </w:tc>
      </w:tr>
      <w:tr>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Config recovery</w:t>
            </w:r>
          </w:p>
        </w:tc>
        <w:tc>
          <w:tcPr>
            <w:tcW w:type="dxa" w:w="33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APIOps / Git for both regions</w:t>
            </w:r>
          </w:p>
        </w:tc>
        <w:tc>
          <w:tcPr>
            <w:tcW w:type="dxa" w:w="38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 region can be rebuilt from code; RPO for configuration near zero</w:t>
            </w:r>
          </w:p>
        </w:tc>
      </w:tr>
    </w:tbl>
    <w:p>
      <w:pPr>
        <w:spacing w:after="60"/>
      </w:pPr>
    </w:p>
    <w:p>
      <w:pPr>
        <w:pStyle w:val="Heading3"/>
        <w:spacing w:after="90" w:before="160"/>
      </w:pPr>
      <w:r>
        <w:rPr>
          <w:rFonts w:ascii="Noe Text Regular" w:cs="Noe Text Regular" w:eastAsia="Noe Text Regular" w:hAnsi="Noe Text Regular"/>
        </w:rPr>
        <w:t xml:space="preserve">Global routing: Front Door or Traffic Manager</w:t>
      </w:r>
    </w:p>
    <w:p>
      <w:pPr>
        <w:spacing w:after="140"/>
      </w:pPr>
      <w:r>
        <w:rPr>
          <w:rFonts w:ascii="Noe Text" w:cs="Noe Text" w:eastAsia="Noe Text" w:hAnsi="Noe Text"/>
          <w:b w:val="false"/>
          <w:bCs w:val="false"/>
          <w:i w:val="false"/>
          <w:iCs w:val="false"/>
          <w:color w:val="333333"/>
          <w:sz w:val="21"/>
          <w:szCs w:val="21"/>
        </w:rPr>
        <w:t xml:space="preserve">The SIF asks specifically about Traffic Manager, so it is worth setting out plainly why this design reaches for Azure Front Door instead, and when Traffic Manager would still be the right call. Both services do the same core job, steering traffic to a healthy region, but they operate at different layers, and that single difference drives the recommendation.</w:t>
      </w:r>
    </w:p>
    <w:p>
      <w:pPr>
        <w:spacing w:after="120" w:before="80"/>
        <w:jc w:val="center"/>
      </w:pPr>
      <w:r>
        <w:drawing>
          <wp:inline distT="0" distB="0" distL="0" distR="0">
            <wp:extent cx="54864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2266950"/>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28: Global routing, Front Door compared with Traffic Manager</w:t>
      </w:r>
    </w:p>
    <w:p>
      <w:pPr>
        <w:spacing w:after="140"/>
      </w:pPr>
      <w:r>
        <w:rPr>
          <w:rFonts w:ascii="Noe Text" w:cs="Noe Text" w:eastAsia="Noe Text" w:hAnsi="Noe Text"/>
          <w:b w:val="false"/>
          <w:bCs w:val="false"/>
          <w:i w:val="false"/>
          <w:iCs w:val="false"/>
          <w:color w:val="333333"/>
          <w:sz w:val="21"/>
          <w:szCs w:val="21"/>
        </w:rPr>
        <w:t xml:space="preserve">Traffic Manager works at the DNS layer: when a client looks up the API's name, Traffic Manager hands back the address of a healthy region and then steps out of the path. That makes it protocol-agnostic and cheap, and it can front non-HTTP endpoints and services outside Azure, which Front Door cannot. Its weakness is that failover is bounded by DNS caching, so clients can keep hitting a failed region until their cached lookup expires.</w:t>
      </w:r>
    </w:p>
    <w:p>
      <w:pPr>
        <w:spacing w:after="140"/>
      </w:pPr>
      <w:r>
        <w:rPr>
          <w:rFonts w:ascii="Noe Text" w:cs="Noe Text" w:eastAsia="Noe Text" w:hAnsi="Noe Text"/>
          <w:b w:val="false"/>
          <w:bCs w:val="false"/>
          <w:i w:val="false"/>
          <w:iCs w:val="false"/>
          <w:color w:val="333333"/>
          <w:sz w:val="21"/>
          <w:szCs w:val="21"/>
        </w:rPr>
        <w:t xml:space="preserve">Front Door works at Layer 7 over a persistent anycast connection: it receives the HTTPS request at the Microsoft edge, applies WAF, TLS termination and caching, and forwards it to a healthy region. Because it stays in the path, failover is fast enough to meet an aggressive recovery-time target, and it is not held up by DNS caching.</w:t>
      </w:r>
    </w:p>
    <w:p>
      <w:pPr>
        <w:spacing w:after="140"/>
      </w:pPr>
      <w:r>
        <w:rPr>
          <w:rFonts w:ascii="Noe Text" w:cs="Noe Text" w:eastAsia="Noe Text" w:hAnsi="Noe Text"/>
          <w:b w:val="false"/>
          <w:bCs w:val="false"/>
          <w:i w:val="false"/>
          <w:iCs w:val="false"/>
          <w:color w:val="333333"/>
          <w:sz w:val="21"/>
          <w:szCs w:val="21"/>
        </w:rPr>
        <w:t xml:space="preserve">For Chaucer, every consumer, brokers, Lloyd's market systems, internal apps, reaches the platform over HTTPS and benefits from edge security, so Front Door is the right global router. It also removes a separate WAF bill, since WAF is bundled into Front Door Premium. Traffic Manager would only become the better choice if Chaucer later needed to route non-HTTP traffic, or to steer between endpoints outside Azure. The two are not mutually exclusive: a common enterprise pattern layers Traffic Manager above Front Door purely as a DNS-level fallback, and Chaucer can adopt that later without redesign if a specific need arises.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Consideration</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Azure Front Door</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Azure Traffic Manager</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Routing layer</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Layer 7, anycast, stays in the request path</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DNS layer, returns an address then steps aside</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Failover speed</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Sub-minute, not bound by DNS caching</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Bounded by DNS time-to-live, slower</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Edge security</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WAF, TLS offload, caching built in</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None of its own</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Non-HTTP and non-Azure endpoints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Not supported</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Supported</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Cost shape</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Base fee plus request and data charges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Mainly per DNS query, cheaper</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Fit for Chaucer</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Recommended, all traffic is HTTPS API traffic</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Fallback only, or for future non-HTTP needs</w:t>
            </w:r>
          </w:p>
        </w:tc>
      </w:tr>
    </w:tbl>
    <w:p>
      <w:pPr>
        <w:spacing w:after="140"/>
      </w:pPr>
      <w:r>
        <w:rPr>
          <w:rFonts w:ascii="Noe Text" w:cs="Noe Text" w:eastAsia="Noe Text" w:hAnsi="Noe Text"/>
          <w:b w:val="false"/>
          <w:bCs w:val="false"/>
          <w:i w:val="false"/>
          <w:iCs w:val="false"/>
          <w:color w:val="333333"/>
          <w:sz w:val="2"/>
          <w:szCs w:val="2"/>
        </w:rPr>
        <w:t xml:space="preserve"/>
      </w:r>
    </w:p>
    <w:p>
      <w:pPr>
        <w:spacing w:after="140"/>
      </w:pPr>
      <w:r>
        <w:rPr>
          <w:rFonts w:ascii="Noe Text" w:cs="Noe Text" w:eastAsia="Noe Text" w:hAnsi="Noe Text"/>
          <w:b w:val="false"/>
          <w:bCs w:val="false"/>
          <w:i w:val="false"/>
          <w:iCs w:val="false"/>
          <w:color w:val="333333"/>
          <w:sz w:val="21"/>
          <w:szCs w:val="21"/>
        </w:rPr>
        <w:t xml:space="preserve">On this basis the design standardises on Front Door as the global router and edge, with Application Gateway plus WAF retained only as the single-region fallback discussed in section 6.4, and Traffic Manager noted as an option Chaucer can layer in later if a non-HTTP or cross-cloud routing requirement emerges.</w:t>
      </w:r>
    </w:p>
    <w:p>
      <w:pPr>
        <w:pStyle w:val="Heading2"/>
        <w:spacing w:after="100" w:before="200"/>
      </w:pPr>
      <w:r>
        <w:rPr>
          <w:rFonts w:ascii="Noe Text Regular" w:cs="Noe Text Regular" w:eastAsia="Noe Text Regular" w:hAnsi="Noe Text Regular"/>
        </w:rPr>
        <w:t xml:space="preserve">6.12 Cost, Capacity and Service Tier Strategy</w:t>
      </w:r>
    </w:p>
    <w:p>
      <w:pPr>
        <w:spacing w:after="140"/>
      </w:pPr>
      <w:r>
        <w:rPr>
          <w:rFonts w:ascii="Noe Text" w:cs="Noe Text" w:eastAsia="Noe Text" w:hAnsi="Noe Text"/>
          <w:b w:val="false"/>
          <w:bCs w:val="false"/>
          <w:i w:val="false"/>
          <w:iCs w:val="false"/>
          <w:color w:val="333333"/>
          <w:sz w:val="21"/>
          <w:szCs w:val="21"/>
        </w:rPr>
        <w:t xml:space="preserve">The figures below are indicative UK South list prices, gathered to give Chaucer a realistic planning envelope. They are not a quote. Two things will move the real number: Chaucer's enterprise agreement with Microsoft usually discounts list price, and actual traffic volume drives the metered charges (requests, bandwidth, and log ingestion) that sit on top of the fixed platform cost.</w:t>
      </w:r>
    </w:p>
    <w:p>
      <w:pPr>
        <w:spacing w:after="120" w:before="80"/>
        <w:jc w:val="center"/>
      </w:pPr>
      <w:r>
        <w:drawing>
          <wp:inline distT="0" distB="0" distL="0" distR="0">
            <wp:extent cx="54864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2085975"/>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29: Indicative monthly platform cost by environment</w:t>
      </w:r>
    </w:p>
    <w:p>
      <w:pPr>
        <w:pStyle w:val="Heading3"/>
        <w:spacing w:after="90" w:before="160"/>
      </w:pPr>
      <w:r>
        <w:rPr>
          <w:rFonts w:ascii="Noe Text Regular" w:cs="Noe Text Regular" w:eastAsia="Noe Text Regular" w:hAnsi="Noe Text Regular"/>
        </w:rPr>
        <w:t xml:space="preserve">Cost per component, production</w:t>
      </w:r>
    </w:p>
    <w:p>
      <w:pPr>
        <w:spacing w:after="140"/>
      </w:pPr>
      <w:r>
        <w:rPr>
          <w:rFonts w:ascii="Noe Text" w:cs="Noe Text" w:eastAsia="Noe Text" w:hAnsi="Noe Text"/>
          <w:b w:val="false"/>
          <w:bCs w:val="false"/>
          <w:i w:val="false"/>
          <w:iCs w:val="false"/>
          <w:color w:val="333333"/>
          <w:sz w:val="21"/>
          <w:szCs w:val="21"/>
        </w:rPr>
        <w:t xml:space="preserve">For a production environment the fixed monthly cost breaks down roughly as follows. A single Premium unit is the largest line by far, which is why the tier and single-versus-multi-region decision matters so much to the bill.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Component</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Indicative monthly cost</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Notes</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 Premium, per unit</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roughly £2,100 to £2,300</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The core gateway; active-active production runs two of these</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Azure Front Door Premium + WAF</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roughly £260 base, plus usage</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WAF rules included in the base; requests and egress billed on top</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Azure Key Vault</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 few pounds per month</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Priced per operation; negligible at this scale</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Azure Monitor and Application Insights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usage-based</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Driven by log volume; the main variable operational cost</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Azure DDoS Protection (if on a dedicated plan)</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roughly £2,300 per month per tenant</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Shared across all workloads in the tenant, not APIM-specific</w:t>
            </w:r>
          </w:p>
        </w:tc>
      </w:tr>
    </w:tbl>
    <w:p>
      <w:pPr>
        <w:spacing w:after="140"/>
      </w:pPr>
      <w:r>
        <w:rPr>
          <w:rFonts w:ascii="Noe Text" w:cs="Noe Text" w:eastAsia="Noe Text" w:hAnsi="Noe Text"/>
          <w:b w:val="false"/>
          <w:bCs w:val="false"/>
          <w:i w:val="false"/>
          <w:iCs w:val="false"/>
          <w:color w:val="333333"/>
          <w:sz w:val="2"/>
          <w:szCs w:val="2"/>
        </w:rPr>
        <w:t xml:space="preserve"/>
      </w:r>
    </w:p>
    <w:p>
      <w:pPr>
        <w:spacing w:after="140"/>
      </w:pPr>
      <w:r>
        <w:rPr>
          <w:rFonts w:ascii="Noe Text" w:cs="Noe Text" w:eastAsia="Noe Text" w:hAnsi="Noe Text"/>
          <w:b w:val="false"/>
          <w:bCs w:val="false"/>
          <w:i/>
          <w:iCs/>
          <w:color w:val="555555"/>
          <w:sz w:val="21"/>
          <w:szCs w:val="21"/>
        </w:rPr>
        <w:t xml:space="preserve">DDoS Protection is listed for completeness, but it is a tenant-wide service Chaucer may already pay for; it should not be attributed to APIM alone. If Chaucer has no dedicated DDoS plan, the infrastructure-level DDoS protection that comes free with Azure still applies.</w:t>
      </w:r>
    </w:p>
    <w:p>
      <w:pPr>
        <w:pStyle w:val="Heading3"/>
        <w:spacing w:after="90" w:before="160"/>
      </w:pPr>
      <w:r>
        <w:rPr>
          <w:rFonts w:ascii="Noe Text Regular" w:cs="Noe Text Regular" w:eastAsia="Noe Text Regular" w:hAnsi="Noe Text Regular"/>
        </w:rPr>
        <w:t xml:space="preserve">How to keep the cost down</w:t>
      </w:r>
    </w:p>
    <w:p>
      <w:pPr>
        <w:pStyle w:val="ListParagraph"/>
        <w:numPr>
          <w:ilvl w:val="0"/>
          <w:numId w:val="2"/>
        </w:numPr>
        <w:spacing w:after="70"/>
      </w:pPr>
      <w:r>
        <w:rPr>
          <w:rFonts w:ascii="Noe Text" w:cs="Noe Text" w:eastAsia="Noe Text" w:hAnsi="Noe Text"/>
          <w:color w:val="333333"/>
          <w:sz w:val="21"/>
          <w:szCs w:val="21"/>
        </w:rPr>
        <w:t xml:space="preserve">Run Dev on the Developer tier, not Premium. It has the full policy engine and portal for a fraction of the price; its lack of an SLA does not matter for a build-and-test environment. UAT steps up to Standard v2 so business sign-off happens on an SLA-backed, production-like tier.</w:t>
      </w:r>
    </w:p>
    <w:p>
      <w:pPr>
        <w:pStyle w:val="ListParagraph"/>
        <w:numPr>
          <w:ilvl w:val="0"/>
          <w:numId w:val="2"/>
        </w:numPr>
        <w:spacing w:after="70"/>
      </w:pPr>
      <w:r>
        <w:rPr>
          <w:rFonts w:ascii="Noe Text" w:cs="Noe Text" w:eastAsia="Noe Text" w:hAnsi="Noe Text"/>
          <w:color w:val="333333"/>
          <w:sz w:val="21"/>
          <w:szCs w:val="21"/>
        </w:rPr>
        <w:t xml:space="preserve">Add Premium units only when capacity metrics require it. One unit covers a comfortable pilot; scaling out is a deliberate choice, not a default.</w:t>
      </w:r>
    </w:p>
    <w:p>
      <w:pPr>
        <w:pStyle w:val="ListParagraph"/>
        <w:numPr>
          <w:ilvl w:val="0"/>
          <w:numId w:val="2"/>
        </w:numPr>
        <w:spacing w:after="70"/>
      </w:pPr>
      <w:r>
        <w:rPr>
          <w:rFonts w:ascii="Noe Text" w:cs="Noe Text" w:eastAsia="Noe Text" w:hAnsi="Noe Text"/>
          <w:color w:val="333333"/>
          <w:sz w:val="21"/>
          <w:szCs w:val="21"/>
        </w:rPr>
        <w:t xml:space="preserve">Watch log ingestion. Application Insights and Log Analytics are usage-billed, so sampling verbose logs in production keeps the observability bill predictable.</w:t>
      </w:r>
    </w:p>
    <w:p>
      <w:pPr>
        <w:pStyle w:val="ListParagraph"/>
        <w:numPr>
          <w:ilvl w:val="0"/>
          <w:numId w:val="2"/>
        </w:numPr>
        <w:spacing w:after="70"/>
      </w:pPr>
      <w:r>
        <w:rPr>
          <w:rFonts w:ascii="Noe Text" w:cs="Noe Text" w:eastAsia="Noe Text" w:hAnsi="Noe Text"/>
          <w:color w:val="333333"/>
          <w:sz w:val="21"/>
          <w:szCs w:val="21"/>
        </w:rPr>
        <w:t xml:space="preserve">Confirm whether active-active is needed from day one, or whether a single-region start with active-passive DR is acceptable for the first phase, deferring the second Premium unit's cost until partner traffic justifies it.</w:t>
      </w:r>
    </w:p>
    <w:p>
      <w:pPr>
        <w:spacing w:after="140"/>
      </w:pPr>
      <w:r>
        <w:rPr>
          <w:rFonts w:ascii="Noe Text" w:cs="Noe Text" w:eastAsia="Noe Text" w:hAnsi="Noe Text"/>
          <w:b w:val="false"/>
          <w:bCs w:val="false"/>
          <w:i w:val="false"/>
          <w:iCs w:val="false"/>
          <w:color w:val="333333"/>
          <w:sz w:val="21"/>
          <w:szCs w:val="21"/>
        </w:rPr>
        <w:t xml:space="preserve">A sensible first-phase envelope, one Premium production unit plus Front Door, with Developer and Standard v2 lower environments, lands in the region of £3,500 to £4,000 per month before traffic and before any enterprise discount. Moving production to active-active adds roughly one more Premium unit's cost. These are planning numbers to frame the conversation with Microsoft, not a committed price.</w:t>
      </w:r>
    </w:p>
    <w:p>
      <w:pPr>
        <w:pStyle w:val="Heading3"/>
        <w:spacing w:after="90" w:before="160"/>
      </w:pPr>
      <w:r>
        <w:rPr>
          <w:rFonts w:ascii="Noe Text Regular" w:cs="Noe Text Regular" w:eastAsia="Noe Text Regular" w:hAnsi="Noe Text Regular"/>
        </w:rPr>
        <w:t xml:space="preserve">Capacity planning and scaling</w:t>
      </w:r>
    </w:p>
    <w:p>
      <w:pPr>
        <w:spacing w:after="140"/>
      </w:pPr>
      <w:r>
        <w:rPr>
          <w:rFonts w:ascii="Noe Text" w:cs="Noe Text" w:eastAsia="Noe Text" w:hAnsi="Noe Text"/>
          <w:b w:val="false"/>
          <w:bCs w:val="false"/>
          <w:i w:val="false"/>
          <w:iCs w:val="false"/>
          <w:color w:val="333333"/>
          <w:sz w:val="21"/>
          <w:szCs w:val="21"/>
        </w:rPr>
        <w:t xml:space="preserve">Cost and capacity are two views of the same decision: how many scale units each environment runs. This section makes the sizing explicit so the numbers above are traceable to expected load rather than picked. A dedicated-tier unit has a load-bearing capacity expressed as an approximate maximum throughput — on the order of 1,000 requests per second per unit as a planning figure — but this is a rough planning number, not a hard limit: real throughput varies with payload size, connection patterns, and especially the number and cost of policies each request runs, so it must be validated against Chaucer’s own traffic before it is treated as settled.</w:t>
      </w:r>
    </w:p>
    <w:p>
      <w:pPr>
        <w:spacing w:after="140"/>
      </w:pPr>
      <w:r>
        <w:rPr>
          <w:rFonts w:ascii="Noe Text" w:cs="Noe Text" w:eastAsia="Noe Text" w:hAnsi="Noe Text"/>
          <w:b w:val="false"/>
          <w:bCs w:val="false"/>
          <w:i w:val="false"/>
          <w:iCs w:val="false"/>
          <w:color w:val="333333"/>
          <w:sz w:val="21"/>
          <w:szCs w:val="21"/>
        </w:rPr>
        <w:t xml:space="preserve">Scale by the capacity metric, not by guesswork. APIM exposes a capacity metric (a percentage of resource utilisation across the gateway) that is the correct signal for scaling. The recommended rules of thumb, to be tuned against real traffic: for a single-unit instance, upgrade or add a unit when sustained capacity exceeds about 40% (headroom is reserved for platform updates); for multi-unit instances, scale out when the 30-minute average exceeds ~70% and scale in below ~35%, using averaging windows of 30 minutes or longer to avoid flapping. A scale operation takes around 30 minutes to complete, so autoscale rules must act on sustained trends and leave time to take effect, and in a multi-region deployment only the primary region’s units autoscale — secondary regions are sized manually.</w:t>
      </w:r>
    </w:p>
    <w:p>
      <w:pPr>
        <w:spacing w:after="140"/>
      </w:pPr>
      <w:r>
        <w:rPr>
          <w:rFonts w:ascii="Noe Text" w:cs="Noe Text" w:eastAsia="Noe Text" w:hAnsi="Noe Text"/>
          <w:b w:val="false"/>
          <w:bCs w:val="false"/>
          <w:i w:val="false"/>
          <w:iCs w:val="false"/>
          <w:color w:val="333333"/>
          <w:sz w:val="21"/>
          <w:szCs w:val="21"/>
        </w:rPr>
        <w:t xml:space="preserve">Right-size each environment to its job. Dev and UAT are not sized for production load; Production carries headroom for peak and for a region failover absorbing the other region’s share. The starting model, to be confirmed against Chaucer’s measured or forecast peak requests per second: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00"/>
      </w:tblGrid>
      <w:tr>
        <w:trPr>
          <w:tblHeader/>
        </w:trPr>
        <w:tc>
          <w:tcPr>
            <w:tcW w:type="dxa" w:w="22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Environment</w:t>
            </w:r>
          </w:p>
        </w:tc>
        <w:tc>
          <w:tcPr>
            <w:tcW w:type="dxa" w:w="22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Starting size</w:t>
            </w:r>
          </w:p>
        </w:tc>
        <w:tc>
          <w:tcPr>
            <w:tcW w:type="dxa" w:w="22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Indicative capacity</w:t>
            </w:r>
          </w:p>
        </w:tc>
        <w:tc>
          <w:tcPr>
            <w:tcW w:type="dxa" w:w="27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Sizing basis</w:t>
            </w:r>
          </w:p>
        </w:tc>
      </w:tr>
      <w:tr>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Dev</w:t>
            </w:r>
          </w:p>
        </w:tc>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Developer, 1 unit</w:t>
            </w:r>
          </w:p>
        </w:tc>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Not applicable</w:t>
            </w:r>
          </w:p>
        </w:tc>
        <w:tc>
          <w:tcPr>
            <w:tcW w:type="dxa" w:w="2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Build and unit test only; no load target</w:t>
            </w:r>
          </w:p>
        </w:tc>
      </w:tr>
      <w:tr>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UAT</w:t>
            </w:r>
          </w:p>
        </w:tc>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Standard v2, 1 unit</w:t>
            </w:r>
          </w:p>
        </w:tc>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~1,000 req/s planning figure</w:t>
            </w:r>
          </w:p>
        </w:tc>
        <w:tc>
          <w:tcPr>
            <w:tcW w:type="dxa" w:w="2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Production-like sign-off; scale for test load, not prod peak</w:t>
            </w:r>
          </w:p>
        </w:tc>
      </w:tr>
      <w:tr>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Production (per region)</w:t>
            </w:r>
          </w:p>
        </w:tc>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Classic Premium, 1 unit to start</w:t>
            </w:r>
          </w:p>
        </w:tc>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~1,000 req/s per unit planning figure</w:t>
            </w:r>
          </w:p>
        </w:tc>
        <w:tc>
          <w:tcPr>
            <w:tcW w:type="dxa" w:w="2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Add units on the capacity metric; each region must hold peak load alone for active-active failover</w:t>
            </w:r>
          </w:p>
        </w:tc>
      </w:tr>
    </w:tbl>
    <w:p>
      <w:pPr>
        <w:spacing w:after="140"/>
      </w:pPr>
      <w:r>
        <w:rPr>
          <w:rFonts w:ascii="Noe Text" w:cs="Noe Text" w:eastAsia="Noe Text" w:hAnsi="Noe Text"/>
          <w:b w:val="false"/>
          <w:bCs w:val="false"/>
          <w:i w:val="false"/>
          <w:iCs w:val="false"/>
          <w:color w:val="333333"/>
          <w:sz w:val="21"/>
          <w:szCs w:val="21"/>
        </w:rPr>
        <w:t xml:space="preserve">Two capacity items to resolve during detailed design, flagged so they are not missed: Chaucer’s expected and peak requests-per-second (which sets the real unit count and is not yet known to this design), and the active-active headroom rule — because either region must be able to carry the whole load during a failover, each region should be sized for peak on its own, not for half. Both feed the cost envelope in this section and are recorded in the assumptions register.</w:t>
      </w:r>
    </w:p>
    <w:p>
      <w:pPr>
        <w:spacing w:after="60"/>
      </w:pPr>
    </w:p>
    <w:p>
      <w:pPr>
        <w:pStyle w:val="Heading1"/>
        <w:pageBreakBefore/>
        <w:spacing w:after="160"/>
      </w:pPr>
      <w:r>
        <w:rPr>
          <w:rFonts w:ascii="Noe Text Regular" w:cs="Noe Text Regular" w:eastAsia="Noe Text Regular" w:hAnsi="Noe Text Regular"/>
        </w:rPr>
        <w:t xml:space="preserve">7. Architecture Impact Assessment</w:t>
      </w:r>
    </w:p>
    <w:p>
      <w:pPr>
        <w:pStyle w:val="Heading2"/>
        <w:spacing w:after="100" w:before="200"/>
      </w:pPr>
      <w:r>
        <w:rPr>
          <w:rFonts w:ascii="Noe Text Regular" w:cs="Noe Text Regular" w:eastAsia="Noe Text Regular" w:hAnsi="Noe Text Regular"/>
        </w:rPr>
        <w:t xml:space="preserve">7.1 High Level Impact Assessment</w:t>
      </w:r>
    </w:p>
    <w:p>
      <w:pPr>
        <w:spacing w:after="140"/>
      </w:pPr>
      <w:r>
        <w:rPr>
          <w:rFonts w:ascii="Noe Text" w:cs="Noe Text" w:eastAsia="Noe Text" w:hAnsi="Noe Text"/>
          <w:b w:val="false"/>
          <w:bCs w:val="false"/>
          <w:i w:val="false"/>
          <w:iCs w:val="false"/>
          <w:color w:val="333333"/>
          <w:sz w:val="21"/>
          <w:szCs w:val="21"/>
        </w:rPr>
        <w:t xml:space="preserve">Introducing APIM adds a new, centrally-governed platform layer in front of Chaucer's existing integration estate. The impact is additive rather than disruptive: existing Logic Apps continue to run, with APIM placed in front of them. The main new operational dependencies are the platform's networking (including the Palo Alto path), identity (Entra ID) and the APIOps pipeline. The subsections below summarise the impact by architecture domain.</w:t>
      </w:r>
    </w:p>
    <w:p>
      <w:pPr>
        <w:pStyle w:val="Heading2"/>
        <w:spacing w:after="100" w:before="200"/>
      </w:pPr>
      <w:r>
        <w:rPr>
          <w:rFonts w:ascii="Noe Text Regular" w:cs="Noe Text Regular" w:eastAsia="Noe Text Regular" w:hAnsi="Noe Text Regular"/>
        </w:rPr>
        <w:t xml:space="preserve">7.2 Business Architecture</w:t>
      </w:r>
    </w:p>
    <w:p>
      <w:pPr>
        <w:spacing w:after="140"/>
      </w:pPr>
      <w:r>
        <w:rPr>
          <w:rFonts w:ascii="Noe Text" w:cs="Noe Text" w:eastAsia="Noe Text" w:hAnsi="Noe Text"/>
          <w:b w:val="false"/>
          <w:bCs w:val="false"/>
          <w:i w:val="false"/>
          <w:iCs w:val="false"/>
          <w:color w:val="333333"/>
          <w:sz w:val="21"/>
          <w:szCs w:val="21"/>
        </w:rPr>
        <w:t xml:space="preserve">Business teams gain a governed, self-service route to expose data to brokers and partners without commissioning a bespoke integration each time. API onboarding moves from a multi-week bespoke build to a standard catalogued process, and partner onboarding becomes repeatable.</w:t>
      </w:r>
    </w:p>
    <w:p>
      <w:pPr>
        <w:pStyle w:val="Heading2"/>
        <w:spacing w:after="100" w:before="200"/>
      </w:pPr>
      <w:r>
        <w:rPr>
          <w:rFonts w:ascii="Noe Text Regular" w:cs="Noe Text Regular" w:eastAsia="Noe Text Regular" w:hAnsi="Noe Text Regular"/>
        </w:rPr>
        <w:t xml:space="preserve">7.3 Data Architecture</w:t>
      </w:r>
    </w:p>
    <w:p>
      <w:pPr>
        <w:spacing w:after="140"/>
      </w:pPr>
      <w:r>
        <w:rPr>
          <w:rFonts w:ascii="Noe Text" w:cs="Noe Text" w:eastAsia="Noe Text" w:hAnsi="Noe Text"/>
          <w:b w:val="false"/>
          <w:bCs w:val="false"/>
          <w:i w:val="false"/>
          <w:iCs w:val="false"/>
          <w:color w:val="333333"/>
          <w:sz w:val="21"/>
          <w:szCs w:val="21"/>
        </w:rPr>
        <w:t xml:space="preserve">Data in transit is protected end to end (TLS 1.2 minimum), and response payloads can be masked at the gateway before leaving Chaucer's network. Primary and secondary regions in the UK support data-residency expectations. APIM does not store business data; it forwards it, so the data-at-rest position is unchanged from the backends.</w:t>
      </w:r>
    </w:p>
    <w:p>
      <w:pPr>
        <w:pStyle w:val="Heading2"/>
        <w:spacing w:after="100" w:before="200"/>
      </w:pPr>
      <w:r>
        <w:rPr>
          <w:rFonts w:ascii="Noe Text Regular" w:cs="Noe Text Regular" w:eastAsia="Noe Text Regular" w:hAnsi="Noe Text Regular"/>
        </w:rPr>
        <w:t xml:space="preserve">7.4 Application Architecture</w:t>
      </w:r>
    </w:p>
    <w:p>
      <w:pPr>
        <w:spacing w:after="140"/>
      </w:pPr>
      <w:r>
        <w:rPr>
          <w:rFonts w:ascii="Noe Text" w:cs="Noe Text" w:eastAsia="Noe Text" w:hAnsi="Noe Text"/>
          <w:b w:val="false"/>
          <w:bCs w:val="false"/>
          <w:i w:val="false"/>
          <w:iCs w:val="false"/>
          <w:color w:val="333333"/>
          <w:sz w:val="21"/>
          <w:szCs w:val="21"/>
        </w:rPr>
        <w:t xml:space="preserve">Existing applications and Logic Apps are not replaced; APIM is added as a decoupling layer so that consumers integrate against a stable published API contract rather than a specific backend implementation. This reduces coupling between consumers and backends.</w:t>
      </w:r>
    </w:p>
    <w:p>
      <w:pPr>
        <w:pStyle w:val="Heading2"/>
        <w:spacing w:after="100" w:before="200"/>
      </w:pPr>
      <w:r>
        <w:rPr>
          <w:rFonts w:ascii="Noe Text Regular" w:cs="Noe Text Regular" w:eastAsia="Noe Text Regular" w:hAnsi="Noe Text Regular"/>
        </w:rPr>
        <w:t xml:space="preserve">7.5 Technology Architecture</w:t>
      </w:r>
    </w:p>
    <w:p>
      <w:pPr>
        <w:spacing w:after="140"/>
      </w:pPr>
      <w:r>
        <w:rPr>
          <w:rFonts w:ascii="Noe Text" w:cs="Noe Text" w:eastAsia="Noe Text" w:hAnsi="Noe Text"/>
          <w:b w:val="false"/>
          <w:bCs w:val="false"/>
          <w:i w:val="false"/>
          <w:iCs w:val="false"/>
          <w:color w:val="333333"/>
          <w:sz w:val="21"/>
          <w:szCs w:val="21"/>
        </w:rPr>
        <w:t xml:space="preserve">The design introduces APIM (classic Premium), Front Door with WAF, Key Vault, and the APIOps pipeline, integrated with the existing Azure landing zone and the Palo Alto firewall. It depends on Availability Zones and multi-region deployment for resilience, as set out in section 6.11.</w:t>
      </w:r>
    </w:p>
    <w:p>
      <w:pPr>
        <w:spacing w:after="140"/>
      </w:pPr>
      <w:r>
        <w:rPr>
          <w:rFonts w:ascii="Noe Text" w:cs="Noe Text" w:eastAsia="Noe Text" w:hAnsi="Noe Text"/>
          <w:b w:val="false"/>
          <w:bCs w:val="false"/>
          <w:i w:val="false"/>
          <w:iCs w:val="false"/>
          <w:color w:val="333333"/>
          <w:sz w:val="21"/>
          <w:szCs w:val="21"/>
        </w:rPr>
        <w:t xml:space="preserve">The technology architecture follows Microsoft’s published reference patterns for enterprise integration and API protection, adapted to Chaucer’s estate. Consumers reach the platform through Azure Front Door (global edge WAF, TLS termination, DDoS and multi-region failover); internet and internal traffic are inspected by the existing Palo Alto next-generation firewall in the hub VNet; APIM runs in internal (VNet-injected) mode in a spoke, exposing an external and an internal gateway with no public data-plane address; and backends — Logic Apps Standard, Azure Functions and Service Bus — sit in a private backend spoke reachable only over Private Endpoints with NSG enforcement. Cutting across all of this are the shared platform services: Microsoft Entra ID for identity (OAuth 2.0 / JWT), Azure Key Vault for secrets and certificates, Azure Monitor with Application Insights and Log Analytics for observability, and the APIOps (Bicep + Git) pipeline that builds and promotes every environment as code.</w:t>
      </w:r>
    </w:p>
    <w:p xmlns:a="http://schemas.openxmlformats.org/drawingml/2006/main" xmlns:pic="http://schemas.openxmlformats.org/drawingml/2006/picture">
      <w:pPr>
        <w:spacing w:after="120" w:before="80"/>
        <w:jc w:val="center"/>
      </w:pPr>
      <w:r>
        <w:drawing>
          <wp:inline distT="0" distB="0" distL="0" distR="0">
            <wp:extent cx="5943600" cy="2177572"/>
            <wp:effectExtent t="0" r="0" b="0" l="0"/>
            <wp:docPr id="105"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9" cstate="none"/>
                    <a:srcRect/>
                    <a:stretch>
                      <a:fillRect/>
                    </a:stretch>
                  </pic:blipFill>
                  <pic:spPr bwMode="auto">
                    <a:xfrm>
                      <a:off x="0" y="0"/>
                      <a:ext cx="5943600" cy="2177572"/>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30: Technology architecture — APIM target state on Azure, aligned to Microsoft reference patterns</w:t>
      </w:r>
    </w:p>
    <w:p>
      <w:pPr>
        <w:pStyle w:val="Heading2"/>
        <w:spacing w:after="100" w:before="200"/>
      </w:pPr>
      <w:r>
        <w:rPr>
          <w:rFonts w:ascii="Noe Text Regular" w:cs="Noe Text Regular" w:eastAsia="Noe Text Regular" w:hAnsi="Noe Text Regular"/>
        </w:rPr>
        <w:t xml:space="preserve">7.6 Service Architecture</w:t>
      </w:r>
    </w:p>
    <w:p>
      <w:pPr>
        <w:spacing w:after="140"/>
      </w:pPr>
      <w:r>
        <w:rPr>
          <w:rFonts w:ascii="Noe Text" w:cs="Noe Text" w:eastAsia="Noe Text" w:hAnsi="Noe Text"/>
          <w:b w:val="false"/>
          <w:bCs w:val="false"/>
          <w:i w:val="false"/>
          <w:iCs w:val="false"/>
          <w:color w:val="333333"/>
          <w:sz w:val="21"/>
          <w:szCs w:val="21"/>
        </w:rPr>
        <w:t xml:space="preserve">Target service levels are 99.95 percent gateway availability, a recovery-time objective under 30 minutes for a regional failure, and API onboarding turnaround measured in days once the platform is live. Operational ownership follows the operating model in the accompanying Setup Handoff document.</w:t>
      </w:r>
    </w:p>
    <w:p>
      <w:pPr>
        <w:pStyle w:val="Heading1"/>
        <w:pageBreakBefore/>
        <w:spacing w:after="160"/>
      </w:pPr>
      <w:r>
        <w:rPr>
          <w:rFonts w:ascii="Noe Text Regular" w:cs="Noe Text Regular" w:eastAsia="Noe Text Regular" w:hAnsi="Noe Text Regular"/>
        </w:rPr>
        <w:t xml:space="preserve">8. Risks and Issues</w:t>
      </w:r>
    </w:p>
    <w:p>
      <w:pPr>
        <w:pStyle w:val="Heading2"/>
        <w:spacing w:after="100" w:before="200"/>
      </w:pPr>
      <w:r>
        <w:rPr>
          <w:rFonts w:ascii="Noe Text Regular" w:cs="Noe Text Regular" w:eastAsia="Noe Text Regular" w:hAnsi="Noe Text Regular"/>
        </w:rPr>
        <w:t xml:space="preserve">8.1 Assumptions</w:t>
      </w:r>
    </w:p>
    <w:p>
      <w:pPr>
        <w:spacing w:after="140"/>
      </w:pPr>
      <w:r>
        <w:rPr>
          <w:rFonts w:ascii="Noe Text" w:cs="Noe Text" w:eastAsia="Noe Text" w:hAnsi="Noe Text"/>
          <w:b w:val="false"/>
          <w:bCs w:val="false"/>
          <w:i w:val="false"/>
          <w:iCs w:val="false"/>
          <w:color w:val="333333"/>
          <w:sz w:val="21"/>
          <w:szCs w:val="21"/>
        </w:rPr>
        <w:t xml:space="preserve">This design is a well-formed proposal, not a Chaucer-verified fact base. The items below are assumptions or open decisions that carry real weight; several are stated as design choices elsewhere in this document for readability, but none should be treated as settled until confirmed. This register is the single place a reviewer, or Chaucer's TDA, should look to see where the design still depends on inputs we have not seen. It is deliberately blunt.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25"/>
        <w:gridCol w:w="2325"/>
        <w:gridCol w:w="2325"/>
        <w:gridCol w:w="2325"/>
      </w:tblGrid>
      <w:tr>
        <w:trPr>
          <w:tblHeader/>
        </w:trPr>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Ref</w:t>
            </w:r>
          </w:p>
        </w:tc>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Assumption or open item</w:t>
            </w:r>
          </w:p>
        </w:tc>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Impact if wrong</w:t>
            </w:r>
          </w:p>
        </w:tc>
        <w:tc>
          <w:tcPr>
            <w:tcW w:type="dxa" w:w="2325"/>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Owner to confirm</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A.01</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This is a greenfield build; no legacy on-prem system needs direct APIM exposure</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Introduces self-hosted gateway and hybrid connectivity, changing tier and topology</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 EA / Integration</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A.02</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Backends already sit in a VNet reachable via Private Endpoint</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The whole backend-connectivity design (section 6.4) may need rework</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 Network</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A.03</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Chaucer's landing zone follows a standard hub-spoke with private DNS zones available</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Affects DNS, egress, and how APIM reaches each backend</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 Cloud Platform</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A.04</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Entra ID is Chaucer's identity provider and can extend to API consumers</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The entire authentication model shifts</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 Identity</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A.05</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UK South / UK West satisfy data-residency obligations</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May force a different region pair or design</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 Compliance</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A.06</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Regulatory controls (FCA/PRA/Lloyd's/GDPR) can be met by the proposed design</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Compliance is the least-verified area; controls need confirming</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 Compliance</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A.07</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The Traffic Manager reference in the SIF is shorthand for global routing, not a hard mandate</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If mandated, the Front Door substitution needs explicit sign-off</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 EA / TDA</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A.08</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Active-active multi-region is required from day one</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If not, active-passive defers significant cost</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 + business</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A.09</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Proposed RTO/RPO, retention periods, and alert thresholds are acceptable</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Operational targets and cost may change</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 Operations</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A.10</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Traffic volumes fit one Premium unit for the pilot</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Scaling changes the cost envelope</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 + Microsoft</w:t>
            </w:r>
          </w:p>
        </w:tc>
      </w:tr>
      <w:tr>
        <w:trPr>
          <w:tblHeader w:val="false"/>
        </w:trPr>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A.11</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Tier price bands (Premium v2, classic Premium, and Standard v2) are current</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Cost planning figures shift</w:t>
            </w:r>
          </w:p>
        </w:tc>
        <w:tc>
          <w:tcPr>
            <w:tcW w:type="dxa" w:w="2325"/>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Verify vs Azure pricing page</w:t>
            </w:r>
          </w:p>
        </w:tc>
      </w:tr>
      <w:tr>
        <w:tc>
          <w:tcPr>
            <w:tcW w:type="dxa" w:w="2325"/>
            <w:tcMar>
              <w:top w:type="dxa" w:w="70"/>
              <w:left w:type="dxa" w:w="100"/>
              <w:bottom w:type="dxa" w:w="70"/>
              <w:right w:type="dxa" w:w="100"/>
            </w:tcMar>
          </w:tcPr>
          <w:p>
            <w:pPr>
              <w:spacing w:after="0"/>
            </w:pPr>
            <w:r>
              <w:rPr>
                <w:rFonts w:ascii="Noe Text" w:cs="Noe Text" w:eastAsia="Noe Text" w:hAnsi="Noe Text"/>
                <w:color w:val="333333"/>
                <w:sz w:val="18"/>
                <w:szCs w:val="18"/>
              </w:rPr>
              <w:t xml:space="preserve">A.12</w:t>
            </w:r>
          </w:p>
        </w:tc>
        <w:tc>
          <w:tcPr>
            <w:tcW w:type="dxa" w:w="2325"/>
            <w:tcMar>
              <w:top w:type="dxa" w:w="70"/>
              <w:left w:type="dxa" w:w="100"/>
              <w:bottom w:type="dxa" w:w="70"/>
              <w:right w:type="dxa" w:w="100"/>
            </w:tcMar>
          </w:tcPr>
          <w:p>
            <w:pPr>
              <w:spacing w:after="0"/>
            </w:pPr>
            <w:r>
              <w:rPr>
                <w:rFonts w:ascii="Noe Text" w:cs="Noe Text" w:eastAsia="Noe Text" w:hAnsi="Noe Text"/>
                <w:color w:val="333333"/>
                <w:sz w:val="18"/>
                <w:szCs w:val="18"/>
              </w:rPr>
              <w:t xml:space="preserve">Expected and peak API request rate (RPS) is not yet provided</w:t>
            </w:r>
          </w:p>
        </w:tc>
        <w:tc>
          <w:tcPr>
            <w:tcW w:type="dxa" w:w="2325"/>
            <w:tcMar>
              <w:top w:type="dxa" w:w="70"/>
              <w:left w:type="dxa" w:w="100"/>
              <w:bottom w:type="dxa" w:w="70"/>
              <w:right w:type="dxa" w:w="100"/>
            </w:tcMar>
          </w:tcPr>
          <w:p>
            <w:pPr>
              <w:spacing w:after="0"/>
            </w:pPr>
            <w:r>
              <w:rPr>
                <w:rFonts w:ascii="Noe Text" w:cs="Noe Text" w:eastAsia="Noe Text" w:hAnsi="Noe Text"/>
                <w:color w:val="333333"/>
                <w:sz w:val="18"/>
                <w:szCs w:val="18"/>
              </w:rPr>
              <w:t xml:space="preserve">Production unit count and autoscale thresholds cannot be finalised; capacity is a planning estimate only</w:t>
            </w:r>
          </w:p>
        </w:tc>
        <w:tc>
          <w:tcPr>
            <w:tcW w:type="dxa" w:w="2325"/>
            <w:tcMar>
              <w:top w:type="dxa" w:w="70"/>
              <w:left w:type="dxa" w:w="100"/>
              <w:bottom w:type="dxa" w:w="70"/>
              <w:right w:type="dxa" w:w="100"/>
            </w:tcMar>
          </w:tcPr>
          <w:p>
            <w:pPr>
              <w:spacing w:after="0"/>
            </w:pPr>
            <w:r>
              <w:rPr>
                <w:rFonts w:ascii="Noe Text" w:cs="Noe Text" w:eastAsia="Noe Text" w:hAnsi="Noe Text"/>
                <w:color w:val="333333"/>
                <w:sz w:val="18"/>
                <w:szCs w:val="18"/>
              </w:rPr>
              <w:t xml:space="preserve">Chaucer Platform + business</w:t>
            </w:r>
          </w:p>
        </w:tc>
      </w:tr>
      <w:tr>
        <w:tc>
          <w:tcPr>
            <w:tcW w:type="dxa" w:w="2325"/>
            <w:tcMar>
              <w:top w:type="dxa" w:w="70"/>
              <w:left w:type="dxa" w:w="100"/>
              <w:bottom w:type="dxa" w:w="70"/>
              <w:right w:type="dxa" w:w="100"/>
            </w:tcMar>
          </w:tcPr>
          <w:p>
            <w:pPr>
              <w:spacing w:after="0"/>
            </w:pPr>
            <w:r>
              <w:rPr>
                <w:rFonts w:ascii="Noe Text" w:cs="Noe Text" w:eastAsia="Noe Text" w:hAnsi="Noe Text"/>
                <w:color w:val="333333"/>
                <w:sz w:val="18"/>
                <w:szCs w:val="18"/>
              </w:rPr>
              <w:t xml:space="preserve">A.13</w:t>
            </w:r>
          </w:p>
        </w:tc>
        <w:tc>
          <w:tcPr>
            <w:tcW w:type="dxa" w:w="2325"/>
            <w:tcMar>
              <w:top w:type="dxa" w:w="70"/>
              <w:left w:type="dxa" w:w="100"/>
              <w:bottom w:type="dxa" w:w="70"/>
              <w:right w:type="dxa" w:w="100"/>
            </w:tcMar>
          </w:tcPr>
          <w:p>
            <w:pPr>
              <w:spacing w:after="0"/>
            </w:pPr>
            <w:r>
              <w:rPr>
                <w:rFonts w:ascii="Noe Text" w:cs="Noe Text" w:eastAsia="Noe Text" w:hAnsi="Noe Text"/>
                <w:color w:val="333333"/>
                <w:sz w:val="18"/>
                <w:szCs w:val="18"/>
              </w:rPr>
              <w:t xml:space="preserve">Named accountable owners for each RACI role are not yet assigned</w:t>
            </w:r>
          </w:p>
        </w:tc>
        <w:tc>
          <w:tcPr>
            <w:tcW w:type="dxa" w:w="2325"/>
            <w:tcMar>
              <w:top w:type="dxa" w:w="70"/>
              <w:left w:type="dxa" w:w="100"/>
              <w:bottom w:type="dxa" w:w="70"/>
              <w:right w:type="dxa" w:w="100"/>
            </w:tcMar>
          </w:tcPr>
          <w:p>
            <w:pPr>
              <w:spacing w:after="0"/>
            </w:pPr>
            <w:r>
              <w:rPr>
                <w:rFonts w:ascii="Noe Text" w:cs="Noe Text" w:eastAsia="Noe Text" w:hAnsi="Noe Text"/>
                <w:color w:val="333333"/>
                <w:sz w:val="18"/>
                <w:szCs w:val="18"/>
              </w:rPr>
              <w:t xml:space="preserve">Governance and approval gates lack a specific owner; onboarding SLAs cannot be enforced</w:t>
            </w:r>
          </w:p>
        </w:tc>
        <w:tc>
          <w:tcPr>
            <w:tcW w:type="dxa" w:w="2325"/>
            <w:tcMar>
              <w:top w:type="dxa" w:w="70"/>
              <w:left w:type="dxa" w:w="100"/>
              <w:bottom w:type="dxa" w:w="70"/>
              <w:right w:type="dxa" w:w="100"/>
            </w:tcMar>
          </w:tcPr>
          <w:p>
            <w:pPr>
              <w:spacing w:after="0"/>
            </w:pPr>
            <w:r>
              <w:rPr>
                <w:rFonts w:ascii="Noe Text" w:cs="Noe Text" w:eastAsia="Noe Text" w:hAnsi="Noe Text"/>
                <w:color w:val="333333"/>
                <w:sz w:val="18"/>
                <w:szCs w:val="18"/>
              </w:rPr>
              <w:t xml:space="preserve">Chaucer Platform + Domain leads</w:t>
            </w:r>
          </w:p>
        </w:tc>
      </w:tr>
      <w:tr>
        <w:tc>
          <w:tcPr>
            <w:tcW w:type="dxa" w:w="2325"/>
            <w:tcMar>
              <w:top w:type="dxa" w:w="70"/>
              <w:left w:type="dxa" w:w="100"/>
              <w:bottom w:type="dxa" w:w="70"/>
              <w:right w:type="dxa" w:w="100"/>
            </w:tcMar>
          </w:tcPr>
          <w:p>
            <w:pPr>
              <w:spacing w:after="0"/>
            </w:pPr>
            <w:r>
              <w:rPr>
                <w:rFonts w:ascii="Noe Text" w:cs="Noe Text" w:eastAsia="Noe Text" w:hAnsi="Noe Text"/>
                <w:color w:val="333333"/>
                <w:sz w:val="18"/>
                <w:szCs w:val="18"/>
              </w:rPr>
              <w:t xml:space="preserve">A.14</w:t>
            </w:r>
          </w:p>
        </w:tc>
        <w:tc>
          <w:tcPr>
            <w:tcW w:type="dxa" w:w="2325"/>
            <w:tcMar>
              <w:top w:type="dxa" w:w="70"/>
              <w:left w:type="dxa" w:w="100"/>
              <w:bottom w:type="dxa" w:w="70"/>
              <w:right w:type="dxa" w:w="100"/>
            </w:tcMar>
          </w:tcPr>
          <w:p>
            <w:pPr>
              <w:spacing w:after="0"/>
            </w:pPr>
            <w:r>
              <w:rPr>
                <w:rFonts w:ascii="Noe Text" w:cs="Noe Text" w:eastAsia="Noe Text" w:hAnsi="Noe Text"/>
                <w:color w:val="333333"/>
                <w:sz w:val="18"/>
                <w:szCs w:val="18"/>
              </w:rPr>
              <w:t xml:space="preserve">Log and correlation-ID retention period not yet confirmed with Compliance</w:t>
            </w:r>
          </w:p>
        </w:tc>
        <w:tc>
          <w:tcPr>
            <w:tcW w:type="dxa" w:w="2325"/>
            <w:tcMar>
              <w:top w:type="dxa" w:w="70"/>
              <w:left w:type="dxa" w:w="100"/>
              <w:bottom w:type="dxa" w:w="70"/>
              <w:right w:type="dxa" w:w="100"/>
            </w:tcMar>
          </w:tcPr>
          <w:p>
            <w:pPr>
              <w:spacing w:after="0"/>
            </w:pPr>
            <w:r>
              <w:rPr>
                <w:rFonts w:ascii="Noe Text" w:cs="Noe Text" w:eastAsia="Noe Text" w:hAnsi="Noe Text"/>
                <w:color w:val="333333"/>
                <w:sz w:val="18"/>
                <w:szCs w:val="18"/>
              </w:rPr>
              <w:t xml:space="preserve">PII/data-minimisation posture and evidence retention may not meet UK GDPR expectations</w:t>
            </w:r>
          </w:p>
        </w:tc>
        <w:tc>
          <w:tcPr>
            <w:tcW w:type="dxa" w:w="2325"/>
            <w:tcMar>
              <w:top w:type="dxa" w:w="70"/>
              <w:left w:type="dxa" w:w="100"/>
              <w:bottom w:type="dxa" w:w="70"/>
              <w:right w:type="dxa" w:w="100"/>
            </w:tcMar>
          </w:tcPr>
          <w:p>
            <w:pPr>
              <w:spacing w:after="0"/>
            </w:pPr>
            <w:r>
              <w:rPr>
                <w:rFonts w:ascii="Noe Text" w:cs="Noe Text" w:eastAsia="Noe Text" w:hAnsi="Noe Text"/>
                <w:color w:val="333333"/>
                <w:sz w:val="18"/>
                <w:szCs w:val="18"/>
              </w:rPr>
              <w:t xml:space="preserve">Chaucer Compliance + Security</w:t>
            </w:r>
          </w:p>
        </w:tc>
      </w:tr>
      <w:tr>
        <w:tc>
          <w:tcPr>
            <w:tcW w:type="dxa" w:w="2325"/>
            <w:tcMar>
              <w:top w:type="dxa" w:w="70"/>
              <w:left w:type="dxa" w:w="100"/>
              <w:bottom w:type="dxa" w:w="70"/>
              <w:right w:type="dxa" w:w="100"/>
            </w:tcMar>
          </w:tcPr>
          <w:p>
            <w:pPr>
              <w:spacing w:after="0"/>
            </w:pPr>
            <w:r>
              <w:rPr>
                <w:rFonts w:ascii="Noe Text" w:cs="Noe Text" w:eastAsia="Noe Text" w:hAnsi="Noe Text"/>
                <w:color w:val="333333"/>
                <w:sz w:val="18"/>
                <w:szCs w:val="18"/>
              </w:rPr>
              <w:t xml:space="preserve">A.15</w:t>
            </w:r>
          </w:p>
        </w:tc>
        <w:tc>
          <w:tcPr>
            <w:tcW w:type="dxa" w:w="2325"/>
            <w:tcMar>
              <w:top w:type="dxa" w:w="70"/>
              <w:left w:type="dxa" w:w="100"/>
              <w:bottom w:type="dxa" w:w="70"/>
              <w:right w:type="dxa" w:w="100"/>
            </w:tcMar>
          </w:tcPr>
          <w:p>
            <w:pPr>
              <w:spacing w:after="0"/>
            </w:pPr>
            <w:r>
              <w:rPr>
                <w:rFonts w:ascii="Noe Text" w:cs="Noe Text" w:eastAsia="Noe Text" w:hAnsi="Noe Text"/>
                <w:color w:val="333333"/>
                <w:sz w:val="18"/>
                <w:szCs w:val="18"/>
              </w:rPr>
              <w:t xml:space="preserve">Subnet address ranges and IPAM allocation not yet validated</w:t>
            </w:r>
          </w:p>
        </w:tc>
        <w:tc>
          <w:tcPr>
            <w:tcW w:type="dxa" w:w="2325"/>
            <w:tcMar>
              <w:top w:type="dxa" w:w="70"/>
              <w:left w:type="dxa" w:w="100"/>
              <w:bottom w:type="dxa" w:w="70"/>
              <w:right w:type="dxa" w:w="100"/>
            </w:tcMar>
          </w:tcPr>
          <w:p>
            <w:pPr>
              <w:spacing w:after="0"/>
            </w:pPr>
            <w:r>
              <w:rPr>
                <w:rFonts w:ascii="Noe Text" w:cs="Noe Text" w:eastAsia="Noe Text" w:hAnsi="Noe Text"/>
                <w:color w:val="333333"/>
                <w:sz w:val="18"/>
                <w:szCs w:val="18"/>
              </w:rPr>
              <w:t xml:space="preserve">Subnet sizing (/26) and scale-unit headroom may not fit the landing zone</w:t>
            </w:r>
          </w:p>
        </w:tc>
        <w:tc>
          <w:tcPr>
            <w:tcW w:type="dxa" w:w="2325"/>
            <w:tcMar>
              <w:top w:type="dxa" w:w="70"/>
              <w:left w:type="dxa" w:w="100"/>
              <w:bottom w:type="dxa" w:w="70"/>
              <w:right w:type="dxa" w:w="100"/>
            </w:tcMar>
          </w:tcPr>
          <w:p>
            <w:pPr>
              <w:spacing w:after="0"/>
            </w:pPr>
            <w:r>
              <w:rPr>
                <w:rFonts w:ascii="Noe Text" w:cs="Noe Text" w:eastAsia="Noe Text" w:hAnsi="Noe Text"/>
                <w:color w:val="333333"/>
                <w:sz w:val="18"/>
                <w:szCs w:val="18"/>
              </w:rPr>
              <w:t xml:space="preserve">Chaucer Network</w:t>
            </w:r>
          </w:p>
        </w:tc>
      </w:tr>
      <w:tr>
        <w:tc>
          <w:tcPr>
            <w:tcW w:type="dxa" w:w="2325"/>
            <w:tcMar>
              <w:top w:type="dxa" w:w="70"/>
              <w:left w:type="dxa" w:w="100"/>
              <w:bottom w:type="dxa" w:w="70"/>
              <w:right w:type="dxa" w:w="100"/>
            </w:tcMar>
          </w:tcPr>
          <w:p>
            <w:pPr>
              <w:spacing w:after="0"/>
            </w:pPr>
            <w:r>
              <w:rPr>
                <w:rFonts w:ascii="Noe Text" w:cs="Noe Text" w:eastAsia="Noe Text" w:hAnsi="Noe Text"/>
                <w:color w:val="333333"/>
                <w:sz w:val="18"/>
                <w:szCs w:val="18"/>
              </w:rPr>
              <w:t xml:space="preserve">A.16</w:t>
            </w:r>
          </w:p>
        </w:tc>
        <w:tc>
          <w:tcPr>
            <w:tcW w:type="dxa" w:w="2325"/>
            <w:tcMar>
              <w:top w:type="dxa" w:w="70"/>
              <w:left w:type="dxa" w:w="100"/>
              <w:bottom w:type="dxa" w:w="70"/>
              <w:right w:type="dxa" w:w="100"/>
            </w:tcMar>
          </w:tcPr>
          <w:p>
            <w:pPr>
              <w:spacing w:after="0"/>
            </w:pPr>
            <w:r>
              <w:rPr>
                <w:rFonts w:ascii="Noe Text" w:cs="Noe Text" w:eastAsia="Noe Text" w:hAnsi="Noe Text"/>
                <w:color w:val="333333"/>
                <w:sz w:val="18"/>
                <w:szCs w:val="18"/>
              </w:rPr>
              <w:t xml:space="preserve">Ownership and SLA for approving non-OAuth exceptions not yet assigned</w:t>
            </w:r>
          </w:p>
        </w:tc>
        <w:tc>
          <w:tcPr>
            <w:tcW w:type="dxa" w:w="2325"/>
            <w:tcMar>
              <w:top w:type="dxa" w:w="70"/>
              <w:left w:type="dxa" w:w="100"/>
              <w:bottom w:type="dxa" w:w="70"/>
              <w:right w:type="dxa" w:w="100"/>
            </w:tcMar>
          </w:tcPr>
          <w:p>
            <w:pPr>
              <w:spacing w:after="0"/>
            </w:pPr>
            <w:r>
              <w:rPr>
                <w:rFonts w:ascii="Noe Text" w:cs="Noe Text" w:eastAsia="Noe Text" w:hAnsi="Noe Text"/>
                <w:color w:val="333333"/>
                <w:sz w:val="18"/>
                <w:szCs w:val="18"/>
              </w:rPr>
              <w:t xml:space="preserve">Exceptions may persist without review; single-IdP posture weakened</w:t>
            </w:r>
          </w:p>
        </w:tc>
        <w:tc>
          <w:tcPr>
            <w:tcW w:type="dxa" w:w="2325"/>
            <w:tcMar>
              <w:top w:type="dxa" w:w="70"/>
              <w:left w:type="dxa" w:w="100"/>
              <w:bottom w:type="dxa" w:w="70"/>
              <w:right w:type="dxa" w:w="100"/>
            </w:tcMar>
          </w:tcPr>
          <w:p>
            <w:pPr>
              <w:spacing w:after="0"/>
            </w:pPr>
            <w:r>
              <w:rPr>
                <w:rFonts w:ascii="Noe Text" w:cs="Noe Text" w:eastAsia="Noe Text" w:hAnsi="Noe Text"/>
                <w:color w:val="333333"/>
                <w:sz w:val="18"/>
                <w:szCs w:val="18"/>
              </w:rPr>
              <w:t xml:space="preserve">Chaucer Security + API Platform</w:t>
            </w:r>
          </w:p>
        </w:tc>
      </w:tr>
    </w:tbl>
    <w:p>
      <w:pPr>
        <w:spacing w:after="140"/>
      </w:pPr>
      <w:r>
        <w:rPr>
          <w:rFonts w:ascii="Noe Text" w:cs="Noe Text" w:eastAsia="Noe Text" w:hAnsi="Noe Text"/>
          <w:b w:val="false"/>
          <w:bCs w:val="false"/>
          <w:i w:val="false"/>
          <w:iCs w:val="false"/>
          <w:color w:val="333333"/>
          <w:sz w:val="2"/>
          <w:szCs w:val="2"/>
        </w:rPr>
        <w:t xml:space="preserve"/>
      </w:r>
    </w:p>
    <w:p>
      <w:pPr>
        <w:pStyle w:val="Heading2"/>
        <w:spacing w:after="100" w:before="200"/>
      </w:pPr>
      <w:r>
        <w:rPr>
          <w:rFonts w:ascii="Noe Text Regular" w:cs="Noe Text Regular" w:eastAsia="Noe Text Regular" w:hAnsi="Noe Text Regular"/>
        </w:rPr>
        <w:t xml:space="preserve">8.2 Risks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60"/>
        <w:gridCol w:w="1860"/>
        <w:gridCol w:w="1860"/>
        <w:gridCol w:w="1860"/>
        <w:gridCol w:w="1860"/>
      </w:tblGrid>
      <w:tr>
        <w:trPr>
          <w:tblHeader/>
        </w:trPr>
        <w:tc>
          <w:tcPr>
            <w:tcW w:type="dxa" w:w="186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Ref</w:t>
            </w:r>
          </w:p>
        </w:tc>
        <w:tc>
          <w:tcPr>
            <w:tcW w:type="dxa" w:w="186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Risk</w:t>
            </w:r>
          </w:p>
        </w:tc>
        <w:tc>
          <w:tcPr>
            <w:tcW w:type="dxa" w:w="186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Likelihood</w:t>
            </w:r>
          </w:p>
        </w:tc>
        <w:tc>
          <w:tcPr>
            <w:tcW w:type="dxa" w:w="186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Impact</w:t>
            </w:r>
          </w:p>
        </w:tc>
        <w:tc>
          <w:tcPr>
            <w:tcW w:type="dxa" w:w="186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Mitigation</w:t>
            </w:r>
          </w:p>
        </w:tc>
      </w:tr>
      <w:tr>
        <w:trPr>
          <w:tblHeader w:val="false"/>
        </w:trPr>
        <w:tc>
          <w:tcPr>
            <w:tcW w:type="dxa" w:w="186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R.01</w:t>
            </w:r>
          </w:p>
        </w:tc>
        <w:tc>
          <w:tcPr>
            <w:tcW w:type="dxa" w:w="186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Active-active multi-region materially increases run cost</w:t>
            </w:r>
          </w:p>
        </w:tc>
        <w:tc>
          <w:tcPr>
            <w:tcW w:type="dxa" w:w="186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Low</w:t>
            </w:r>
          </w:p>
        </w:tc>
        <w:tc>
          <w:tcPr>
            <w:tcW w:type="dxa" w:w="186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Medium</w:t>
            </w:r>
          </w:p>
        </w:tc>
        <w:tc>
          <w:tcPr>
            <w:tcW w:type="dxa" w:w="186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Confirm budget tolerance vs RTO before committing (A.08)</w:t>
            </w:r>
          </w:p>
        </w:tc>
      </w:tr>
      <w:tr>
        <w:trPr>
          <w:tblHeader w:val="false"/>
        </w:trPr>
        <w:tc>
          <w:tcPr>
            <w:tcW w:type="dxa" w:w="186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R.02</w:t>
            </w:r>
          </w:p>
        </w:tc>
        <w:tc>
          <w:tcPr>
            <w:tcW w:type="dxa" w:w="186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Workspaces and multi-region require classic Premium; a lower tier chosen for cost would block them</w:t>
            </w:r>
          </w:p>
        </w:tc>
        <w:tc>
          <w:tcPr>
            <w:tcW w:type="dxa" w:w="186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Low</w:t>
            </w:r>
          </w:p>
        </w:tc>
        <w:tc>
          <w:tcPr>
            <w:tcW w:type="dxa" w:w="186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Medium</w:t>
            </w:r>
          </w:p>
        </w:tc>
        <w:tc>
          <w:tcPr>
            <w:tcW w:type="dxa" w:w="186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Confirm tier before build (section 6.12)</w:t>
            </w:r>
          </w:p>
        </w:tc>
      </w:tr>
      <w:tr>
        <w:trPr>
          <w:tblHeader w:val="false"/>
        </w:trPr>
        <w:tc>
          <w:tcPr>
            <w:tcW w:type="dxa" w:w="186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R.03</w:t>
            </w:r>
          </w:p>
        </w:tc>
        <w:tc>
          <w:tcPr>
            <w:tcW w:type="dxa" w:w="186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Palo Alto control-plane bypass mis-configured, breaking APIM connectivity</w:t>
            </w:r>
          </w:p>
        </w:tc>
        <w:tc>
          <w:tcPr>
            <w:tcW w:type="dxa" w:w="186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Medium</w:t>
            </w:r>
          </w:p>
        </w:tc>
        <w:tc>
          <w:tcPr>
            <w:tcW w:type="dxa" w:w="186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High</w:t>
            </w:r>
          </w:p>
        </w:tc>
        <w:tc>
          <w:tcPr>
            <w:tcW w:type="dxa" w:w="186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Follow the mandatory bypass route and gate in section 6.4</w:t>
            </w:r>
          </w:p>
        </w:tc>
      </w:tr>
      <w:tr>
        <w:trPr>
          <w:tblHeader w:val="false"/>
        </w:trPr>
        <w:tc>
          <w:tcPr>
            <w:tcW w:type="dxa" w:w="186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R.04</w:t>
            </w:r>
          </w:p>
        </w:tc>
        <w:tc>
          <w:tcPr>
            <w:tcW w:type="dxa" w:w="186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Backend network topology differs from assumed, requiring rework</w:t>
            </w:r>
          </w:p>
        </w:tc>
        <w:tc>
          <w:tcPr>
            <w:tcW w:type="dxa" w:w="186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Medium</w:t>
            </w:r>
          </w:p>
        </w:tc>
        <w:tc>
          <w:tcPr>
            <w:tcW w:type="dxa" w:w="186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High</w:t>
            </w:r>
          </w:p>
        </w:tc>
        <w:tc>
          <w:tcPr>
            <w:tcW w:type="dxa" w:w="186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Validate landing zone early (A.02, A.03)</w:t>
            </w:r>
          </w:p>
        </w:tc>
      </w:tr>
    </w:tbl>
    <w:p>
      <w:pPr>
        <w:pStyle w:val="Heading2"/>
        <w:spacing w:after="100" w:before="200"/>
      </w:pPr>
      <w:r>
        <w:rPr>
          <w:rFonts w:ascii="Noe Text Regular" w:cs="Noe Text Regular" w:eastAsia="Noe Text Regular" w:hAnsi="Noe Text Regular"/>
        </w:rPr>
        <w:t xml:space="preserve">8.3 Issues</w:t>
      </w:r>
    </w:p>
    <w:p>
      <w:pPr>
        <w:spacing w:after="140"/>
      </w:pPr>
      <w:r>
        <w:rPr>
          <w:rFonts w:ascii="Noe Text" w:cs="Noe Text" w:eastAsia="Noe Text" w:hAnsi="Noe Text"/>
          <w:b w:val="false"/>
          <w:bCs w:val="false"/>
          <w:i w:val="false"/>
          <w:iCs w:val="false"/>
          <w:color w:val="333333"/>
          <w:sz w:val="21"/>
          <w:szCs w:val="21"/>
        </w:rPr>
        <w:t xml:space="preserve">No live issues are recorded at draft stage. Issues raised during TDA review or build will be logged here.</w:t>
      </w:r>
    </w:p>
    <w:p>
      <w:pPr>
        <w:pStyle w:val="Heading2"/>
        <w:spacing w:after="100" w:before="200"/>
      </w:pPr>
      <w:r>
        <w:rPr>
          <w:rFonts w:ascii="Noe Text Regular" w:cs="Noe Text Regular" w:eastAsia="Noe Text Regular" w:hAnsi="Noe Text Regular"/>
        </w:rPr>
        <w:t xml:space="preserve">8.4 Dependencies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Ref</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Dependency</w:t>
            </w:r>
          </w:p>
        </w:tc>
        <w:tc>
          <w:tcPr>
            <w:tcW w:type="dxa" w:w="3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Owner</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D.01</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Entra ID app registrations provisioned before build</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 Identity</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D.02</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Key Vault and access policy available in the target subscription</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 Platform</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D.03</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Landing-zone VNet, subnets and Palo Alto access for the firewall path</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 Network</w:t>
            </w:r>
          </w:p>
        </w:tc>
      </w:tr>
      <w:tr>
        <w:trPr>
          <w:tblHeader w:val="false"/>
        </w:trP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D.04</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Confirmed RTO/RPO, retention and alert thresholds</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Chaucer Operations</w:t>
            </w:r>
          </w:p>
        </w:tc>
      </w:tr>
    </w:tbl>
    <w:p>
      <w:pPr>
        <w:pStyle w:val="Heading1"/>
        <w:pageBreakBefore/>
        <w:spacing w:after="160"/>
      </w:pPr>
      <w:r>
        <w:rPr>
          <w:rFonts w:ascii="Noe Text Regular" w:cs="Noe Text Regular" w:eastAsia="Noe Text Regular" w:hAnsi="Noe Text Regular"/>
        </w:rPr>
        <w:t xml:space="preserve">9. Appendices</w:t>
      </w:r>
    </w:p>
    <w:p>
      <w:pPr>
        <w:pStyle w:val="Heading2"/>
        <w:spacing w:after="100" w:before="200"/>
      </w:pPr>
      <w:r>
        <w:rPr>
          <w:rFonts w:ascii="Noe Text Regular" w:cs="Noe Text Regular" w:eastAsia="Noe Text Regular" w:hAnsi="Noe Text Regular"/>
        </w:rPr>
        <w:t xml:space="preserve">9.1 Microsoft Reference Architectures</w:t>
      </w:r>
    </w:p>
    <w:p>
      <w:pPr>
        <w:spacing w:after="140"/>
      </w:pPr>
      <w:r>
        <w:rPr>
          <w:rFonts w:ascii="Noe Text" w:cs="Noe Text" w:eastAsia="Noe Text" w:hAnsi="Noe Text"/>
          <w:b w:val="false"/>
          <w:bCs w:val="false"/>
          <w:i/>
          <w:iCs/>
          <w:color w:val="555555"/>
          <w:sz w:val="21"/>
          <w:szCs w:val="21"/>
        </w:rPr>
        <w:t xml:space="preserve">Diagrams in this document are Chaucer-adapted renderings of the pattern each article describes, not reproductions of Microsoft's own diagrams. Refer to the linked articles for Microsoft's original diagrams and downloadable Visio files.</w:t>
      </w:r>
    </w:p>
    <w:p>
      <w:pPr>
        <w:pStyle w:val="ListParagraph"/>
        <w:numPr>
          <w:ilvl w:val="0"/>
          <w:numId w:val="2"/>
        </w:numPr>
        <w:spacing w:after="70"/>
      </w:pPr>
      <w:r>
        <w:rPr>
          <w:rFonts w:ascii="Noe Text" w:cs="Noe Text" w:eastAsia="Noe Text" w:hAnsi="Noe Text"/>
          <w:color w:val="333333"/>
          <w:sz w:val="21"/>
          <w:szCs w:val="21"/>
        </w:rPr>
        <w:t xml:space="preserve">Basic enterprise integration on Azure: learn.microsoft.com/azure/architecture/reference-architectures/enterprise-integration/basic-enterprise-integration</w:t>
      </w:r>
    </w:p>
    <w:p>
      <w:pPr>
        <w:pStyle w:val="ListParagraph"/>
        <w:numPr>
          <w:ilvl w:val="0"/>
          <w:numId w:val="2"/>
        </w:numPr>
        <w:spacing w:after="70"/>
      </w:pPr>
      <w:r>
        <w:rPr>
          <w:rFonts w:ascii="Noe Text" w:cs="Noe Text" w:eastAsia="Noe Text" w:hAnsi="Noe Text"/>
          <w:color w:val="333333"/>
          <w:sz w:val="21"/>
          <w:szCs w:val="21"/>
        </w:rPr>
        <w:t xml:space="preserve">Protect APIs with Application Gateway and API Management: learn.microsoft.com/azure/architecture/web-apps/api-management/architectures/protect-apis</w:t>
      </w:r>
    </w:p>
    <w:p>
      <w:pPr>
        <w:pStyle w:val="ListParagraph"/>
        <w:numPr>
          <w:ilvl w:val="0"/>
          <w:numId w:val="2"/>
        </w:numPr>
        <w:spacing w:after="70"/>
      </w:pPr>
      <w:r>
        <w:rPr>
          <w:rFonts w:ascii="Noe Text" w:cs="Noe Text" w:eastAsia="Noe Text" w:hAnsi="Noe Text"/>
          <w:color w:val="333333"/>
          <w:sz w:val="21"/>
          <w:szCs w:val="21"/>
        </w:rPr>
        <w:t xml:space="preserve">Azure API Management landing zone accelerator: learn.microsoft.com/azure/cloud-adoption-framework/scenarios/app-platform/api-management/landing-zone-accelerator</w:t>
      </w:r>
    </w:p>
    <w:p>
      <w:pPr>
        <w:pStyle w:val="Heading2"/>
        <w:spacing w:after="100" w:before="200"/>
      </w:pPr>
      <w:r>
        <w:rPr>
          <w:rFonts w:ascii="Noe Text Regular" w:cs="Noe Text Regular" w:eastAsia="Noe Text Regular" w:hAnsi="Noe Text Regular"/>
        </w:rPr>
        <w:t xml:space="preserve">9.2 Companion Documents</w:t>
      </w:r>
    </w:p>
    <w:p>
      <w:pPr>
        <w:pStyle w:val="ListParagraph"/>
        <w:numPr>
          <w:ilvl w:val="0"/>
          <w:numId w:val="2"/>
        </w:numPr>
        <w:spacing w:after="70"/>
      </w:pPr>
      <w:r>
        <w:rPr>
          <w:rFonts w:ascii="Noe Text" w:cs="Noe Text" w:eastAsia="Noe Text" w:hAnsi="Noe Text"/>
          <w:color w:val="333333"/>
          <w:sz w:val="21"/>
          <w:szCs w:val="21"/>
        </w:rPr>
        <w:t xml:space="preserve">Validation and Architecture Decisions (ADR register and approval gates)</w:t>
      </w:r>
    </w:p>
    <w:p>
      <w:pPr>
        <w:pStyle w:val="ListParagraph"/>
        <w:numPr>
          <w:ilvl w:val="0"/>
          <w:numId w:val="2"/>
        </w:numPr>
        <w:spacing w:after="70"/>
      </w:pPr>
      <w:r>
        <w:rPr>
          <w:rFonts w:ascii="Noe Text" w:cs="Noe Text" w:eastAsia="Noe Text" w:hAnsi="Noe Text"/>
          <w:color w:val="333333"/>
          <w:sz w:val="21"/>
          <w:szCs w:val="21"/>
        </w:rPr>
        <w:t xml:space="preserve">Setup Handoff and Operating Model (team responsibilities)</w:t>
      </w:r>
    </w:p>
    <w:p>
      <w:pPr>
        <w:pStyle w:val="ListParagraph"/>
        <w:numPr>
          <w:ilvl w:val="0"/>
          <w:numId w:val="2"/>
        </w:numPr>
        <w:spacing w:after="70"/>
      </w:pPr>
      <w:r>
        <w:rPr>
          <w:rFonts w:ascii="Noe Text" w:cs="Noe Text" w:eastAsia="Noe Text" w:hAnsi="Noe Text"/>
          <w:color w:val="333333"/>
          <w:sz w:val="21"/>
          <w:szCs w:val="21"/>
        </w:rPr>
        <w:t xml:space="preserve">Build Runbook, Scratch to Live (step-by-step task list)</w:t>
      </w:r>
    </w:p>
    <w:p>
      <w:pPr>
        <w:pStyle w:val="Heading2"/>
      </w:pPr>
      <w:r>
        <w:rPr>
          <w:rFonts w:ascii="Noe Text Regular" w:hAnsi="Noe Text Regular"/>
        </w:rPr>
        <w:t>9.3 Alignment with the Azure Well-Architected Framework</w:t>
      </w:r>
    </w:p>
    <w:p>
      <w:pPr>
        <w:spacing w:after="160"/>
      </w:pPr>
      <w:r>
        <w:rPr>
          <w:rFonts w:ascii="Noe Text" w:hAnsi="Noe Text"/>
          <w:color w:val="333333"/>
          <w:sz w:val="21"/>
        </w:rPr>
        <w:t>This design has been benchmarked against Microsoft's Well-Architected Framework (WAF) guidance for API Management, which sets out best practice across five pillars. The table below summarises each pillar, the key practices Microsoft recommends, and where this HLD addresses them. The alignment is high because the design was built to these patterns; the few items marked as configuration are settings to apply at build time rather than design gaps.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0"/>
        <w:gridCol w:w="3360"/>
        <w:gridCol w:w="3360"/>
      </w:tblGrid>
      <w:tr>
        <w:tc>
          <w:tcPr>
            <w:tcW w:type="dxa" w:w="1700"/>
            <w:shd w:val="clear" w:fill="1E2761"/>
          </w:tcPr>
          <w:p>
            <w:r/>
            <w:r>
              <w:rPr>
                <w:rFonts w:ascii="Noe Text" w:hAnsi="Noe Text"/>
                <w:b/>
                <w:color w:val="FFFFFF"/>
                <w:sz w:val="18"/>
              </w:rPr>
              <w:t>WAF pillar</w:t>
            </w:r>
          </w:p>
        </w:tc>
        <w:tc>
          <w:tcPr>
            <w:tcW w:type="dxa" w:w="3900"/>
            <w:shd w:val="clear" w:fill="1E2761"/>
          </w:tcPr>
          <w:p>
            <w:r/>
            <w:r>
              <w:rPr>
                <w:rFonts w:ascii="Noe Text" w:hAnsi="Noe Text"/>
                <w:b/>
                <w:color w:val="FFFFFF"/>
                <w:sz w:val="18"/>
              </w:rPr>
              <w:t>Key Microsoft recommendations</w:t>
            </w:r>
          </w:p>
        </w:tc>
        <w:tc>
          <w:tcPr>
            <w:tcW w:type="dxa" w:w="3700"/>
            <w:shd w:val="clear" w:fill="1E2761"/>
          </w:tcPr>
          <w:p>
            <w:r/>
            <w:r>
              <w:rPr>
                <w:rFonts w:ascii="Noe Text" w:hAnsi="Noe Text"/>
                <w:b/>
                <w:color w:val="FFFFFF"/>
                <w:sz w:val="18"/>
              </w:rPr>
              <w:t>How this design addresses it</w:t>
            </w:r>
          </w:p>
        </w:tc>
      </w:tr>
      <w:tr>
        <w:tc>
          <w:tcPr>
            <w:tcW w:type="dxa" w:w="1700"/>
          </w:tcPr>
          <w:p>
            <w:r/>
            <w:r>
              <w:rPr>
                <w:rFonts w:ascii="Noe Text" w:hAnsi="Noe Text"/>
                <w:color w:val="333333"/>
                <w:sz w:val="18"/>
              </w:rPr>
              <w:t>Reliability</w:t>
            </w:r>
          </w:p>
        </w:tc>
        <w:tc>
          <w:tcPr>
            <w:tcW w:type="dxa" w:w="3900"/>
          </w:tcPr>
          <w:p>
            <w:r/>
            <w:r>
              <w:rPr>
                <w:rFonts w:ascii="Noe Text" w:hAnsi="Noe Text"/>
                <w:color w:val="333333"/>
                <w:sz w:val="18"/>
              </w:rPr>
              <w:t>Zone redundancy; auto-scale; multi-region topology; isolate APIs with workspaces; test policies; collect reliability metrics; use backup and restore.</w:t>
            </w:r>
          </w:p>
        </w:tc>
        <w:tc>
          <w:tcPr>
            <w:tcW w:type="dxa" w:w="3700"/>
          </w:tcPr>
          <w:p>
            <w:r/>
            <w:r>
              <w:rPr>
                <w:rFonts w:ascii="Noe Text" w:hAnsi="Noe Text"/>
                <w:color w:val="333333"/>
                <w:sz w:val="18"/>
              </w:rPr>
              <w:t>Classic Premium across Availability Zones (6.11); active-active UK South / UK West behind Front Door; workspaces per domain (6.7); APIOps config-as-code gives rebuild-from-Git (6.3).</w:t>
            </w:r>
          </w:p>
        </w:tc>
      </w:tr>
      <w:tr>
        <w:tc>
          <w:tcPr>
            <w:tcW w:type="dxa" w:w="1700"/>
          </w:tcPr>
          <w:p>
            <w:r/>
            <w:r>
              <w:rPr>
                <w:rFonts w:ascii="Noe Text" w:hAnsi="Noe Text"/>
                <w:color w:val="333333"/>
                <w:sz w:val="18"/>
              </w:rPr>
              <w:t>Security</w:t>
            </w:r>
          </w:p>
        </w:tc>
        <w:tc>
          <w:tcPr>
            <w:tcW w:type="dxa" w:w="3900"/>
          </w:tcPr>
          <w:p>
            <w:r/>
            <w:r>
              <w:rPr>
                <w:rFonts w:ascii="Noe Text" w:hAnsi="Noe Text"/>
                <w:color w:val="333333"/>
                <w:sz w:val="18"/>
              </w:rPr>
              <w:t>ARM control plane only; narrow TLS; certificates and secrets in Key Vault; backends accept traffic only from the gateway; OAuth 2.0; managed identity; WAF in front of internet-facing APIs; private connectivity; no tracing in production.</w:t>
            </w:r>
          </w:p>
        </w:tc>
        <w:tc>
          <w:tcPr>
            <w:tcW w:type="dxa" w:w="3700"/>
          </w:tcPr>
          <w:p>
            <w:r/>
            <w:r>
              <w:rPr>
                <w:rFonts w:ascii="Noe Text" w:hAnsi="Noe Text"/>
                <w:color w:val="333333"/>
                <w:sz w:val="18"/>
              </w:rPr>
              <w:t>Entra ID and OAuth 2.0 with JWT validation (6.6); TLS 1.2 minimum; Key Vault-backed named values; backends private behind APIM; Front Door / App Gateway WAF; managed identity to backends; verbose tracing restricted to Dev (6.10).</w:t>
            </w:r>
          </w:p>
        </w:tc>
      </w:tr>
      <w:tr>
        <w:tc>
          <w:tcPr>
            <w:tcW w:type="dxa" w:w="1700"/>
          </w:tcPr>
          <w:p>
            <w:r/>
            <w:r>
              <w:rPr>
                <w:rFonts w:ascii="Noe Text" w:hAnsi="Noe Text"/>
                <w:color w:val="333333"/>
                <w:sz w:val="18"/>
              </w:rPr>
              <w:t>Cost Optimization</w:t>
            </w:r>
          </w:p>
        </w:tc>
        <w:tc>
          <w:tcPr>
            <w:tcW w:type="dxa" w:w="3900"/>
          </w:tcPr>
          <w:p>
            <w:r/>
            <w:r>
              <w:rPr>
                <w:rFonts w:ascii="Noe Text" w:hAnsi="Noe Text"/>
                <w:color w:val="333333"/>
                <w:sz w:val="18"/>
              </w:rPr>
              <w:t>Least-expensive tier that meets need; non-production on lower tiers; scale in on low demand; evaluate workspace cost model; use built-in cache; block malicious traffic before the gateway; optimise policy compute.</w:t>
            </w:r>
          </w:p>
        </w:tc>
        <w:tc>
          <w:tcPr>
            <w:tcW w:type="dxa" w:w="3700"/>
          </w:tcPr>
          <w:p>
            <w:r/>
            <w:r>
              <w:rPr>
                <w:rFonts w:ascii="Noe Text" w:hAnsi="Noe Text"/>
                <w:color w:val="333333"/>
                <w:sz w:val="18"/>
              </w:rPr>
              <w:t>Developer tier for Dev, Standard v2 for UAT, Premium for Prod (6.3, 6.12); scale units only when metrics require; DDoS and WAF at the edge; indicative cost model with cost-reduction guidance (6.12).</w:t>
            </w:r>
          </w:p>
        </w:tc>
      </w:tr>
      <w:tr>
        <w:tc>
          <w:tcPr>
            <w:tcW w:type="dxa" w:w="1700"/>
          </w:tcPr>
          <w:p>
            <w:r/>
            <w:r>
              <w:rPr>
                <w:rFonts w:ascii="Noe Text" w:hAnsi="Noe Text"/>
                <w:color w:val="333333"/>
                <w:sz w:val="18"/>
              </w:rPr>
              <w:t>Operational Excellence</w:t>
            </w:r>
          </w:p>
        </w:tc>
        <w:tc>
          <w:tcPr>
            <w:tcW w:type="dxa" w:w="3900"/>
          </w:tcPr>
          <w:p>
            <w:r/>
            <w:r>
              <w:rPr>
                <w:rFonts w:ascii="Noe Text" w:hAnsi="Noe Text"/>
                <w:color w:val="333333"/>
                <w:sz w:val="18"/>
              </w:rPr>
              <w:t>Diagnostic resource logs; APIOps / GitOps; govern with Azure Policy; define operational metrics and logs; load testing; consistent API onboarding process; standardise hostnames; define backends via the backends feature.</w:t>
            </w:r>
          </w:p>
        </w:tc>
        <w:tc>
          <w:tcPr>
            <w:tcW w:type="dxa" w:w="3700"/>
          </w:tcPr>
          <w:p>
            <w:r/>
            <w:r>
              <w:rPr>
                <w:rFonts w:ascii="Noe Text" w:hAnsi="Noe Text"/>
                <w:color w:val="333333"/>
                <w:sz w:val="18"/>
              </w:rPr>
              <w:t>Azure Monitor / Log Analytics / App Insights with correlation IDs (6.10); APIOps pipeline through Dev/UAT/Prod (6.3); repeatable API onboarding process (6.8); alert thresholds and audience dashboards (6.10).</w:t>
            </w:r>
          </w:p>
        </w:tc>
      </w:tr>
      <w:tr>
        <w:tc>
          <w:tcPr>
            <w:tcW w:type="dxa" w:w="1700"/>
          </w:tcPr>
          <w:p>
            <w:r/>
            <w:r>
              <w:rPr>
                <w:rFonts w:ascii="Noe Text" w:hAnsi="Noe Text"/>
                <w:color w:val="333333"/>
                <w:sz w:val="18"/>
              </w:rPr>
              <w:t>Performance Efficiency</w:t>
            </w:r>
          </w:p>
        </w:tc>
        <w:tc>
          <w:tcPr>
            <w:tcW w:type="dxa" w:w="3900"/>
          </w:tcPr>
          <w:p>
            <w:r/>
            <w:r>
              <w:rPr>
                <w:rFonts w:ascii="Noe Text" w:hAnsi="Noe Text"/>
                <w:color w:val="333333"/>
                <w:sz w:val="18"/>
              </w:rPr>
              <w:t>Dynamically scale to demand; minimise expensive policy processing; collect performance metrics; set an Application Insights sampling percentage; evaluate logic placement; review service limits.</w:t>
            </w:r>
          </w:p>
        </w:tc>
        <w:tc>
          <w:tcPr>
            <w:tcW w:type="dxa" w:w="3700"/>
          </w:tcPr>
          <w:p>
            <w:r/>
            <w:r>
              <w:rPr>
                <w:rFonts w:ascii="Noe Text" w:hAnsi="Noe Text"/>
                <w:color w:val="333333"/>
                <w:sz w:val="18"/>
              </w:rPr>
              <w:t>Auto-scale on capacity metrics (6.11); reusable, lean policy library (6.8); p95 latency and capacity alerting (6.10); App Insights sampling in production to control cost and overhead (6.10).</w:t>
            </w:r>
          </w:p>
        </w:tc>
      </w:tr>
    </w:tbl>
    <w:p>
      <w:pPr>
        <w:spacing w:after="160"/>
      </w:pPr>
      <w:r>
        <w:rPr>
          <w:rFonts w:ascii="Noe Text" w:hAnsi="Noe Text"/>
          <w:i/>
          <w:color w:val="333333"/>
          <w:sz w:val="19"/>
        </w:rPr>
        <w:t>Two items from the WAF guidance are worth carrying forward as explicit build-time actions rather than design assumptions: enabling Microsoft Defender for APIs for runtime threat detection, and applying the built-in Azure Policy regulatory-compliance controls for API Management. Both strengthen the security and governance posture and should be picked up during detailed design.</w:t>
      </w:r>
    </w:p>
    <w:p>
      <w:pPr>
        <w:spacing w:after="160"/>
      </w:pPr>
      <w:r>
        <w:rPr>
          <w:rFonts w:ascii="Noe Text" w:hAnsi="Noe Text"/>
          <w:i/>
          <w:color w:val="333333"/>
          <w:sz w:val="18"/>
        </w:rPr>
        <w:t>Source: Microsoft Azure Well-Architected Framework, Architecture best practices for Azure API Management. The full checklist and per-recommendation detail are maintained by Microsoft at learn.microsoft.com and are summarised, not reproduced, here.</w:t>
      </w:r>
    </w:p>
    <w:p>
      <w:pPr>
        <w:pStyle w:val="Heading2"/>
        <w:spacing w:after="100" w:before="200"/>
      </w:pPr>
      <w:r>
        <w:rPr>
          <w:rFonts w:ascii="Noe Text Regular" w:cs="Noe Text Regular" w:eastAsia="Noe Text Regular" w:hAnsi="Noe Text Regular"/>
        </w:rPr>
        <w:t xml:space="preserve">9.4 Glossary and Definitions</w:t>
      </w:r>
    </w:p>
    <w:p>
      <w:pPr>
        <w:spacing w:after="140"/>
      </w:pPr>
      <w:r>
        <w:rPr>
          <w:rFonts w:ascii="Noe Text" w:cs="Noe Text" w:eastAsia="Noe Text" w:hAnsi="Noe Text"/>
          <w:b w:val="false"/>
          <w:bCs w:val="false"/>
          <w:i w:val="false"/>
          <w:iCs w:val="false"/>
          <w:color w:val="333333"/>
          <w:sz w:val="21"/>
          <w:szCs w:val="21"/>
        </w:rPr>
        <w:t xml:space="preserve">The terms below are used throughout this document. This glossary was relocated here from the introduction so that section 3 stays focused on scope and audience, and so the definitions sit alongside the other reference material in the appendices.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Term</w:t>
            </w:r>
          </w:p>
        </w:tc>
        <w:tc>
          <w:tcPr>
            <w:tcW w:type="dxa" w:w="465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Meaning</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Azure API Management, the managed API gateway service</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WAF</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Web Application Firewall</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Entra ID</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Microsoft Entra ID, the identity provider (formerly Azure AD)</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UDR</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User-Defined Route, a custom route-table entry</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NVA</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Network Virtual Appliance, here the Palo Alto firewall</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APIOps</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Managing APIM configuration as code through a CI/CD pipeline</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RTO / RPO</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Recovery Time / Point Objective</w:t>
            </w:r>
          </w:p>
        </w:tc>
      </w:tr>
      <w:tr>
        <w:trPr>
          <w:tblHeader w:val="false"/>
        </w:trPr>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mTLS</w:t>
            </w:r>
          </w:p>
        </w:tc>
        <w:tc>
          <w:tcPr>
            <w:tcW w:type="dxa" w:w="46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Mutual TLS</w:t>
            </w:r>
          </w:p>
        </w:tc>
      </w:tr>
    </w:tbl>
    <w:p>
      <w:pPr>
        <w:pStyle w:val="Heading2"/>
        <w:spacing w:after="100" w:before="200"/>
      </w:pPr>
      <w:r>
        <w:rPr>
          <w:rFonts w:ascii="Noe Text Regular" w:cs="Noe Text Regular" w:eastAsia="Noe Text Regular" w:hAnsi="Noe Text Regular"/>
        </w:rPr>
        <w:t xml:space="preserve">9.5 Non-Functional Requirements</w:t>
      </w:r>
    </w:p>
    <w:p>
      <w:pPr>
        <w:spacing w:after="140"/>
      </w:pPr>
      <w:r>
        <w:rPr>
          <w:rFonts w:ascii="Noe Text" w:cs="Noe Text" w:eastAsia="Noe Text" w:hAnsi="Noe Text"/>
          <w:b w:val="false"/>
          <w:bCs w:val="false"/>
          <w:i w:val="false"/>
          <w:iCs w:val="false"/>
          <w:color w:val="333333"/>
          <w:sz w:val="21"/>
          <w:szCs w:val="21"/>
        </w:rPr>
        <w:t xml:space="preserve">These are the measurable targets the design is assured against (see 6.10 testing). Values marked to confirm depend on Chaucer inputs — chiefly expected and peak load — and are placeholders until provided.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00"/>
      </w:tblGrid>
      <w:tr>
        <w:trPr>
          <w:tblHeader/>
        </w:trPr>
        <w:tc>
          <w:tcPr>
            <w:tcW w:type="dxa" w:w="26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Non-functional requirement</w:t>
            </w:r>
          </w:p>
        </w:tc>
        <w:tc>
          <w:tcPr>
            <w:tcW w:type="dxa" w:w="38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Target</w:t>
            </w:r>
          </w:p>
        </w:tc>
        <w:tc>
          <w:tcPr>
            <w:tcW w:type="dxa" w:w="29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Notes</w:t>
            </w:r>
          </w:p>
        </w:tc>
      </w:tr>
      <w:tr>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Gateway-added latency</w:t>
            </w:r>
          </w:p>
        </w:tc>
        <w:tc>
          <w:tcPr>
            <w:tcW w:type="dxa" w:w="38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p95 &lt; 50 ms, p99 &lt; 100 ms added by APIM (excluding backend)</w:t>
            </w:r>
          </w:p>
        </w:tc>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Policy-dependent; validate under load</w:t>
            </w:r>
          </w:p>
        </w:tc>
      </w:tr>
      <w:tr>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End-to-end latency</w:t>
            </w:r>
          </w:p>
        </w:tc>
        <w:tc>
          <w:tcPr>
            <w:tcW w:type="dxa" w:w="38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p95 &lt; 500 ms</w:t>
            </w:r>
          </w:p>
        </w:tc>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Aligns with the existing p95 alert; backend-dependent</w:t>
            </w:r>
          </w:p>
        </w:tc>
      </w:tr>
      <w:tr>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Throughput</w:t>
            </w:r>
          </w:p>
        </w:tc>
        <w:tc>
          <w:tcPr>
            <w:tcW w:type="dxa" w:w="38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Sized to Chaucer peak RPS (to confirm); ~1,000 req/s per unit planning figure</w:t>
            </w:r>
          </w:p>
        </w:tc>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Scale on the capacity metric</w:t>
            </w:r>
          </w:p>
        </w:tc>
      </w:tr>
      <w:tr>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Concurrent connections</w:t>
            </w:r>
          </w:p>
        </w:tc>
        <w:tc>
          <w:tcPr>
            <w:tcW w:type="dxa" w:w="38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Meet peak concurrency within gateway limits</w:t>
            </w:r>
          </w:p>
        </w:tc>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Validate against documented APIM gateway limits</w:t>
            </w:r>
          </w:p>
        </w:tc>
      </w:tr>
      <w:tr>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Gateway availability</w:t>
            </w:r>
          </w:p>
        </w:tc>
        <w:tc>
          <w:tcPr>
            <w:tcW w:type="dxa" w:w="38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 99.95% (multi-region + zones support higher)</w:t>
            </w:r>
          </w:p>
        </w:tc>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SLA-backed</w:t>
            </w:r>
          </w:p>
        </w:tc>
      </w:tr>
      <w:tr>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RTO (regional failover)</w:t>
            </w:r>
          </w:p>
        </w:tc>
        <w:tc>
          <w:tcPr>
            <w:tcW w:type="dxa" w:w="38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&lt; 30 minutes</w:t>
            </w:r>
          </w:p>
        </w:tc>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Front Door automatic failover; proven by DR test</w:t>
            </w:r>
          </w:p>
        </w:tc>
      </w:tr>
      <w:tr>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RPO (configuration)</w:t>
            </w:r>
          </w:p>
        </w:tc>
        <w:tc>
          <w:tcPr>
            <w:tcW w:type="dxa" w:w="38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~0</w:t>
            </w:r>
          </w:p>
        </w:tc>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APIOps/Git is the source of truth</w:t>
            </w:r>
          </w:p>
        </w:tc>
      </w:tr>
      <w:tr>
        <w:tc>
          <w:tcPr>
            <w:tcW w:type="dxa" w:w="26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Error budget</w:t>
            </w:r>
          </w:p>
        </w:tc>
        <w:tc>
          <w:tcPr>
            <w:tcW w:type="dxa" w:w="38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&lt; 0.1% gateway-originated 5xx</w:t>
            </w:r>
          </w:p>
        </w:tc>
        <w:tc>
          <w:tcPr>
            <w:tcW w:type="dxa" w:w="29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Drives alerting threshold</w:t>
            </w:r>
          </w:p>
        </w:tc>
      </w:tr>
    </w:tbl>
    <w:p>
      <w:pPr>
        <w:pStyle w:val="Heading2"/>
        <w:spacing w:after="100" w:before="200"/>
      </w:pPr>
      <w:r>
        <w:rPr>
          <w:rFonts w:ascii="Noe Text Regular" w:cs="Noe Text Regular" w:eastAsia="Noe Text Regular" w:hAnsi="Noe Text Regular"/>
        </w:rPr>
        <w:t xml:space="preserve">9.6 Sample Policy Fragments, Naming and OpenAPI Skeleton</w:t>
      </w:r>
    </w:p>
    <w:p>
      <w:pPr>
        <w:spacing w:after="140"/>
      </w:pPr>
      <w:r>
        <w:rPr>
          <w:rFonts w:ascii="Noe Text" w:cs="Noe Text" w:eastAsia="Noe Text" w:hAnsi="Noe Text"/>
          <w:b w:val="false"/>
          <w:bCs w:val="false"/>
          <w:i w:val="false"/>
          <w:iCs w:val="false"/>
          <w:color w:val="333333"/>
          <w:sz w:val="21"/>
          <w:szCs w:val="21"/>
        </w:rPr>
        <w:t xml:space="preserve">Illustrative artefacts to make the standards concrete for build teams. These are examples to adapt, not final Chaucer policy.</w:t>
      </w:r>
    </w:p>
    <w:p>
      <w:pPr>
        <w:spacing w:after="140"/>
      </w:pPr>
      <w:r>
        <w:rPr>
          <w:rFonts w:ascii="Noe Text" w:cs="Noe Text" w:eastAsia="Noe Text" w:hAnsi="Noe Text"/>
          <w:b w:val="false"/>
          <w:bCs w:val="false"/>
          <w:i w:val="false"/>
          <w:iCs w:val="false"/>
          <w:color w:val="333333"/>
          <w:sz w:val="21"/>
          <w:szCs w:val="21"/>
        </w:rPr>
        <w:t xml:space="preserve">JWT validation (inbound), Entra ID:</w:t>
      </w:r>
    </w:p>
    <w:tbl>
      <w:tblPr>
        <w:tblW w:type="dxa" w:w="9300"/>
        <w:tblBorders>
          <w:top w:val="single" w:color="D9D9D9" w:sz="4"/>
          <w:left w:val="single" w:color="D9D9D9" w:sz="4"/>
          <w:bottom w:val="single" w:color="D9D9D9" w:sz="4"/>
          <w:right w:val="single" w:color="D9D9D9" w:sz="4"/>
        </w:tblBorders>
      </w:tblPr>
      <w:tblGrid>
        <w:gridCol w:w="9300"/>
      </w:tblGrid>
      <w:tr>
        <w:tc>
          <w:tcPr>
            <w:tcW w:type="dxa" w:w="9300"/>
            <w:shd w:fill="F5F5F5" w:val="clear"/>
            <w:tcMar>
              <w:top w:type="dxa" w:w="90"/>
              <w:left w:type="dxa" w:w="140"/>
              <w:bottom w:type="dxa" w:w="90"/>
              <w:right w:type="dxa" w:w="140"/>
            </w:tcMar>
          </w:tcPr>
          <w:p>
            <w:pPr>
              <w:spacing w:after="0" w:line="240" w:lineRule="auto"/>
            </w:pPr>
            <w:r>
              <w:rPr>
                <w:rFonts w:ascii="Consolas" w:cs="Consolas" w:eastAsia="Consolas" w:hAnsi="Consolas"/>
                <w:color w:val="1E2761"/>
                <w:sz w:val="16"/>
                <w:szCs w:val="16"/>
              </w:rPr>
              <w:t xml:space="preserve">&lt;validate-jwt header-name="Authorization" failed-validation-httpcode="401"</w:t>
            </w:r>
          </w:p>
          <w:p>
            <w:pPr>
              <w:spacing w:after="0" w:line="240" w:lineRule="auto"/>
            </w:pPr>
            <w:r>
              <w:rPr>
                <w:rFonts w:ascii="Consolas" w:cs="Consolas" w:eastAsia="Consolas" w:hAnsi="Consolas"/>
                <w:color w:val="1E2761"/>
                <w:sz w:val="16"/>
                <w:szCs w:val="16"/>
              </w:rPr>
              <w:t xml:space="preserve">             failed-validation-error-message="Unauthorized"&gt;</w:t>
            </w:r>
          </w:p>
          <w:p>
            <w:pPr>
              <w:spacing w:after="0" w:line="240" w:lineRule="auto"/>
            </w:pPr>
            <w:r>
              <w:rPr>
                <w:rFonts w:ascii="Consolas" w:cs="Consolas" w:eastAsia="Consolas" w:hAnsi="Consolas"/>
                <w:color w:val="1E2761"/>
                <w:sz w:val="16"/>
                <w:szCs w:val="16"/>
              </w:rPr>
              <w:t xml:space="preserve">  &lt;openid-config url="https://login.microsoftonline.com/{tenant}/v2.0/.well-known/openid-configuration" /&gt;</w:t>
            </w:r>
          </w:p>
          <w:p>
            <w:pPr>
              <w:spacing w:after="0" w:line="240" w:lineRule="auto"/>
            </w:pPr>
            <w:r>
              <w:rPr>
                <w:rFonts w:ascii="Consolas" w:cs="Consolas" w:eastAsia="Consolas" w:hAnsi="Consolas"/>
                <w:color w:val="1E2761"/>
                <w:sz w:val="16"/>
                <w:szCs w:val="16"/>
              </w:rPr>
              <w:t xml:space="preserve">  &lt;required-claims&gt;</w:t>
            </w:r>
          </w:p>
          <w:p>
            <w:pPr>
              <w:spacing w:after="0" w:line="240" w:lineRule="auto"/>
            </w:pPr>
            <w:r>
              <w:rPr>
                <w:rFonts w:ascii="Consolas" w:cs="Consolas" w:eastAsia="Consolas" w:hAnsi="Consolas"/>
                <w:color w:val="1E2761"/>
                <w:sz w:val="16"/>
                <w:szCs w:val="16"/>
              </w:rPr>
              <w:t xml:space="preserve">    &lt;claim name="aud"&gt;&lt;value&gt;api://chaucer-apim&lt;/value&gt;&lt;/claim&gt;</w:t>
            </w:r>
          </w:p>
          <w:p>
            <w:pPr>
              <w:spacing w:after="0" w:line="240" w:lineRule="auto"/>
            </w:pPr>
            <w:r>
              <w:rPr>
                <w:rFonts w:ascii="Consolas" w:cs="Consolas" w:eastAsia="Consolas" w:hAnsi="Consolas"/>
                <w:color w:val="1E2761"/>
                <w:sz w:val="16"/>
                <w:szCs w:val="16"/>
              </w:rPr>
              <w:t xml:space="preserve">  &lt;/required-claims&gt;</w:t>
            </w:r>
          </w:p>
          <w:p>
            <w:pPr>
              <w:spacing w:after="0" w:line="240" w:lineRule="auto"/>
            </w:pPr>
            <w:r>
              <w:rPr>
                <w:rFonts w:ascii="Consolas" w:cs="Consolas" w:eastAsia="Consolas" w:hAnsi="Consolas"/>
                <w:color w:val="1E2761"/>
                <w:sz w:val="16"/>
                <w:szCs w:val="16"/>
              </w:rPr>
              <w:t xml:space="preserve">&lt;/validate-jwt&gt;</w:t>
            </w:r>
          </w:p>
        </w:tc>
      </w:tr>
    </w:tbl>
    <w:p>
      <w:pPr>
        <w:spacing w:after="140"/>
      </w:pPr>
      <w:r>
        <w:rPr>
          <w:rFonts w:ascii="Noe Text" w:cs="Noe Text" w:eastAsia="Noe Text" w:hAnsi="Noe Text"/>
          <w:b w:val="false"/>
          <w:bCs w:val="false"/>
          <w:i w:val="false"/>
          <w:iCs w:val="false"/>
          <w:color w:val="333333"/>
          <w:sz w:val="21"/>
          <w:szCs w:val="21"/>
        </w:rPr>
        <w:t xml:space="preserve">Rate limiting and quota, per subscription:</w:t>
      </w:r>
    </w:p>
    <w:tbl>
      <w:tblPr>
        <w:tblW w:type="dxa" w:w="9300"/>
        <w:tblBorders>
          <w:top w:val="single" w:color="D9D9D9" w:sz="4"/>
          <w:left w:val="single" w:color="D9D9D9" w:sz="4"/>
          <w:bottom w:val="single" w:color="D9D9D9" w:sz="4"/>
          <w:right w:val="single" w:color="D9D9D9" w:sz="4"/>
        </w:tblBorders>
      </w:tblPr>
      <w:tblGrid>
        <w:gridCol w:w="9300"/>
      </w:tblGrid>
      <w:tr>
        <w:tc>
          <w:tcPr>
            <w:tcW w:type="dxa" w:w="9300"/>
            <w:shd w:fill="F5F5F5" w:val="clear"/>
            <w:tcMar>
              <w:top w:type="dxa" w:w="90"/>
              <w:left w:type="dxa" w:w="140"/>
              <w:bottom w:type="dxa" w:w="90"/>
              <w:right w:type="dxa" w:w="140"/>
            </w:tcMar>
          </w:tcPr>
          <w:p>
            <w:pPr>
              <w:spacing w:after="0" w:line="240" w:lineRule="auto"/>
            </w:pPr>
            <w:r>
              <w:rPr>
                <w:rFonts w:ascii="Consolas" w:cs="Consolas" w:eastAsia="Consolas" w:hAnsi="Consolas"/>
                <w:color w:val="1E2761"/>
                <w:sz w:val="16"/>
                <w:szCs w:val="16"/>
              </w:rPr>
              <w:t xml:space="preserve">&lt;rate-limit-by-key calls="100" renewal-period="60"</w:t>
            </w:r>
          </w:p>
          <w:p>
            <w:pPr>
              <w:spacing w:after="0" w:line="240" w:lineRule="auto"/>
            </w:pPr>
            <w:r>
              <w:rPr>
                <w:rFonts w:ascii="Consolas" w:cs="Consolas" w:eastAsia="Consolas" w:hAnsi="Consolas"/>
                <w:color w:val="1E2761"/>
                <w:sz w:val="16"/>
                <w:szCs w:val="16"/>
              </w:rPr>
              <w:t xml:space="preserve">                   counter-key="@(context.Subscription.Id)" /&gt;</w:t>
            </w:r>
          </w:p>
          <w:p>
            <w:pPr>
              <w:spacing w:after="0" w:line="240" w:lineRule="auto"/>
            </w:pPr>
            <w:r>
              <w:rPr>
                <w:rFonts w:ascii="Consolas" w:cs="Consolas" w:eastAsia="Consolas" w:hAnsi="Consolas"/>
                <w:color w:val="1E2761"/>
                <w:sz w:val="16"/>
                <w:szCs w:val="16"/>
              </w:rPr>
              <w:t xml:space="preserve">&lt;quota-by-key calls="100000" renewal-period="86400"</w:t>
            </w:r>
          </w:p>
          <w:p>
            <w:pPr>
              <w:spacing w:after="0" w:line="240" w:lineRule="auto"/>
            </w:pPr>
            <w:r>
              <w:rPr>
                <w:rFonts w:ascii="Consolas" w:cs="Consolas" w:eastAsia="Consolas" w:hAnsi="Consolas"/>
                <w:color w:val="1E2761"/>
                <w:sz w:val="16"/>
                <w:szCs w:val="16"/>
              </w:rPr>
              <w:t xml:space="preserve">              counter-key="@(context.Subscription.Id)" /&gt;</w:t>
            </w:r>
          </w:p>
        </w:tc>
      </w:tr>
    </w:tbl>
    <w:p>
      <w:pPr>
        <w:spacing w:after="140"/>
      </w:pPr>
      <w:r>
        <w:rPr>
          <w:rFonts w:ascii="Noe Text" w:cs="Noe Text" w:eastAsia="Noe Text" w:hAnsi="Noe Text"/>
          <w:b w:val="false"/>
          <w:bCs w:val="false"/>
          <w:i w:val="false"/>
          <w:iCs w:val="false"/>
          <w:color w:val="333333"/>
          <w:sz w:val="21"/>
          <w:szCs w:val="21"/>
        </w:rPr>
        <w:t xml:space="preserve">Sunset header during a deprecation window (RFC 8594):</w:t>
      </w:r>
    </w:p>
    <w:tbl>
      <w:tblPr>
        <w:tblW w:type="dxa" w:w="9300"/>
        <w:tblBorders>
          <w:top w:val="single" w:color="D9D9D9" w:sz="4"/>
          <w:left w:val="single" w:color="D9D9D9" w:sz="4"/>
          <w:bottom w:val="single" w:color="D9D9D9" w:sz="4"/>
          <w:right w:val="single" w:color="D9D9D9" w:sz="4"/>
        </w:tblBorders>
      </w:tblPr>
      <w:tblGrid>
        <w:gridCol w:w="9300"/>
      </w:tblGrid>
      <w:tr>
        <w:tc>
          <w:tcPr>
            <w:tcW w:type="dxa" w:w="9300"/>
            <w:shd w:fill="F5F5F5" w:val="clear"/>
            <w:tcMar>
              <w:top w:type="dxa" w:w="90"/>
              <w:left w:type="dxa" w:w="140"/>
              <w:bottom w:type="dxa" w:w="90"/>
              <w:right w:type="dxa" w:w="140"/>
            </w:tcMar>
          </w:tcPr>
          <w:p>
            <w:pPr>
              <w:spacing w:after="0" w:line="240" w:lineRule="auto"/>
            </w:pPr>
            <w:r>
              <w:rPr>
                <w:rFonts w:ascii="Consolas" w:cs="Consolas" w:eastAsia="Consolas" w:hAnsi="Consolas"/>
                <w:color w:val="1E2761"/>
                <w:sz w:val="16"/>
                <w:szCs w:val="16"/>
              </w:rPr>
              <w:t xml:space="preserve">&lt;set-header name="Sunset" exists-action="override"&gt;</w:t>
            </w:r>
          </w:p>
          <w:p>
            <w:pPr>
              <w:spacing w:after="0" w:line="240" w:lineRule="auto"/>
            </w:pPr>
            <w:r>
              <w:rPr>
                <w:rFonts w:ascii="Consolas" w:cs="Consolas" w:eastAsia="Consolas" w:hAnsi="Consolas"/>
                <w:color w:val="1E2761"/>
                <w:sz w:val="16"/>
                <w:szCs w:val="16"/>
              </w:rPr>
              <w:t xml:space="preserve">  &lt;value&gt;Sat, 30 Nov 2026 23:59:59 GMT&lt;/value&gt;</w:t>
            </w:r>
          </w:p>
          <w:p>
            <w:pPr>
              <w:spacing w:after="0" w:line="240" w:lineRule="auto"/>
            </w:pPr>
            <w:r>
              <w:rPr>
                <w:rFonts w:ascii="Consolas" w:cs="Consolas" w:eastAsia="Consolas" w:hAnsi="Consolas"/>
                <w:color w:val="1E2761"/>
                <w:sz w:val="16"/>
                <w:szCs w:val="16"/>
              </w:rPr>
              <w:t xml:space="preserve">&lt;/set-header&gt;</w:t>
            </w:r>
          </w:p>
          <w:p>
            <w:pPr>
              <w:spacing w:after="0" w:line="240" w:lineRule="auto"/>
            </w:pPr>
            <w:r>
              <w:rPr>
                <w:rFonts w:ascii="Consolas" w:cs="Consolas" w:eastAsia="Consolas" w:hAnsi="Consolas"/>
                <w:color w:val="1E2761"/>
                <w:sz w:val="16"/>
                <w:szCs w:val="16"/>
              </w:rPr>
              <w:t xml:space="preserve">&lt;set-header name="Deprecation" exists-action="override"&gt;&lt;value&gt;true&lt;/value&gt;&lt;/set-header&gt;</w:t>
            </w:r>
          </w:p>
        </w:tc>
      </w:tr>
    </w:tbl>
    <w:p>
      <w:pPr>
        <w:spacing w:after="140"/>
      </w:pPr>
      <w:r>
        <w:rPr>
          <w:rFonts w:ascii="Noe Text" w:cs="Noe Text" w:eastAsia="Noe Text" w:hAnsi="Noe Text"/>
          <w:b w:val="false"/>
          <w:bCs w:val="false"/>
          <w:i w:val="false"/>
          <w:iCs w:val="false"/>
          <w:color w:val="333333"/>
          <w:sz w:val="21"/>
          <w:szCs w:val="21"/>
        </w:rPr>
        <w:t xml:space="preserve">Backend authentication using a managed identity (no secret in policy):</w:t>
      </w:r>
    </w:p>
    <w:tbl>
      <w:tblPr>
        <w:tblW w:type="dxa" w:w="9300"/>
        <w:tblBorders>
          <w:top w:val="single" w:color="D9D9D9" w:sz="4"/>
          <w:left w:val="single" w:color="D9D9D9" w:sz="4"/>
          <w:bottom w:val="single" w:color="D9D9D9" w:sz="4"/>
          <w:right w:val="single" w:color="D9D9D9" w:sz="4"/>
        </w:tblBorders>
      </w:tblPr>
      <w:tblGrid>
        <w:gridCol w:w="9300"/>
      </w:tblGrid>
      <w:tr>
        <w:tc>
          <w:tcPr>
            <w:tcW w:type="dxa" w:w="9300"/>
            <w:shd w:fill="F5F5F5" w:val="clear"/>
            <w:tcMar>
              <w:top w:type="dxa" w:w="90"/>
              <w:left w:type="dxa" w:w="140"/>
              <w:bottom w:type="dxa" w:w="90"/>
              <w:right w:type="dxa" w:w="140"/>
            </w:tcMar>
          </w:tcPr>
          <w:p>
            <w:pPr>
              <w:spacing w:after="0" w:line="240" w:lineRule="auto"/>
            </w:pPr>
            <w:r>
              <w:rPr>
                <w:rFonts w:ascii="Consolas" w:cs="Consolas" w:eastAsia="Consolas" w:hAnsi="Consolas"/>
                <w:color w:val="1E2761"/>
                <w:sz w:val="16"/>
                <w:szCs w:val="16"/>
              </w:rPr>
              <w:t xml:space="preserve">&lt;authentication-managed-identity resource="api://chaucer-backend" /&gt;</w:t>
            </w:r>
          </w:p>
        </w:tc>
      </w:tr>
    </w:tbl>
    <w:p>
      <w:pPr>
        <w:spacing w:after="140"/>
      </w:pPr>
      <w:r>
        <w:rPr>
          <w:rFonts w:ascii="Noe Text" w:cs="Noe Text" w:eastAsia="Noe Text" w:hAnsi="Noe Text"/>
          <w:b w:val="false"/>
          <w:bCs w:val="false"/>
          <w:i w:val="false"/>
          <w:iCs w:val="false"/>
          <w:color w:val="333333"/>
          <w:sz w:val="21"/>
          <w:szCs w:val="21"/>
        </w:rPr>
        <w:t xml:space="preserve">Resource and API naming examples:</w:t>
      </w:r>
    </w:p>
    <w:tbl>
      <w:tblPr>
        <w:tblW w:type="dxa" w:w="9300"/>
        <w:tblBorders>
          <w:top w:val="single" w:color="D9D9D9" w:sz="4"/>
          <w:left w:val="single" w:color="D9D9D9" w:sz="4"/>
          <w:bottom w:val="single" w:color="D9D9D9" w:sz="4"/>
          <w:right w:val="single" w:color="D9D9D9" w:sz="4"/>
        </w:tblBorders>
      </w:tblPr>
      <w:tblGrid>
        <w:gridCol w:w="9300"/>
      </w:tblGrid>
      <w:tr>
        <w:tc>
          <w:tcPr>
            <w:tcW w:type="dxa" w:w="9300"/>
            <w:shd w:fill="F5F5F5" w:val="clear"/>
            <w:tcMar>
              <w:top w:type="dxa" w:w="90"/>
              <w:left w:type="dxa" w:w="140"/>
              <w:bottom w:type="dxa" w:w="90"/>
              <w:right w:type="dxa" w:w="140"/>
            </w:tcMar>
          </w:tcPr>
          <w:p>
            <w:pPr>
              <w:spacing w:after="0" w:line="240" w:lineRule="auto"/>
            </w:pPr>
            <w:r>
              <w:rPr>
                <w:rFonts w:ascii="Consolas" w:cs="Consolas" w:eastAsia="Consolas" w:hAnsi="Consolas"/>
                <w:color w:val="1E2761"/>
                <w:sz w:val="16"/>
                <w:szCs w:val="16"/>
              </w:rPr>
              <w:t xml:space="preserve">Resource group : rg-apim-prod-uksouth</w:t>
            </w:r>
          </w:p>
          <w:p>
            <w:pPr>
              <w:spacing w:after="0" w:line="240" w:lineRule="auto"/>
            </w:pPr>
            <w:r>
              <w:rPr>
                <w:rFonts w:ascii="Consolas" w:cs="Consolas" w:eastAsia="Consolas" w:hAnsi="Consolas"/>
                <w:color w:val="1E2761"/>
                <w:sz w:val="16"/>
                <w:szCs w:val="16"/>
              </w:rPr>
              <w:t xml:space="preserve">APIM instance  : apim-chaucer-prod-uksouth</w:t>
            </w:r>
          </w:p>
          <w:p>
            <w:pPr>
              <w:spacing w:after="0" w:line="240" w:lineRule="auto"/>
            </w:pPr>
            <w:r>
              <w:rPr>
                <w:rFonts w:ascii="Consolas" w:cs="Consolas" w:eastAsia="Consolas" w:hAnsi="Consolas"/>
                <w:color w:val="1E2761"/>
                <w:sz w:val="16"/>
                <w:szCs w:val="16"/>
              </w:rPr>
              <w:t xml:space="preserve">API path       : /api/claims/v2/claims</w:t>
            </w:r>
          </w:p>
          <w:p>
            <w:pPr>
              <w:spacing w:after="0" w:line="240" w:lineRule="auto"/>
            </w:pPr>
            <w:r>
              <w:rPr>
                <w:rFonts w:ascii="Consolas" w:cs="Consolas" w:eastAsia="Consolas" w:hAnsi="Consolas"/>
                <w:color w:val="1E2761"/>
                <w:sz w:val="16"/>
                <w:szCs w:val="16"/>
              </w:rPr>
              <w:t xml:space="preserve">Named value    : nv-claims-backend-baseurl</w:t>
            </w:r>
          </w:p>
          <w:p>
            <w:pPr>
              <w:spacing w:after="0" w:line="240" w:lineRule="auto"/>
            </w:pPr>
            <w:r>
              <w:rPr>
                <w:rFonts w:ascii="Consolas" w:cs="Consolas" w:eastAsia="Consolas" w:hAnsi="Consolas"/>
                <w:color w:val="1E2761"/>
                <w:sz w:val="16"/>
                <w:szCs w:val="16"/>
              </w:rPr>
              <w:t xml:space="preserve">Product        : prod-external-broker</w:t>
            </w:r>
          </w:p>
          <w:p>
            <w:pPr>
              <w:spacing w:after="0" w:line="240" w:lineRule="auto"/>
            </w:pPr>
            <w:r>
              <w:rPr>
                <w:rFonts w:ascii="Consolas" w:cs="Consolas" w:eastAsia="Consolas" w:hAnsi="Consolas"/>
                <w:color w:val="1E2761"/>
                <w:sz w:val="16"/>
                <w:szCs w:val="16"/>
              </w:rPr>
              <w:t xml:space="preserve">Entra group    : grp-apim-external-broker</w:t>
            </w:r>
          </w:p>
        </w:tc>
      </w:tr>
    </w:tbl>
    <w:p>
      <w:pPr>
        <w:spacing w:after="140"/>
      </w:pPr>
      <w:r>
        <w:rPr>
          <w:rFonts w:ascii="Noe Text" w:cs="Noe Text" w:eastAsia="Noe Text" w:hAnsi="Noe Text"/>
          <w:b w:val="false"/>
          <w:bCs w:val="false"/>
          <w:i w:val="false"/>
          <w:iCs w:val="false"/>
          <w:color w:val="333333"/>
          <w:sz w:val="21"/>
          <w:szCs w:val="21"/>
        </w:rPr>
        <w:t xml:space="preserve">OpenAPI skeleton (the contract every API starts from):</w:t>
      </w:r>
    </w:p>
    <w:tbl>
      <w:tblPr>
        <w:tblW w:type="dxa" w:w="9300"/>
        <w:tblBorders>
          <w:top w:val="single" w:color="D9D9D9" w:sz="4"/>
          <w:left w:val="single" w:color="D9D9D9" w:sz="4"/>
          <w:bottom w:val="single" w:color="D9D9D9" w:sz="4"/>
          <w:right w:val="single" w:color="D9D9D9" w:sz="4"/>
        </w:tblBorders>
      </w:tblPr>
      <w:tblGrid>
        <w:gridCol w:w="9300"/>
      </w:tblGrid>
      <w:tr>
        <w:tc>
          <w:tcPr>
            <w:tcW w:type="dxa" w:w="9300"/>
            <w:shd w:fill="F5F5F5" w:val="clear"/>
            <w:tcMar>
              <w:top w:type="dxa" w:w="90"/>
              <w:left w:type="dxa" w:w="140"/>
              <w:bottom w:type="dxa" w:w="90"/>
              <w:right w:type="dxa" w:w="140"/>
            </w:tcMar>
          </w:tcPr>
          <w:p>
            <w:pPr>
              <w:spacing w:after="0" w:line="240" w:lineRule="auto"/>
            </w:pPr>
            <w:r>
              <w:rPr>
                <w:rFonts w:ascii="Consolas" w:cs="Consolas" w:eastAsia="Consolas" w:hAnsi="Consolas"/>
                <w:color w:val="1E2761"/>
                <w:sz w:val="16"/>
                <w:szCs w:val="16"/>
              </w:rPr>
              <w:t xml:space="preserve">openapi: 3.0.3</w:t>
            </w:r>
          </w:p>
          <w:p>
            <w:pPr>
              <w:spacing w:after="0" w:line="240" w:lineRule="auto"/>
            </w:pPr>
            <w:r>
              <w:rPr>
                <w:rFonts w:ascii="Consolas" w:cs="Consolas" w:eastAsia="Consolas" w:hAnsi="Consolas"/>
                <w:color w:val="1E2761"/>
                <w:sz w:val="16"/>
                <w:szCs w:val="16"/>
              </w:rPr>
              <w:t xml:space="preserve">info:</w:t>
            </w:r>
          </w:p>
          <w:p>
            <w:pPr>
              <w:spacing w:after="0" w:line="240" w:lineRule="auto"/>
            </w:pPr>
            <w:r>
              <w:rPr>
                <w:rFonts w:ascii="Consolas" w:cs="Consolas" w:eastAsia="Consolas" w:hAnsi="Consolas"/>
                <w:color w:val="1E2761"/>
                <w:sz w:val="16"/>
                <w:szCs w:val="16"/>
              </w:rPr>
              <w:t xml:space="preserve">  title: Claims API</w:t>
            </w:r>
          </w:p>
          <w:p>
            <w:pPr>
              <w:spacing w:after="0" w:line="240" w:lineRule="auto"/>
            </w:pPr>
            <w:r>
              <w:rPr>
                <w:rFonts w:ascii="Consolas" w:cs="Consolas" w:eastAsia="Consolas" w:hAnsi="Consolas"/>
                <w:color w:val="1E2761"/>
                <w:sz w:val="16"/>
                <w:szCs w:val="16"/>
              </w:rPr>
              <w:t xml:space="preserve">  version: "2.0.0"</w:t>
            </w:r>
          </w:p>
          <w:p>
            <w:pPr>
              <w:spacing w:after="0" w:line="240" w:lineRule="auto"/>
            </w:pPr>
            <w:r>
              <w:rPr>
                <w:rFonts w:ascii="Consolas" w:cs="Consolas" w:eastAsia="Consolas" w:hAnsi="Consolas"/>
                <w:color w:val="1E2761"/>
                <w:sz w:val="16"/>
                <w:szCs w:val="16"/>
              </w:rPr>
              <w:t xml:space="preserve">servers:</w:t>
            </w:r>
          </w:p>
          <w:p>
            <w:pPr>
              <w:spacing w:after="0" w:line="240" w:lineRule="auto"/>
            </w:pPr>
            <w:r>
              <w:rPr>
                <w:rFonts w:ascii="Consolas" w:cs="Consolas" w:eastAsia="Consolas" w:hAnsi="Consolas"/>
                <w:color w:val="1E2761"/>
                <w:sz w:val="16"/>
                <w:szCs w:val="16"/>
              </w:rPr>
              <w:t xml:space="preserve">  - url: https://api.chaucer.example/api/claims/v2</w:t>
            </w:r>
          </w:p>
          <w:p>
            <w:pPr>
              <w:spacing w:after="0" w:line="240" w:lineRule="auto"/>
            </w:pPr>
            <w:r>
              <w:rPr>
                <w:rFonts w:ascii="Consolas" w:cs="Consolas" w:eastAsia="Consolas" w:hAnsi="Consolas"/>
                <w:color w:val="1E2761"/>
                <w:sz w:val="16"/>
                <w:szCs w:val="16"/>
              </w:rPr>
              <w:t xml:space="preserve">paths:</w:t>
            </w:r>
          </w:p>
          <w:p>
            <w:pPr>
              <w:spacing w:after="0" w:line="240" w:lineRule="auto"/>
            </w:pPr>
            <w:r>
              <w:rPr>
                <w:rFonts w:ascii="Consolas" w:cs="Consolas" w:eastAsia="Consolas" w:hAnsi="Consolas"/>
                <w:color w:val="1E2761"/>
                <w:sz w:val="16"/>
                <w:szCs w:val="16"/>
              </w:rPr>
              <w:t xml:space="preserve">  /claims/{id}:</w:t>
            </w:r>
          </w:p>
          <w:p>
            <w:pPr>
              <w:spacing w:after="0" w:line="240" w:lineRule="auto"/>
            </w:pPr>
            <w:r>
              <w:rPr>
                <w:rFonts w:ascii="Consolas" w:cs="Consolas" w:eastAsia="Consolas" w:hAnsi="Consolas"/>
                <w:color w:val="1E2761"/>
                <w:sz w:val="16"/>
                <w:szCs w:val="16"/>
              </w:rPr>
              <w:t xml:space="preserve">    get:</w:t>
            </w:r>
          </w:p>
          <w:p>
            <w:pPr>
              <w:spacing w:after="0" w:line="240" w:lineRule="auto"/>
            </w:pPr>
            <w:r>
              <w:rPr>
                <w:rFonts w:ascii="Consolas" w:cs="Consolas" w:eastAsia="Consolas" w:hAnsi="Consolas"/>
                <w:color w:val="1E2761"/>
                <w:sz w:val="16"/>
                <w:szCs w:val="16"/>
              </w:rPr>
              <w:t xml:space="preserve">      summary: Retrieve a claim</w:t>
            </w:r>
          </w:p>
          <w:p>
            <w:pPr>
              <w:spacing w:after="0" w:line="240" w:lineRule="auto"/>
            </w:pPr>
            <w:r>
              <w:rPr>
                <w:rFonts w:ascii="Consolas" w:cs="Consolas" w:eastAsia="Consolas" w:hAnsi="Consolas"/>
                <w:color w:val="1E2761"/>
                <w:sz w:val="16"/>
                <w:szCs w:val="16"/>
              </w:rPr>
              <w:t xml:space="preserve">      security:</w:t>
            </w:r>
          </w:p>
          <w:p>
            <w:pPr>
              <w:spacing w:after="0" w:line="240" w:lineRule="auto"/>
            </w:pPr>
            <w:r>
              <w:rPr>
                <w:rFonts w:ascii="Consolas" w:cs="Consolas" w:eastAsia="Consolas" w:hAnsi="Consolas"/>
                <w:color w:val="1E2761"/>
                <w:sz w:val="16"/>
                <w:szCs w:val="16"/>
              </w:rPr>
              <w:t xml:space="preserve">        - oauth2: [claims.read]</w:t>
            </w:r>
          </w:p>
          <w:p>
            <w:pPr>
              <w:spacing w:after="0" w:line="240" w:lineRule="auto"/>
            </w:pPr>
            <w:r>
              <w:rPr>
                <w:rFonts w:ascii="Consolas" w:cs="Consolas" w:eastAsia="Consolas" w:hAnsi="Consolas"/>
                <w:color w:val="1E2761"/>
                <w:sz w:val="16"/>
                <w:szCs w:val="16"/>
              </w:rPr>
              <w:t xml:space="preserve">      parameters:</w:t>
            </w:r>
          </w:p>
          <w:p>
            <w:pPr>
              <w:spacing w:after="0" w:line="240" w:lineRule="auto"/>
            </w:pPr>
            <w:r>
              <w:rPr>
                <w:rFonts w:ascii="Consolas" w:cs="Consolas" w:eastAsia="Consolas" w:hAnsi="Consolas"/>
                <w:color w:val="1E2761"/>
                <w:sz w:val="16"/>
                <w:szCs w:val="16"/>
              </w:rPr>
              <w:t xml:space="preserve">        - name: id</w:t>
            </w:r>
          </w:p>
          <w:p>
            <w:pPr>
              <w:spacing w:after="0" w:line="240" w:lineRule="auto"/>
            </w:pPr>
            <w:r>
              <w:rPr>
                <w:rFonts w:ascii="Consolas" w:cs="Consolas" w:eastAsia="Consolas" w:hAnsi="Consolas"/>
                <w:color w:val="1E2761"/>
                <w:sz w:val="16"/>
                <w:szCs w:val="16"/>
              </w:rPr>
              <w:t xml:space="preserve">          in: path</w:t>
            </w:r>
          </w:p>
          <w:p>
            <w:pPr>
              <w:spacing w:after="0" w:line="240" w:lineRule="auto"/>
            </w:pPr>
            <w:r>
              <w:rPr>
                <w:rFonts w:ascii="Consolas" w:cs="Consolas" w:eastAsia="Consolas" w:hAnsi="Consolas"/>
                <w:color w:val="1E2761"/>
                <w:sz w:val="16"/>
                <w:szCs w:val="16"/>
              </w:rPr>
              <w:t xml:space="preserve">          required: true</w:t>
            </w:r>
          </w:p>
          <w:p>
            <w:pPr>
              <w:spacing w:after="0" w:line="240" w:lineRule="auto"/>
            </w:pPr>
            <w:r>
              <w:rPr>
                <w:rFonts w:ascii="Consolas" w:cs="Consolas" w:eastAsia="Consolas" w:hAnsi="Consolas"/>
                <w:color w:val="1E2761"/>
                <w:sz w:val="16"/>
                <w:szCs w:val="16"/>
              </w:rPr>
              <w:t xml:space="preserve">          schema: { type: string }</w:t>
            </w:r>
          </w:p>
          <w:p>
            <w:pPr>
              <w:spacing w:after="0" w:line="240" w:lineRule="auto"/>
            </w:pPr>
            <w:r>
              <w:rPr>
                <w:rFonts w:ascii="Consolas" w:cs="Consolas" w:eastAsia="Consolas" w:hAnsi="Consolas"/>
                <w:color w:val="1E2761"/>
                <w:sz w:val="16"/>
                <w:szCs w:val="16"/>
              </w:rPr>
              <w:t xml:space="preserve">      responses:</w:t>
            </w:r>
          </w:p>
          <w:p>
            <w:pPr>
              <w:spacing w:after="0" w:line="240" w:lineRule="auto"/>
            </w:pPr>
            <w:r>
              <w:rPr>
                <w:rFonts w:ascii="Consolas" w:cs="Consolas" w:eastAsia="Consolas" w:hAnsi="Consolas"/>
                <w:color w:val="1E2761"/>
                <w:sz w:val="16"/>
                <w:szCs w:val="16"/>
              </w:rPr>
              <w:t xml:space="preserve">        "200": { description: OK }</w:t>
            </w:r>
          </w:p>
          <w:p>
            <w:pPr>
              <w:spacing w:after="0" w:line="240" w:lineRule="auto"/>
            </w:pPr>
            <w:r>
              <w:rPr>
                <w:rFonts w:ascii="Consolas" w:cs="Consolas" w:eastAsia="Consolas" w:hAnsi="Consolas"/>
                <w:color w:val="1E2761"/>
                <w:sz w:val="16"/>
                <w:szCs w:val="16"/>
              </w:rPr>
              <w:t xml:space="preserve">        "401": { description: Unauthorized }</w:t>
            </w:r>
          </w:p>
          <w:p>
            <w:pPr>
              <w:spacing w:after="0" w:line="240" w:lineRule="auto"/>
            </w:pPr>
            <w:r>
              <w:rPr>
                <w:rFonts w:ascii="Consolas" w:cs="Consolas" w:eastAsia="Consolas" w:hAnsi="Consolas"/>
                <w:color w:val="1E2761"/>
                <w:sz w:val="16"/>
                <w:szCs w:val="16"/>
              </w:rPr>
              <w:t xml:space="preserve">        "429": { description: Too Many Requests }</w:t>
            </w:r>
          </w:p>
        </w:tc>
      </w:tr>
    </w:tbl>
    <w:p>
      <w:pPr>
        <w:pStyle w:val="Heading2"/>
        <w:spacing w:after="100" w:before="200"/>
      </w:pPr>
      <w:r>
        <w:rPr>
          <w:rFonts w:ascii="Noe Text Regular" w:cs="Noe Text Regular" w:eastAsia="Noe Text Regular" w:hAnsi="Noe Text Regular"/>
        </w:rPr>
        <w:t xml:space="preserve">9.7 Disaster Recovery Testing Approach</w:t>
      </w:r>
    </w:p>
    <w:p>
      <w:pPr>
        <w:spacing w:after="140"/>
      </w:pPr>
      <w:r>
        <w:rPr>
          <w:rFonts w:ascii="Noe Text" w:cs="Noe Text" w:eastAsia="Noe Text" w:hAnsi="Noe Text"/>
          <w:b w:val="false"/>
          <w:bCs w:val="false"/>
          <w:i w:val="false"/>
          <w:iCs w:val="false"/>
          <w:color w:val="333333"/>
          <w:sz w:val="21"/>
          <w:szCs w:val="21"/>
        </w:rPr>
        <w:t xml:space="preserve">DR is only real if it is exercised. The active-active design (6.11) is proven, not assumed, through scheduled failover testing with defined ownership and success criteria.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Aspect</w:t>
            </w:r>
          </w:p>
        </w:tc>
        <w:tc>
          <w:tcPr>
            <w:tcW w:type="dxa" w:w="71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Approach</w:t>
            </w:r>
          </w:p>
        </w:tc>
      </w:tr>
      <w:tr>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Cadence</w:t>
            </w:r>
          </w:p>
        </w:tc>
        <w:tc>
          <w:tcPr>
            <w:tcW w:type="dxa" w:w="71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At least every six months, and after any material architecture change</w:t>
            </w:r>
          </w:p>
        </w:tc>
      </w:tr>
      <w:tr>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Owner</w:t>
            </w:r>
          </w:p>
        </w:tc>
        <w:tc>
          <w:tcPr>
            <w:tcW w:type="dxa" w:w="71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Platform team runs it; Security and the affected Domain teams observe; results reported to TDA</w:t>
            </w:r>
          </w:p>
        </w:tc>
      </w:tr>
      <w:tr>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Scope</w:t>
            </w:r>
          </w:p>
        </w:tc>
        <w:tc>
          <w:tcPr>
            <w:tcW w:type="dxa" w:w="71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Deliberately disable the primary region’s gateway and confirm Front Door routes all traffic to the secondary region</w:t>
            </w:r>
          </w:p>
        </w:tc>
      </w:tr>
      <w:tr>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Success criteria</w:t>
            </w:r>
          </w:p>
        </w:tc>
        <w:tc>
          <w:tcPr>
            <w:tcW w:type="dxa" w:w="71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Failover completes within the RTO (&lt; 30 min); no data loss (RPO ~0 for configuration); no consumer-side change required; no manual DNS action</w:t>
            </w:r>
          </w:p>
        </w:tc>
      </w:tr>
      <w:tr>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Evidence</w:t>
            </w:r>
          </w:p>
        </w:tc>
        <w:tc>
          <w:tcPr>
            <w:tcW w:type="dxa" w:w="71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Test report with timings, screenshots/metrics and any defects, retained as compliance evidence (9.5 matrix)</w:t>
            </w:r>
          </w:p>
        </w:tc>
      </w:tr>
      <w:tr>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Rollback</w:t>
            </w:r>
          </w:p>
        </w:tc>
        <w:tc>
          <w:tcPr>
            <w:tcW w:type="dxa" w:w="71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Re-enable the primary region and confirm traffic rebalances; document any anomalies</w:t>
            </w:r>
          </w:p>
        </w:tc>
      </w:tr>
    </w:tbl>
    <w:p>
      <w:pPr>
        <w:pStyle w:val="Heading2"/>
        <w:spacing w:after="100" w:before="200"/>
      </w:pPr>
      <w:r>
        <w:rPr>
          <w:rFonts w:ascii="Noe Text Regular" w:cs="Noe Text Regular" w:eastAsia="Noe Text Regular" w:hAnsi="Noe Text Regular"/>
        </w:rPr>
        <w:t xml:space="preserve">9.8 Logic Apps Migration and Cut-over Strategy</w:t>
      </w:r>
    </w:p>
    <w:p>
      <w:pPr>
        <w:spacing w:after="140"/>
      </w:pPr>
      <w:r>
        <w:rPr>
          <w:rFonts w:ascii="Noe Text" w:cs="Noe Text" w:eastAsia="Noe Text" w:hAnsi="Noe Text"/>
          <w:b w:val="false"/>
          <w:bCs w:val="false"/>
          <w:i w:val="false"/>
          <w:iCs w:val="false"/>
          <w:color w:val="333333"/>
          <w:sz w:val="21"/>
          <w:szCs w:val="21"/>
        </w:rPr>
        <w:t xml:space="preserve">Existing Logic Apps are moved behind APIM one integration at a time using a strangler-fig approach, not a big-bang cut-over. Each integration is fronted by APIM, run in parallel while traffic is shifted gradually, then cut over and the old direct path retired — so risk is contained to one integration at a time and rollback is always available until retirement.</w:t>
      </w:r>
    </w:p>
    <w:p xmlns:a="http://schemas.openxmlformats.org/drawingml/2006/main" xmlns:pic="http://schemas.openxmlformats.org/drawingml/2006/picture">
      <w:pPr>
        <w:spacing w:after="120" w:before="80"/>
        <w:jc w:val="center"/>
      </w:pPr>
      <w:r>
        <w:drawing>
          <wp:inline distT="0" distB="0" distL="0" distR="0">
            <wp:extent cx="5943600" cy="949714"/>
            <wp:effectExtent t="0" r="0" b="0" l="0"/>
            <wp:docPr id="30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44" cstate="none"/>
                    <a:srcRect/>
                    <a:stretch>
                      <a:fillRect/>
                    </a:stretch>
                  </pic:blipFill>
                  <pic:spPr bwMode="auto">
                    <a:xfrm>
                      <a:off x="0" y="0"/>
                      <a:ext cx="5943600" cy="949714"/>
                    </a:xfrm>
                    <a:prstGeom prst="rect">
                      <a:avLst/>
                    </a:prstGeom>
                  </pic:spPr>
                </pic:pic>
              </a:graphicData>
            </a:graphic>
          </wp:inline>
        </w:drawing>
      </w:r>
    </w:p>
    <w:p>
      <w:pPr>
        <w:spacing w:after="180"/>
        <w:jc w:val="center"/>
      </w:pPr>
      <w:r>
        <w:rPr>
          <w:rFonts w:ascii="Noe Text" w:cs="Noe Text" w:eastAsia="Noe Text" w:hAnsi="Noe Text"/>
          <w:i/>
          <w:iCs/>
          <w:color w:val="666666"/>
          <w:sz w:val="18"/>
          <w:szCs w:val="18"/>
        </w:rPr>
        <w:t xml:space="preserve">Figure 31: Logic Apps migration — strangler-fig cut-over per integration, with rollback available until retirement</w:t>
      </w:r>
    </w:p>
    <w:p>
      <w:pPr>
        <w:spacing w:after="140"/>
      </w:pPr>
      <w:r>
        <w:rPr>
          <w:rFonts w:ascii="Noe Text" w:cs="Noe Text" w:eastAsia="Noe Text" w:hAnsi="Noe Text"/>
          <w:b w:val="false"/>
          <w:bCs w:val="false"/>
          <w:i w:val="false"/>
          <w:iCs w:val="false"/>
          <w:color w:val="333333"/>
          <w:sz w:val="21"/>
          <w:szCs w:val="21"/>
        </w:rPr>
        <w:t xml:space="preserve">Parallel running and dual-write. For read-style integrations, parallel running simply means routing a growing share of traffic through APIM while comparing results, with no data considerations. For write or stateful integrations, dual-write (both the old and new paths writing) is avoided unless idempotency and de-duplication are proven, because double-processing a financial or claims transaction is worse than a short cut-over; the default for write flows is a clean switch at low-traffic time with a tested rollback, rather than dual-write. Each integration keeps its old direct path available until telemetry confirms the APIM path is healthy, and only then is direct access removed so that APIM becomes the sole ingress.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00"/>
      </w:tblGrid>
      <w:tr>
        <w:trPr>
          <w:tblHeader/>
        </w:trPr>
        <w:tc>
          <w:tcPr>
            <w:tcW w:type="dxa" w:w="22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Phase</w:t>
            </w:r>
          </w:p>
        </w:tc>
        <w:tc>
          <w:tcPr>
            <w:tcW w:type="dxa" w:w="34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What happens</w:t>
            </w:r>
          </w:p>
        </w:tc>
        <w:tc>
          <w:tcPr>
            <w:tcW w:type="dxa" w:w="3700"/>
            <w:shd w:fill="1E2761" w:val="clear"/>
            <w:tcMar>
              <w:top w:type="dxa" w:w="70"/>
              <w:left w:type="dxa" w:w="100"/>
              <w:bottom w:type="dxa" w:w="70"/>
              <w:right w:type="dxa" w:w="100"/>
            </w:tcMar>
            <w:vAlign w:val="top"/>
          </w:tcPr>
          <w:p>
            <w:pPr>
              <w:spacing w:after="0"/>
            </w:pPr>
            <w:r>
              <w:rPr>
                <w:rFonts w:ascii="Noe Text" w:cs="Noe Text" w:eastAsia="Noe Text" w:hAnsi="Noe Text"/>
                <w:b/>
                <w:bCs/>
                <w:color w:val="FFFFFF"/>
                <w:sz w:val="18"/>
                <w:szCs w:val="18"/>
              </w:rPr>
              <w:t xml:space="preserve">Notes</w:t>
            </w:r>
          </w:p>
        </w:tc>
      </w:tr>
      <w:tr>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Phase 0 — Baseline</w:t>
            </w:r>
          </w:p>
        </w:tc>
        <w:tc>
          <w:tcPr>
            <w:tcW w:type="dxa" w:w="3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Existing Logic Apps called directly</w:t>
            </w:r>
          </w:p>
        </w:tc>
        <w:tc>
          <w:tcPr>
            <w:tcW w:type="dxa" w:w="3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Inventory integrations, classify by read vs write and criticality</w:t>
            </w:r>
          </w:p>
        </w:tc>
      </w:tr>
      <w:tr>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Phase 1 — Front with APIM</w:t>
            </w:r>
          </w:p>
        </w:tc>
        <w:tc>
          <w:tcPr>
            <w:tcW w:type="dxa" w:w="3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Publish the existing endpoint through APIM unchanged</w:t>
            </w:r>
          </w:p>
        </w:tc>
        <w:tc>
          <w:tcPr>
            <w:tcW w:type="dxa" w:w="3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Contract captured; policies applied; no behaviour change</w:t>
            </w:r>
          </w:p>
        </w:tc>
      </w:tr>
      <w:tr>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Phase 2 — Parallel run</w:t>
            </w:r>
          </w:p>
        </w:tc>
        <w:tc>
          <w:tcPr>
            <w:tcW w:type="dxa" w:w="3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Shift a growing share of traffic via APIM</w:t>
            </w:r>
          </w:p>
        </w:tc>
        <w:tc>
          <w:tcPr>
            <w:tcW w:type="dxa" w:w="3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Monitor and compare; no dual-write for stateful flows</w:t>
            </w:r>
          </w:p>
        </w:tc>
      </w:tr>
      <w:tr>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Phase 3 — Cut over</w:t>
            </w:r>
          </w:p>
        </w:tc>
        <w:tc>
          <w:tcPr>
            <w:tcW w:type="dxa" w:w="3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All traffic via APIM</w:t>
            </w:r>
          </w:p>
        </w:tc>
        <w:tc>
          <w:tcPr>
            <w:tcW w:type="dxa" w:w="3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Old direct path deprecated but still available for rollback</w:t>
            </w:r>
          </w:p>
        </w:tc>
      </w:tr>
      <w:tr>
        <w:tc>
          <w:tcPr>
            <w:tcW w:type="dxa" w:w="22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Phase 4 — Retire</w:t>
            </w:r>
          </w:p>
        </w:tc>
        <w:tc>
          <w:tcPr>
            <w:tcW w:type="dxa" w:w="34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Direct access removed</w:t>
            </w:r>
          </w:p>
        </w:tc>
        <w:tc>
          <w:tcPr>
            <w:tcW w:type="dxa" w:w="3700"/>
            <w:tcMar>
              <w:top w:type="dxa" w:w="70"/>
              <w:left w:type="dxa" w:w="100"/>
              <w:bottom w:type="dxa" w:w="70"/>
              <w:right w:type="dxa" w:w="100"/>
            </w:tcMar>
            <w:vAlign w:val="top"/>
          </w:tcPr>
          <w:p>
            <w:pPr>
              <w:spacing w:after="0"/>
            </w:pPr>
            <w:r>
              <w:rPr>
                <w:rFonts w:ascii="Noe Text" w:cs="Noe Text" w:eastAsia="Noe Text" w:hAnsi="Noe Text"/>
                <w:color w:val="333333"/>
                <w:sz w:val="18"/>
                <w:szCs w:val="18"/>
              </w:rPr>
              <w:t xml:space="preserve">APIM is sole ingress; single-ingress principle satisfied</w:t>
            </w:r>
          </w:p>
        </w:tc>
      </w:tr>
    </w:tbl>
    <w:p>
      <w:pPr>
        <w:spacing w:after="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e Text" w:cs="Noe Text" w:eastAsia="Noe Text" w:hAnsi="Noe Text"/>
        <w:color w:val="8A93A8"/>
        <w:sz w:val="16"/>
        <w:szCs w:val="16"/>
      </w:rPr>
      <w:t xml:space="preserve">Internal, Chaucer.  Page </w:t>
    </w:r>
    <w:r>
      <w:rPr>
        <w:rFonts w:ascii="Noe Text" w:cs="Noe Text" w:eastAsia="Noe Text" w:hAnsi="Noe Text"/>
        <w:color w:val="8A93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e Text" w:cs="Noe Text" w:eastAsia="Noe Text" w:hAnsi="Noe Text"/>
        <w:color w:val="8A93A8"/>
        <w:sz w:val="16"/>
        <w:szCs w:val="16"/>
      </w:rPr>
      <w:t xml:space="preserve">Chaucer  |  Azure API Management  |  High-Level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e Text" w:cs="Noe Text" w:eastAsia="Noe Text" w:hAnsi="Noe Text"/>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pPr>
    <w:rPr>
      <w:rFonts w:ascii="Noe Text Regular" w:cs="Noe Text Regular" w:eastAsia="Noe Text Regular" w:hAnsi="Noe Text Regular"/>
      <w:b/>
      <w:bCs/>
      <w:color w:val="1E2761"/>
      <w:sz w:val="30"/>
      <w:szCs w:val="30"/>
    </w:rPr>
  </w:style>
  <w:style w:type="paragraph" w:styleId="Heading2">
    <w:name w:val="Heading 2"/>
    <w:basedOn w:val="Normal"/>
    <w:next w:val="Normal"/>
    <w:qFormat/>
    <w:pPr>
      <w:spacing w:after="100" w:before="200"/>
    </w:pPr>
    <w:rPr>
      <w:rFonts w:ascii="Noe Text Regular" w:cs="Noe Text Regular" w:eastAsia="Noe Text Regular" w:hAnsi="Noe Text Regular"/>
      <w:b/>
      <w:bCs/>
      <w:color w:val="132040"/>
      <w:sz w:val="25"/>
      <w:szCs w:val="25"/>
    </w:rPr>
  </w:style>
  <w:style w:type="paragraph" w:styleId="Heading3">
    <w:name w:val="Heading 3"/>
    <w:basedOn w:val="Normal"/>
    <w:next w:val="Normal"/>
    <w:qFormat/>
    <w:pPr>
      <w:spacing w:after="90" w:before="160"/>
    </w:pPr>
    <w:rPr>
      <w:rFonts w:ascii="Noe Text Regular" w:cs="Noe Text Regular" w:eastAsia="Noe Text Regular" w:hAnsi="Noe Text Regular"/>
      <w:b/>
      <w:bCs/>
      <w:color w:val="32323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22f90cf53272d9f618d8a85fd0b2d1dc612da3.png"/><Relationship Id="rId10" Type="http://schemas.openxmlformats.org/officeDocument/2006/relationships/image" Target="media/be21fda1bebbe9ad61d94542cc5599d396abe707.png"/><Relationship Id="rId11" Type="http://schemas.openxmlformats.org/officeDocument/2006/relationships/image" Target="media/8c40c2fa69809255d2a6387c849c4e298a53bb63.png"/><Relationship Id="rId12" Type="http://schemas.openxmlformats.org/officeDocument/2006/relationships/image" Target="media/273dc55f81f11a0027a31fa05e5f0812af3ff2ad.png"/><Relationship Id="rId13" Type="http://schemas.openxmlformats.org/officeDocument/2006/relationships/image" Target="media/afc3048da44df5518de46dc65c76d8581aefe0b0.png"/><Relationship Id="rId14" Type="http://schemas.openxmlformats.org/officeDocument/2006/relationships/image" Target="media/453a60658fb7cd6e865747f0f86731201937f579.png"/><Relationship Id="rId15" Type="http://schemas.openxmlformats.org/officeDocument/2006/relationships/image" Target="media/6615c5ad4b1eb598fc94ec2c83c5892d38618a38.png"/><Relationship Id="rId16" Type="http://schemas.openxmlformats.org/officeDocument/2006/relationships/image" Target="media/26fa91773e2a345950255dd0f417c1eeab72c239.png"/><Relationship Id="rId17" Type="http://schemas.openxmlformats.org/officeDocument/2006/relationships/image" Target="media/051a18cbef2bb3fc4ee15fea80f12949c989eb9e.png"/><Relationship Id="rId18" Type="http://schemas.openxmlformats.org/officeDocument/2006/relationships/image" Target="media/c52b4ad2f1bcc4828cfb64875ca067dc2e44b4f1.png"/><Relationship Id="rId19" Type="http://schemas.openxmlformats.org/officeDocument/2006/relationships/image" Target="media/7211c5fadc22d0496720dd099fed3544480494d0.png"/><Relationship Id="rId20" Type="http://schemas.openxmlformats.org/officeDocument/2006/relationships/image" Target="media/41cbe7ebd42c81e31b9d1454810cae76c131e384.png"/><Relationship Id="rId21" Type="http://schemas.openxmlformats.org/officeDocument/2006/relationships/image" Target="media/88ec49fbdf2ec5e527f7f2436bedbe82066f0cce.png"/><Relationship Id="rId22" Type="http://schemas.openxmlformats.org/officeDocument/2006/relationships/image" Target="media/ea1f810c130cd2c70b1412aabe340854bb291c79.png"/><Relationship Id="rId23" Type="http://schemas.openxmlformats.org/officeDocument/2006/relationships/image" Target="media/a4f9eec89cbdfa521e70d4b4f6ec99a9aea02de4.png"/><Relationship Id="rId24" Type="http://schemas.openxmlformats.org/officeDocument/2006/relationships/image" Target="media/d9ea5b7d6ebe44007dd69b7b69ba694a2ad24f7b.png"/><Relationship Id="rId25" Type="http://schemas.openxmlformats.org/officeDocument/2006/relationships/image" Target="media/9e01a00665a3192098bb4b51d6ca3ca2be82dac5.png"/><Relationship Id="rId26" Type="http://schemas.openxmlformats.org/officeDocument/2006/relationships/image" Target="media/2f8ca4086f61f3e25bb9bd5673d4fd39cc84c201.png"/><Relationship Id="rId27" Type="http://schemas.openxmlformats.org/officeDocument/2006/relationships/image" Target="media/ba47425199dac4c7d4b3aff47bec5a1e32f5c623.png"/><Relationship Id="rId28" Type="http://schemas.openxmlformats.org/officeDocument/2006/relationships/image" Target="media/3765c22e1e79348a5d7b72ae03559cb2b04a84b7.png"/><Relationship Id="rId29" Type="http://schemas.openxmlformats.org/officeDocument/2006/relationships/image" Target="media/ac76e668749deb4e936549dac669142a7cbd670d.png"/><Relationship Id="rId30" Type="http://schemas.openxmlformats.org/officeDocument/2006/relationships/image" Target="media/c987152025b0d8eb8ab88465ea4153902225f55d.png"/><Relationship Id="rId31" Type="http://schemas.openxmlformats.org/officeDocument/2006/relationships/image" Target="media/66ac599bff437a4ef9c9d484d13d7b0bc2532c73.png"/><Relationship Id="rId32" Type="http://schemas.openxmlformats.org/officeDocument/2006/relationships/image" Target="media/5cfceff94064d8a036df9f6cd1613556beede33b.png"/><Relationship Id="rId33" Type="http://schemas.openxmlformats.org/officeDocument/2006/relationships/image" Target="media/86efef14663f748a60d3538fd4faec6eb01ce0a6.png"/><Relationship Id="rId34" Type="http://schemas.openxmlformats.org/officeDocument/2006/relationships/image" Target="media/397f67df246066aeb41138c1939939242acb59f4.png"/><Relationship Id="rId35" Type="http://schemas.openxmlformats.org/officeDocument/2006/relationships/fontTable" Target="fontTable.xml"/><Relationship Id="rId36" Type="http://schemas.openxmlformats.org/officeDocument/2006/relationships/image" Target="media/d1_edge_decision.png"/><Relationship Id="rId37" Type="http://schemas.openxmlformats.org/officeDocument/2006/relationships/image" Target="media/d2_onboarding.png"/><Relationship Id="rId38" Type="http://schemas.openxmlformats.org/officeDocument/2006/relationships/image" Target="media/d3_lifecycle.png"/><Relationship Id="rId39" Type="http://schemas.openxmlformats.org/officeDocument/2006/relationships/image" Target="media/d4_tech.png"/><Relationship Id="rId40" Type="http://schemas.openxmlformats.org/officeDocument/2006/relationships/image" Target="media/d5_security.png"/><Relationship Id="rId41" Type="http://schemas.openxmlformats.org/officeDocument/2006/relationships/image" Target="media/d6_edge_reconcile.png"/><Relationship Id="rId42" Type="http://schemas.openxmlformats.org/officeDocument/2006/relationships/image" Target="media/d7_consumer.png"/><Relationship Id="rId43" Type="http://schemas.openxmlformats.org/officeDocument/2006/relationships/image" Target="media/d8_apiops.png"/><Relationship Id="rId44" Type="http://schemas.openxmlformats.org/officeDocument/2006/relationships/image" Target="media/d9_strangler.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2026-09-16T19:37:30.333Z</dcterms:created>
  <dcterms:modified xsi:type="dcterms:W3CDTF">2026-09-16T19:37:30.333Z</dcterms:modified>
</cp:coreProperties>
</file>

<file path=docProps/custom.xml><?xml version="1.0" encoding="utf-8"?>
<Properties xmlns="http://schemas.openxmlformats.org/officeDocument/2006/custom-properties" xmlns:vt="http://schemas.openxmlformats.org/officeDocument/2006/docPropsVTypes"/>
</file>