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eastAsia="微软雅黑"/>
          <w:rFonts w:ascii="微软雅黑" w:hAnsi="微软雅黑"/>
          <w:b/>
          <w:color w:val="FFB7C5"/>
          <w:sz w:val="64"/>
        </w:rPr>
        <w:t>JWXT 教务管理系统</w:t>
      </w:r>
    </w:p>
    <w:p>
      <w:pPr>
        <w:jc w:val="center"/>
      </w:pPr>
      <w:r>
        <w:rPr>
          <w:rFonts w:eastAsia="微软雅黑"/>
          <w:rFonts w:ascii="微软雅黑" w:hAnsi="微软雅黑"/>
          <w:color w:val="999999"/>
          <w:sz w:val="40"/>
        </w:rPr>
        <w:t>功能架构文档</w:t>
      </w:r>
    </w:p>
    <w:p/>
    <w:p>
      <w:pPr>
        <w:jc w:val="center"/>
      </w:pPr>
      <w:r>
        <w:rPr>
          <w:rFonts w:eastAsia="微软雅黑"/>
          <w:rFonts w:ascii="微软雅黑" w:hAnsi="微软雅黑"/>
          <w:color w:val="AAAAAA"/>
          <w:sz w:val="22"/>
        </w:rPr>
        <w:t>版本 v4.1  |  2026-05-21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color w:val="FFB7C5"/>
          <w:sz w:val="36"/>
        </w:rPr>
        <w:t>目录</w:t>
      </w:r>
    </w:p>
    <w:p>
      <w:pPr>
        <w:spacing w:after="40"/>
      </w:pPr>
      <w:r>
        <w:rPr>
          <w:rFonts w:eastAsia="微软雅黑"/>
          <w:rFonts w:ascii="微软雅黑" w:hAnsi="微软雅黑"/>
          <w:b/>
          <w:sz w:val="22"/>
        </w:rPr>
        <w:t>一、前端功能</w:t>
      </w:r>
    </w:p>
    <w:p>
      <w:pPr>
        <w:spacing w:after="40"/>
      </w:pPr>
      <w:r>
        <w:rPr>
          <w:rFonts w:eastAsia="微软雅黑"/>
          <w:rFonts w:ascii="微软雅黑" w:hAnsi="微软雅黑"/>
          <w:sz w:val="22"/>
        </w:rPr>
        <w:t xml:space="preserve">    1.1 技术栈</w:t>
      </w:r>
    </w:p>
    <w:p>
      <w:pPr>
        <w:spacing w:after="40"/>
      </w:pPr>
      <w:r>
        <w:rPr>
          <w:rFonts w:eastAsia="微软雅黑"/>
          <w:rFonts w:ascii="微软雅黑" w:hAnsi="微软雅黑"/>
          <w:sz w:val="22"/>
        </w:rPr>
        <w:t xml:space="preserve">    1.2 页面功能清单</w:t>
      </w:r>
    </w:p>
    <w:p>
      <w:pPr>
        <w:spacing w:after="40"/>
      </w:pPr>
      <w:r>
        <w:rPr>
          <w:rFonts w:eastAsia="微软雅黑"/>
          <w:rFonts w:ascii="微软雅黑" w:hAnsi="微软雅黑"/>
          <w:sz w:val="22"/>
        </w:rPr>
        <w:t xml:space="preserve">    1.3 共享组件</w:t>
      </w:r>
    </w:p>
    <w:p>
      <w:pPr>
        <w:spacing w:after="40"/>
      </w:pPr>
      <w:r>
        <w:rPr>
          <w:rFonts w:eastAsia="微软雅黑"/>
          <w:rFonts w:ascii="微软雅黑" w:hAnsi="微软雅黑"/>
          <w:sz w:val="22"/>
        </w:rPr>
        <w:t xml:space="preserve">    1.4 关键前端细节</w:t>
      </w:r>
    </w:p>
    <w:p>
      <w:pPr>
        <w:spacing w:after="40"/>
      </w:pPr>
      <w:r>
        <w:rPr>
          <w:rFonts w:eastAsia="微软雅黑"/>
          <w:rFonts w:ascii="微软雅黑" w:hAnsi="微软雅黑"/>
          <w:b/>
          <w:sz w:val="22"/>
        </w:rPr>
        <w:t>二、后端架构</w:t>
      </w:r>
    </w:p>
    <w:p>
      <w:pPr>
        <w:spacing w:after="40"/>
      </w:pPr>
      <w:r>
        <w:rPr>
          <w:rFonts w:eastAsia="微软雅黑"/>
          <w:rFonts w:ascii="微软雅黑" w:hAnsi="微软雅黑"/>
          <w:sz w:val="22"/>
        </w:rPr>
        <w:t xml:space="preserve">    2.1 技术栈</w:t>
      </w:r>
    </w:p>
    <w:p>
      <w:pPr>
        <w:spacing w:after="40"/>
      </w:pPr>
      <w:r>
        <w:rPr>
          <w:rFonts w:eastAsia="微软雅黑"/>
          <w:rFonts w:ascii="微软雅黑" w:hAnsi="微软雅黑"/>
          <w:sz w:val="22"/>
        </w:rPr>
        <w:t xml:space="preserve">    2.2 分层架构</w:t>
      </w:r>
    </w:p>
    <w:p>
      <w:pPr>
        <w:spacing w:after="40"/>
      </w:pPr>
      <w:r>
        <w:rPr>
          <w:rFonts w:eastAsia="微软雅黑"/>
          <w:rFonts w:ascii="微软雅黑" w:hAnsi="微软雅黑"/>
          <w:sz w:val="22"/>
        </w:rPr>
        <w:t xml:space="preserve">    2.3 实体模型 (E-R)</w:t>
      </w:r>
    </w:p>
    <w:p>
      <w:pPr>
        <w:spacing w:after="40"/>
      </w:pPr>
      <w:r>
        <w:rPr>
          <w:rFonts w:eastAsia="微软雅黑"/>
          <w:rFonts w:ascii="微软雅黑" w:hAnsi="微软雅黑"/>
          <w:sz w:val="22"/>
        </w:rPr>
        <w:t xml:space="preserve">    2.4 安全架构</w:t>
      </w:r>
    </w:p>
    <w:p>
      <w:pPr>
        <w:spacing w:after="40"/>
      </w:pPr>
      <w:r>
        <w:rPr>
          <w:rFonts w:eastAsia="微软雅黑"/>
          <w:rFonts w:ascii="微软雅黑" w:hAnsi="微软雅黑"/>
          <w:sz w:val="22"/>
        </w:rPr>
        <w:t xml:space="preserve">    2.5 核心业务规则</w:t>
      </w:r>
    </w:p>
    <w:p>
      <w:pPr>
        <w:spacing w:after="40"/>
      </w:pPr>
      <w:r>
        <w:rPr>
          <w:rFonts w:eastAsia="微软雅黑"/>
          <w:rFonts w:ascii="微软雅黑" w:hAnsi="微软雅黑"/>
          <w:sz w:val="22"/>
        </w:rPr>
        <w:t xml:space="preserve">    2.6 DTO / VO 层</w:t>
      </w:r>
    </w:p>
    <w:p>
      <w:pPr>
        <w:spacing w:after="40"/>
      </w:pPr>
      <w:r>
        <w:rPr>
          <w:rFonts w:eastAsia="微软雅黑"/>
          <w:rFonts w:ascii="微软雅黑" w:hAnsi="微软雅黑"/>
          <w:sz w:val="22"/>
        </w:rPr>
        <w:t xml:space="preserve">    2.7 数据初始化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color w:val="FFB7C5"/>
          <w:sz w:val="36"/>
        </w:rPr>
        <w:t>一、前端功能</w:t>
      </w:r>
    </w:p>
    <w:p>
      <w:pPr>
        <w:pStyle w:val="Heading2"/>
      </w:pPr>
      <w:r>
        <w:rPr>
          <w:rFonts w:eastAsia="微软雅黑"/>
          <w:rFonts w:ascii="微软雅黑" w:hAnsi="微软雅黑"/>
          <w:color w:val="FFB7C5"/>
          <w:sz w:val="28"/>
        </w:rPr>
        <w:t>1.1 技术栈</w:t>
      </w:r>
    </w:p>
    <w:p>
      <w:r>
        <w:rPr>
          <w:rFonts w:eastAsia="微软雅黑"/>
          <w:rFonts w:ascii="微软雅黑" w:hAnsi="微软雅黑"/>
          <w:b w:val="0"/>
          <w:sz w:val="21"/>
        </w:rPr>
        <w:t>前端采用服务端渲染（SSR）架构，无 Node.js / npm 工具链，所有静态资源直接从后端提供。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2"/>
        <w:gridCol w:w="3022"/>
        <w:gridCol w:w="3022"/>
      </w:tblGrid>
      <w:tr>
        <w:tc>
          <w:tcPr>
            <w:tcW w:type="dxa" w:w="1984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118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版本/说明</w:t>
            </w:r>
          </w:p>
        </w:tc>
        <w:tc>
          <w:tcPr>
            <w:tcW w:type="dxa" w:w="3685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Thymeleaf</w:t>
            </w:r>
          </w:p>
        </w:tc>
        <w:tc>
          <w:tcPr>
            <w:tcW w:type="dxa" w:w="311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Spring Boot Starter 自带</w:t>
            </w:r>
          </w:p>
        </w:tc>
        <w:tc>
          <w:tcPr>
            <w:tcW w:type="dxa" w:w="368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服务端模板引擎，页面渲染与数据绑定</w:t>
            </w:r>
          </w:p>
        </w:tc>
      </w:tr>
      <w:tr>
        <w:tc>
          <w:tcPr>
            <w:tcW w:type="dxa" w:w="198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原生 CSS</w:t>
            </w:r>
          </w:p>
        </w:tc>
        <w:tc>
          <w:tcPr>
            <w:tcW w:type="dxa" w:w="3118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static/css/style.css</w:t>
            </w:r>
          </w:p>
        </w:tc>
        <w:tc>
          <w:tcPr>
            <w:tcW w:type="dxa" w:w="368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全局样式，CSS 变量管理配色方案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Vanilla JavaScript</w:t>
            </w:r>
          </w:p>
        </w:tc>
        <w:tc>
          <w:tcPr>
            <w:tcW w:type="dxa" w:w="311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ES6+ fetch API</w:t>
            </w:r>
          </w:p>
        </w:tc>
        <w:tc>
          <w:tcPr>
            <w:tcW w:type="dxa" w:w="368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页面交互、AJAX 请求、DOM 操作</w:t>
            </w:r>
          </w:p>
        </w:tc>
      </w:tr>
      <w:tr>
        <w:tc>
          <w:tcPr>
            <w:tcW w:type="dxa" w:w="198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HTMX</w:t>
            </w:r>
          </w:p>
        </w:tc>
        <w:tc>
          <w:tcPr>
            <w:tcW w:type="dxa" w:w="3118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本地化 static/js/htmx.min.js (47KB)</w:t>
            </w:r>
          </w:p>
        </w:tc>
        <w:tc>
          <w:tcPr>
            <w:tcW w:type="dxa" w:w="368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轻量级无刷新交互（局部更新）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配色方案</w:t>
            </w:r>
          </w:p>
        </w:tc>
        <w:tc>
          <w:tcPr>
            <w:tcW w:type="dxa" w:w="311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樱花粉 #FFB7C5</w:t>
            </w:r>
          </w:p>
        </w:tc>
        <w:tc>
          <w:tcPr>
            <w:tcW w:type="dxa" w:w="368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主色调，CSS 变量 --primary / --primary-light 统一管理</w:t>
            </w:r>
          </w:p>
        </w:tc>
      </w:tr>
    </w:tbl>
    <w:p/>
    <w:p>
      <w:r>
        <w:rPr>
          <w:rFonts w:eastAsia="微软雅黑"/>
          <w:rFonts w:ascii="微软雅黑" w:hAnsi="微软雅黑"/>
          <w:b/>
          <w:sz w:val="21"/>
        </w:rPr>
        <w:t>技术选型理由：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无 Node/npm 工具链：降低构建复杂度，避免前端工具链与后端 Maven 构建的割裂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Thymeleaf SSR：天然支持 Spring Security 标签和国际化，无需前后端分离的跨域配置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HTMX 本地化：不依赖 CDN，校园网环境加载稳定；仅用于轻量交互，不引入全套 SPA 框架</w:t>
      </w:r>
    </w:p>
    <w:p>
      <w:pPr>
        <w:pStyle w:val="Heading2"/>
      </w:pPr>
      <w:r>
        <w:rPr>
          <w:rFonts w:eastAsia="微软雅黑"/>
          <w:rFonts w:ascii="微软雅黑" w:hAnsi="微软雅黑"/>
          <w:color w:val="FFB7C5"/>
          <w:sz w:val="28"/>
        </w:rPr>
        <w:t>1.2 页面功能清单</w:t>
      </w:r>
    </w:p>
    <w:p>
      <w:r>
        <w:rPr>
          <w:rFonts w:eastAsia="微软雅黑"/>
          <w:rFonts w:ascii="微软雅黑" w:hAnsi="微软雅黑"/>
          <w:b w:val="0"/>
          <w:sz w:val="21"/>
        </w:rPr>
        <w:t>系统共 6 个页面，覆盖完整的教务管理流程。所有页面共享导航栏（fragments.html）和认证机制。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1247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1247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路由</w:t>
            </w:r>
          </w:p>
        </w:tc>
        <w:tc>
          <w:tcPr>
            <w:tcW w:type="dxa" w:w="1587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适用角色</w:t>
            </w:r>
          </w:p>
        </w:tc>
        <w:tc>
          <w:tcPr>
            <w:tcW w:type="dxa" w:w="4706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核心功能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登录</w:t>
            </w:r>
          </w:p>
        </w:tc>
        <w:tc>
          <w:tcPr>
            <w:tcW w:type="dxa" w:w="124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/login</w:t>
            </w:r>
          </w:p>
        </w:tc>
        <w:tc>
          <w:tcPr>
            <w:tcW w:type="dxa" w:w="158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所有用户</w:t>
            </w:r>
          </w:p>
        </w:tc>
        <w:tc>
          <w:tcPr>
            <w:tcW w:type="dxa" w:w="4706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JWT 双通道认证（localStorage + Cookie），BCrypt 密码加密，登录后跳转 /index</w:t>
            </w:r>
          </w:p>
        </w:tc>
      </w:tr>
      <w:tr>
        <w:tc>
          <w:tcPr>
            <w:tcW w:type="dxa" w:w="124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注册</w:t>
            </w:r>
          </w:p>
        </w:tc>
        <w:tc>
          <w:tcPr>
            <w:tcW w:type="dxa" w:w="124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/register</w:t>
            </w:r>
          </w:p>
        </w:tc>
        <w:tc>
          <w:tcPr>
            <w:tcW w:type="dxa" w:w="158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所有用户</w:t>
            </w:r>
          </w:p>
        </w:tc>
        <w:tc>
          <w:tcPr>
            <w:tcW w:type="dxa" w:w="4706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新用户注册，填写用户名、密码、真实姓名、角色（STUDENT/TEACHER）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首页</w:t>
            </w:r>
          </w:p>
        </w:tc>
        <w:tc>
          <w:tcPr>
            <w:tcW w:type="dxa" w:w="124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/index</w:t>
            </w:r>
          </w:p>
        </w:tc>
        <w:tc>
          <w:tcPr>
            <w:tcW w:type="dxa" w:w="158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STUDENT / TEACHER / ADMIN</w:t>
            </w:r>
          </w:p>
        </w:tc>
        <w:tc>
          <w:tcPr>
            <w:tcW w:type="dxa" w:w="4706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根据角色展示不同导航入口卡片，角色自适应</w:t>
            </w:r>
          </w:p>
        </w:tc>
      </w:tr>
      <w:tr>
        <w:tc>
          <w:tcPr>
            <w:tcW w:type="dxa" w:w="124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课程浏览</w:t>
            </w:r>
          </w:p>
        </w:tc>
        <w:tc>
          <w:tcPr>
            <w:tcW w:type="dxa" w:w="124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/courses</w:t>
            </w:r>
          </w:p>
        </w:tc>
        <w:tc>
          <w:tcPr>
            <w:tcW w:type="dxa" w:w="158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所有用户</w:t>
            </w:r>
          </w:p>
        </w:tc>
        <w:tc>
          <w:tcPr>
            <w:tcW w:type="dxa" w:w="4706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课程列表展示（含多时段拼接），复选框网格选择器（5天 x 4大节），按课程名/教师名搜索，选课/退课操作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我的课表</w:t>
            </w:r>
          </w:p>
        </w:tc>
        <w:tc>
          <w:tcPr>
            <w:tcW w:type="dxa" w:w="124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/schedule</w:t>
            </w:r>
          </w:p>
        </w:tc>
        <w:tc>
          <w:tcPr>
            <w:tcW w:type="dxa" w:w="158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STUDENT</w:t>
            </w:r>
          </w:p>
        </w:tc>
        <w:tc>
          <w:tcPr>
            <w:tcW w:type="dxa" w:w="4706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周视图课表网格（周一至周五 x 4大节），每门课多时段各占独立格子，schedule 字段解析定位</w:t>
            </w:r>
          </w:p>
        </w:tc>
      </w:tr>
      <w:tr>
        <w:tc>
          <w:tcPr>
            <w:tcW w:type="dxa" w:w="124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成绩管理</w:t>
            </w:r>
          </w:p>
        </w:tc>
        <w:tc>
          <w:tcPr>
            <w:tcW w:type="dxa" w:w="124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/grades</w:t>
            </w:r>
          </w:p>
        </w:tc>
        <w:tc>
          <w:tcPr>
            <w:tcW w:type="dxa" w:w="158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STUDENT / TEACHER</w:t>
            </w:r>
          </w:p>
        </w:tc>
        <w:tc>
          <w:tcPr>
            <w:tcW w:type="dxa" w:w="4706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学生：查看已发布成绩 + GPA 汇总；教师：录入/编辑/发布/撤回成绩（DRAFT ⇄ PUBLISHED）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管理后台</w:t>
            </w:r>
          </w:p>
        </w:tc>
        <w:tc>
          <w:tcPr>
            <w:tcW w:type="dxa" w:w="124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/admin/users</w:t>
            </w:r>
          </w:p>
        </w:tc>
        <w:tc>
          <w:tcPr>
            <w:tcW w:type="dxa" w:w="158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ADMIN</w:t>
            </w:r>
          </w:p>
        </w:tc>
        <w:tc>
          <w:tcPr>
            <w:tcW w:type="dxa" w:w="4706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用户管理（重置密码、删除用户），强制删课，自我保护机制</w:t>
            </w:r>
          </w:p>
        </w:tc>
      </w:tr>
    </w:tbl>
    <w:p/>
    <w:p>
      <w:pPr>
        <w:pStyle w:val="Heading2"/>
      </w:pPr>
      <w:r>
        <w:rPr>
          <w:rFonts w:eastAsia="微软雅黑"/>
          <w:rFonts w:ascii="微软雅黑" w:hAnsi="微软雅黑"/>
          <w:color w:val="FFB7C5"/>
          <w:sz w:val="28"/>
        </w:rPr>
        <w:t>1.3 共享组件</w:t>
      </w:r>
    </w:p>
    <w:p>
      <w:r>
        <w:rPr>
          <w:rFonts w:eastAsia="微软雅黑"/>
          <w:rFonts w:ascii="微软雅黑" w:hAnsi="微软雅黑"/>
          <w:b/>
          <w:sz w:val="21"/>
        </w:rPr>
        <w:t>fragments.html（Thymeleaf Fragment 聚合文件）</w:t>
      </w:r>
    </w:p>
    <w:p>
      <w:r>
        <w:rPr>
          <w:rFonts w:eastAsia="微软雅黑"/>
          <w:rFonts w:ascii="微软雅黑" w:hAnsi="微软雅黑"/>
          <w:b w:val="0"/>
          <w:sz w:val="21"/>
        </w:rPr>
        <w:t>该文件是所有页面的公共依赖，定义了导航栏和共享 JavaScript 函数。每个页面通过以下方式引入：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&lt;div th:replace="fragments :: navbar"&gt;  &lt;!-- 导航栏 --&gt;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&lt;div th:replace="fragments :: scripts"&gt; &lt;!-- 共享 JS --&gt;</w:t>
      </w:r>
    </w:p>
    <w:p>
      <w:r>
        <w:rPr>
          <w:rFonts w:eastAsia="微软雅黑"/>
          <w:rFonts w:ascii="微软雅黑" w:hAnsi="微软雅黑"/>
          <w:b w:val="0"/>
          <w:sz w:val="21"/>
        </w:rPr>
      </w:r>
    </w:p>
    <w:p>
      <w:r>
        <w:rPr>
          <w:rFonts w:eastAsia="微软雅黑"/>
          <w:rFonts w:ascii="微软雅黑" w:hAnsi="微软雅黑"/>
          <w:b/>
          <w:sz w:val="21"/>
        </w:rPr>
        <w:t>共享 JS 函数清单：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2"/>
        <w:gridCol w:w="3022"/>
        <w:gridCol w:w="3022"/>
      </w:tblGrid>
      <w:tr>
        <w:tc>
          <w:tcPr>
            <w:tcW w:type="dxa" w:w="1984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函数名</w:t>
            </w:r>
          </w:p>
        </w:tc>
        <w:tc>
          <w:tcPr>
            <w:tcW w:type="dxa" w:w="1701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5102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esc(str)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HTML 转义</w:t>
            </w:r>
          </w:p>
        </w:tc>
        <w:tc>
          <w:tcPr>
            <w:tcW w:type="dxa" w:w="5102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防止 XSS 攻击，对 &lt; &gt; &amp; " ' 等字符进行转义</w:t>
            </w:r>
          </w:p>
        </w:tc>
      </w:tr>
      <w:tr>
        <w:tc>
          <w:tcPr>
            <w:tcW w:type="dxa" w:w="198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authHeader()</w:t>
            </w:r>
          </w:p>
        </w:tc>
        <w:tc>
          <w:tcPr>
            <w:tcW w:type="dxa" w:w="170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构造认证头</w:t>
            </w:r>
          </w:p>
        </w:tc>
        <w:tc>
          <w:tcPr>
            <w:tcW w:type="dxa" w:w="5102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从 localStorage 读取 jwxt_token，返回 { Authorization: Bearer &lt;token&gt; } 对象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showAlert(message, type)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Toast 通知</w:t>
            </w:r>
          </w:p>
        </w:tc>
        <w:tc>
          <w:tcPr>
            <w:tcW w:type="dxa" w:w="5102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页面右上角弹出消息提示，type 支持 success / error / info，3秒自动消失</w:t>
            </w:r>
          </w:p>
        </w:tc>
      </w:tr>
    </w:tbl>
    <w:p/>
    <w:p>
      <w:r>
        <w:rPr>
          <w:rFonts w:eastAsia="微软雅黑"/>
          <w:rFonts w:ascii="微软雅黑" w:hAnsi="微软雅黑"/>
          <w:b/>
          <w:sz w:val="21"/>
        </w:rPr>
        <w:t>响应式布局：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导航栏使用 flex 布局，移动端自动折叠为汉堡菜单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课表网格使用 CSS Grid，小屏幕时自动调整列宽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课程卡片使用 flex-wrap 自适应换行</w:t>
      </w:r>
    </w:p>
    <w:p>
      <w:pPr>
        <w:pStyle w:val="Heading2"/>
      </w:pPr>
      <w:r>
        <w:rPr>
          <w:rFonts w:eastAsia="微软雅黑"/>
          <w:rFonts w:ascii="微软雅黑" w:hAnsi="微软雅黑"/>
          <w:color w:val="FFB7C5"/>
          <w:sz w:val="28"/>
        </w:rPr>
        <w:t>1.4 关键前端细节</w:t>
      </w:r>
    </w:p>
    <w:p>
      <w:r>
        <w:rPr>
          <w:rFonts w:eastAsia="微软雅黑"/>
          <w:rFonts w:ascii="微软雅黑" w:hAnsi="微软雅黑"/>
          <w:b/>
          <w:sz w:val="21"/>
        </w:rPr>
        <w:t>(1) data-* 属性传值，避免 XSS 风险</w:t>
      </w:r>
    </w:p>
    <w:p>
      <w:r>
        <w:rPr>
          <w:rFonts w:eastAsia="微软雅黑"/>
          <w:rFonts w:ascii="微软雅黑" w:hAnsi="微软雅黑"/>
          <w:b w:val="0"/>
          <w:sz w:val="21"/>
        </w:rPr>
        <w:t>编辑按钮不使用内联 onclick 传参，而是将数据序列化到 data-* 属性中，由统一的事件监听器读取：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&lt;button class="btn-edit" data-course='{"id":1,"name":"机器学习"}'&gt;编辑&lt;/button&gt;</w:t>
      </w:r>
    </w:p>
    <w:p>
      <w:r>
        <w:rPr>
          <w:rFonts w:eastAsia="微软雅黑"/>
          <w:rFonts w:ascii="微软雅黑" w:hAnsi="微软雅黑"/>
          <w:b w:val="0"/>
          <w:sz w:val="21"/>
        </w:rPr>
        <w:t>事件监听器通过 JSON.parse(el.dataset.course) 安全还原数据，避免内联 JS 注入和参数引号转义问题。</w:t>
      </w:r>
    </w:p>
    <w:p>
      <w:r>
        <w:rPr>
          <w:rFonts w:eastAsia="微软雅黑"/>
          <w:rFonts w:ascii="微软雅黑" w:hAnsi="微软雅黑"/>
          <w:b/>
          <w:sz w:val="21"/>
        </w:rPr>
        <w:t>(2) schedule 字段格式与课表解析</w:t>
      </w:r>
    </w:p>
    <w:p>
      <w:r>
        <w:rPr>
          <w:rFonts w:eastAsia="微软雅黑"/>
          <w:rFonts w:ascii="微软雅黑" w:hAnsi="微软雅黑"/>
          <w:b w:val="0"/>
          <w:sz w:val="21"/>
        </w:rPr>
        <w:t>schedule 字段格式为 周X HH:MM-HH:MM，例如 周一 10:20-12:00、周三 14:30-16:10。</w:t>
      </w:r>
    </w:p>
    <w:p>
      <w:r>
        <w:rPr>
          <w:rFonts w:eastAsia="微软雅黑"/>
          <w:rFonts w:ascii="微软雅黑" w:hAnsi="微软雅黑"/>
          <w:b w:val="0"/>
          <w:sz w:val="21"/>
        </w:rPr>
        <w:t>前端的 parseSchedule() 函数提取"周X"定位列（周一=第1列）、开始时间定位行，将课程渲染到课表网格对应位置。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2"/>
        <w:gridCol w:w="3022"/>
        <w:gridCol w:w="3022"/>
      </w:tblGrid>
      <w:tr>
        <w:tc>
          <w:tcPr>
            <w:tcW w:type="dxa" w:w="1984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课表节次</w:t>
            </w:r>
          </w:p>
        </w:tc>
        <w:tc>
          <w:tcPr>
            <w:tcW w:type="dxa" w:w="2835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时间范围</w:t>
            </w:r>
          </w:p>
        </w:tc>
        <w:tc>
          <w:tcPr>
            <w:tcW w:type="dxa" w:w="3969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对应 schedule 开始时间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第一大节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08:20 - 10:00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08:20</w:t>
            </w:r>
          </w:p>
        </w:tc>
      </w:tr>
      <w:tr>
        <w:tc>
          <w:tcPr>
            <w:tcW w:type="dxa" w:w="198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第二大节</w:t>
            </w:r>
          </w:p>
        </w:tc>
        <w:tc>
          <w:tcPr>
            <w:tcW w:type="dxa" w:w="28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10:20 - 12:00</w:t>
            </w:r>
          </w:p>
        </w:tc>
        <w:tc>
          <w:tcPr>
            <w:tcW w:type="dxa" w:w="3969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10:20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第三大节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14:30 - 16:10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14:30</w:t>
            </w:r>
          </w:p>
        </w:tc>
      </w:tr>
      <w:tr>
        <w:tc>
          <w:tcPr>
            <w:tcW w:type="dxa" w:w="198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第四大节</w:t>
            </w:r>
          </w:p>
        </w:tc>
        <w:tc>
          <w:tcPr>
            <w:tcW w:type="dxa" w:w="28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16:30 - 18:10</w:t>
            </w:r>
          </w:p>
        </w:tc>
        <w:tc>
          <w:tcPr>
            <w:tcW w:type="dxa" w:w="3969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16:30</w:t>
            </w:r>
          </w:p>
        </w:tc>
      </w:tr>
    </w:tbl>
    <w:p/>
    <w:p>
      <w:r>
        <w:rPr>
          <w:rFonts w:eastAsia="微软雅黑"/>
          <w:rFonts w:ascii="微软雅黑" w:hAnsi="微软雅黑"/>
          <w:b/>
          <w:sz w:val="21"/>
        </w:rPr>
        <w:t>(3) 课程表单多时段选择器</w:t>
      </w:r>
    </w:p>
    <w:p>
      <w:r>
        <w:rPr>
          <w:rFonts w:eastAsia="微软雅黑"/>
          <w:rFonts w:ascii="微软雅黑" w:hAnsi="微软雅黑"/>
          <w:b w:val="0"/>
          <w:sz w:val="21"/>
        </w:rPr>
        <w:t>课程创建/编辑页面使用复选框网格（5天 x 4大节），教师勾选需要的时段组合。每个勾选项对应一个 schedule/location 对。提交时前端收集为 schedules 数组，后端遍历数组创建多条 CourseSlot 记录。编辑时已有 schedule 按中文分号（；）分割回填勾选状态。</w:t>
      </w:r>
    </w:p>
    <w:p>
      <w:r>
        <w:rPr>
          <w:rFonts w:eastAsia="微软雅黑"/>
          <w:rFonts w:ascii="微软雅黑" w:hAnsi="微软雅黑"/>
          <w:b/>
          <w:sz w:val="21"/>
        </w:rPr>
        <w:t>(4) 导航栏 active 状态</w:t>
      </w:r>
    </w:p>
    <w:p>
      <w:r>
        <w:rPr>
          <w:rFonts w:eastAsia="微软雅黑"/>
          <w:rFonts w:ascii="微软雅黑" w:hAnsi="微软雅黑"/>
          <w:b w:val="0"/>
          <w:sz w:val="21"/>
        </w:rPr>
        <w:t>不使用 Thymeleaf #request 对象（Thymeleaf 3.1+ 不再默认支持），而是通过 JS 根据 window.location.pathname 动态设置当前页面的导航项高亮。</w:t>
      </w:r>
    </w:p>
    <w:p>
      <w:r>
        <w:rPr>
          <w:rFonts w:eastAsia="微软雅黑"/>
          <w:rFonts w:ascii="微软雅黑" w:hAnsi="微软雅黑"/>
          <w:b/>
          <w:sz w:val="21"/>
        </w:rPr>
        <w:t>(5) Thymeleaf JS 内联注意事项</w:t>
      </w:r>
    </w:p>
    <w:p>
      <w:r>
        <w:rPr>
          <w:rFonts w:eastAsia="微软雅黑"/>
          <w:rFonts w:ascii="微软雅黑" w:hAnsi="微软雅黑"/>
          <w:b w:val="0"/>
          <w:sz w:val="21"/>
        </w:rPr>
        <w:t>任何 &lt;script&gt; 标签中使用 [[${...}]] 表达式时，必须加 th:inline="javascript"。否则 Thymeleaf 仅替换内部值而不移除 /* */ 注释包裹，导致 JS 引擎将其当作注释跳过，变量始终取默认值。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color w:val="FFB7C5"/>
          <w:sz w:val="36"/>
        </w:rPr>
        <w:t>二、后端架构</w:t>
      </w:r>
    </w:p>
    <w:p>
      <w:pPr>
        <w:pStyle w:val="Heading2"/>
      </w:pPr>
      <w:r>
        <w:rPr>
          <w:rFonts w:eastAsia="微软雅黑"/>
          <w:rFonts w:ascii="微软雅黑" w:hAnsi="微软雅黑"/>
          <w:color w:val="FFB7C5"/>
          <w:sz w:val="28"/>
        </w:rPr>
        <w:t>2.1 技术栈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2"/>
        <w:gridCol w:w="3022"/>
        <w:gridCol w:w="3022"/>
      </w:tblGrid>
      <w:tr>
        <w:tc>
          <w:tcPr>
            <w:tcW w:type="dxa" w:w="1984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1984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版本/说明</w:t>
            </w:r>
          </w:p>
        </w:tc>
        <w:tc>
          <w:tcPr>
            <w:tcW w:type="dxa" w:w="4819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Java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17</w:t>
            </w:r>
          </w:p>
        </w:tc>
        <w:tc>
          <w:tcPr>
            <w:tcW w:type="dxa" w:w="4819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运行环境，LTS 版本</w:t>
            </w:r>
          </w:p>
        </w:tc>
      </w:tr>
      <w:tr>
        <w:tc>
          <w:tcPr>
            <w:tcW w:type="dxa" w:w="198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Spring Boot</w:t>
            </w:r>
          </w:p>
        </w:tc>
        <w:tc>
          <w:tcPr>
            <w:tcW w:type="dxa" w:w="198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3.x</w:t>
            </w:r>
          </w:p>
        </w:tc>
        <w:tc>
          <w:tcPr>
            <w:tcW w:type="dxa" w:w="4819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应用框架，自动配置、内嵌 Tomcat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Spring Data JPA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Hibernate 实现</w:t>
            </w:r>
          </w:p>
        </w:tc>
        <w:tc>
          <w:tcPr>
            <w:tcW w:type="dxa" w:w="4819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ORM 持久化，ddl-auto: update 自动建表</w:t>
            </w:r>
          </w:p>
        </w:tc>
      </w:tr>
      <w:tr>
        <w:tc>
          <w:tcPr>
            <w:tcW w:type="dxa" w:w="198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Spring Security</w:t>
            </w:r>
          </w:p>
        </w:tc>
        <w:tc>
          <w:tcPr>
            <w:tcW w:type="dxa" w:w="198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6.x</w:t>
            </w:r>
          </w:p>
        </w:tc>
        <w:tc>
          <w:tcPr>
            <w:tcW w:type="dxa" w:w="4819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认证与授权，JWT 无状态会话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MySQL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8.0</w:t>
            </w:r>
          </w:p>
        </w:tc>
        <w:tc>
          <w:tcPr>
            <w:tcW w:type="dxa" w:w="4819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关系型数据库，InnoDB 引擎</w:t>
            </w:r>
          </w:p>
        </w:tc>
      </w:tr>
      <w:tr>
        <w:tc>
          <w:tcPr>
            <w:tcW w:type="dxa" w:w="198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JWT (jjwt)</w:t>
            </w:r>
          </w:p>
        </w:tc>
        <w:tc>
          <w:tcPr>
            <w:tcW w:type="dxa" w:w="198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0.12.x</w:t>
            </w:r>
          </w:p>
        </w:tc>
        <w:tc>
          <w:tcPr>
            <w:tcW w:type="dxa" w:w="4819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JSON Web Token，无状态身份认证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BCrypt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Spring Security 内置</w:t>
            </w:r>
          </w:p>
        </w:tc>
        <w:tc>
          <w:tcPr>
            <w:tcW w:type="dxa" w:w="4819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密码哈希加密</w:t>
            </w:r>
          </w:p>
        </w:tc>
      </w:tr>
      <w:tr>
        <w:tc>
          <w:tcPr>
            <w:tcW w:type="dxa" w:w="198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Maven</w:t>
            </w:r>
          </w:p>
        </w:tc>
        <w:tc>
          <w:tcPr>
            <w:tcW w:type="dxa" w:w="198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3.9.x</w:t>
            </w:r>
          </w:p>
        </w:tc>
        <w:tc>
          <w:tcPr>
            <w:tcW w:type="dxa" w:w="4819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项目构建与依赖管理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Thymeleaf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3.x</w:t>
            </w:r>
          </w:p>
        </w:tc>
        <w:tc>
          <w:tcPr>
            <w:tcW w:type="dxa" w:w="4819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服务端模板引擎</w:t>
            </w:r>
          </w:p>
        </w:tc>
      </w:tr>
      <w:tr>
        <w:tc>
          <w:tcPr>
            <w:tcW w:type="dxa" w:w="198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SpringDoc OpenAPI</w:t>
            </w:r>
          </w:p>
        </w:tc>
        <w:tc>
          <w:tcPr>
            <w:tcW w:type="dxa" w:w="198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2.x</w:t>
            </w:r>
          </w:p>
        </w:tc>
        <w:tc>
          <w:tcPr>
            <w:tcW w:type="dxa" w:w="4819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API 文档自动生成（/swagger-ui.html）</w:t>
            </w:r>
          </w:p>
        </w:tc>
      </w:tr>
    </w:tbl>
    <w:p/>
    <w:p>
      <w:pPr>
        <w:pStyle w:val="Heading2"/>
      </w:pPr>
      <w:r>
        <w:rPr>
          <w:rFonts w:eastAsia="微软雅黑"/>
          <w:rFonts w:ascii="微软雅黑" w:hAnsi="微软雅黑"/>
          <w:color w:val="FFB7C5"/>
          <w:sz w:val="28"/>
        </w:rPr>
        <w:t>2.2 分层架构</w:t>
      </w:r>
    </w:p>
    <w:p>
      <w:r>
        <w:rPr>
          <w:rFonts w:eastAsia="微软雅黑"/>
          <w:rFonts w:ascii="微软雅黑" w:hAnsi="微软雅黑"/>
          <w:b w:val="0"/>
          <w:sz w:val="21"/>
        </w:rPr>
        <w:t>系统严格遵循经典四层架构，自上而下单向依赖：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┌─────────────────────────────────────────┐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│  Controller 层                           │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│  PageController (页面路由)                │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│  + @RestController 类 (REST API JSON)    │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├─────────────────────────────────────────┤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│  Service 层                              │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│  业务逻辑、事务管理、权限校验              │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├─────────────────────────────────────────┤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│  Repository 层 (Spring Data JPA)         │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│  数据访问、自定义查询方法                 │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├─────────────────────────────────────────┤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│  Entity 层 (4个实体)                     │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│  User / Course / CourseSlot / Enrollment  │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└─────────────────────────────────────────┘</w:t>
      </w:r>
    </w:p>
    <w:p>
      <w:r>
        <w:rPr>
          <w:rFonts w:eastAsia="微软雅黑"/>
          <w:rFonts w:ascii="微软雅黑" w:hAnsi="微软雅黑"/>
          <w:b w:val="0"/>
          <w:sz w:val="21"/>
        </w:rPr>
      </w:r>
    </w:p>
    <w:p>
      <w:r>
        <w:rPr>
          <w:rFonts w:eastAsia="微软雅黑"/>
          <w:rFonts w:ascii="微软雅黑" w:hAnsi="微软雅黑"/>
          <w:b/>
          <w:sz w:val="21"/>
        </w:rPr>
        <w:t>各层职责说明：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2"/>
        <w:gridCol w:w="3022"/>
        <w:gridCol w:w="3022"/>
      </w:tblGrid>
      <w:tr>
        <w:tc>
          <w:tcPr>
            <w:tcW w:type="dxa" w:w="1417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701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包路径</w:t>
            </w:r>
          </w:p>
        </w:tc>
        <w:tc>
          <w:tcPr>
            <w:tcW w:type="dxa" w:w="5669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Controller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controller/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接收 HTTP 请求，参数校验，调用 Service，返回 ModelAndView 或 Result&lt;T&gt;</w:t>
            </w:r>
          </w:p>
        </w:tc>
      </w:tr>
      <w:tr>
        <w:tc>
          <w:tcPr>
            <w:tcW w:type="dxa" w:w="141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Service</w:t>
            </w:r>
          </w:p>
        </w:tc>
        <w:tc>
          <w:tcPr>
            <w:tcW w:type="dxa" w:w="170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service/</w:t>
            </w:r>
          </w:p>
        </w:tc>
        <w:tc>
          <w:tcPr>
            <w:tcW w:type="dxa" w:w="5669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核心业务逻辑实现，事务边界控制（@Transactional），抛出 BusinessException 表示业务异常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Repository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repository/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JPA 数据访问接口，声明自定义查询方法（如 findByUsername、countByCourseId 等）</w:t>
            </w:r>
          </w:p>
        </w:tc>
      </w:tr>
      <w:tr>
        <w:tc>
          <w:tcPr>
            <w:tcW w:type="dxa" w:w="141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Entity</w:t>
            </w:r>
          </w:p>
        </w:tc>
        <w:tc>
          <w:tcPr>
            <w:tcW w:type="dxa" w:w="170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entity/</w:t>
            </w:r>
          </w:p>
        </w:tc>
        <w:tc>
          <w:tcPr>
            <w:tcW w:type="dxa" w:w="5669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JPA 实体定义，映射数据库表，定义关联关系和字段约束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Config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config/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Spring Security 配置、JWT Filter、CORS 配置等</w:t>
            </w:r>
          </w:p>
        </w:tc>
      </w:tr>
      <w:tr>
        <w:tc>
          <w:tcPr>
            <w:tcW w:type="dxa" w:w="141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DTO/VO</w:t>
            </w:r>
          </w:p>
        </w:tc>
        <w:tc>
          <w:tcPr>
            <w:tcW w:type="dxa" w:w="170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dto/</w:t>
            </w:r>
          </w:p>
        </w:tc>
        <w:tc>
          <w:tcPr>
            <w:tcW w:type="dxa" w:w="5669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数据传输对象（入参 Request）和视图对象（返回值 VO）</w:t>
            </w:r>
          </w:p>
        </w:tc>
      </w:tr>
    </w:tbl>
    <w:p/>
    <w:p>
      <w:pPr>
        <w:pStyle w:val="Heading2"/>
      </w:pPr>
      <w:r>
        <w:rPr>
          <w:rFonts w:eastAsia="微软雅黑"/>
          <w:rFonts w:ascii="微软雅黑" w:hAnsi="微软雅黑"/>
          <w:color w:val="FFB7C5"/>
          <w:sz w:val="28"/>
        </w:rPr>
        <w:t>2.3 实体模型 (E-R)</w:t>
      </w:r>
    </w:p>
    <w:p>
      <w:r>
        <w:rPr>
          <w:rFonts w:eastAsia="微软雅黑"/>
          <w:rFonts w:ascii="微软雅黑" w:hAnsi="微软雅黑"/>
          <w:b w:val="0"/>
          <w:sz w:val="21"/>
        </w:rPr>
        <w:t>系统共 4 个实体，关系如下图所示（v4.1 已将 Grade 合并至 Enrollment）：</w:t>
      </w:r>
    </w:p>
    <w:p>
      <w:r>
        <w:rPr>
          <w:rFonts w:eastAsia="微软雅黑"/>
          <w:rFonts w:ascii="微软雅黑" w:hAnsi="微软雅黑"/>
          <w:b w:val="0"/>
          <w:sz w:val="21"/>
        </w:rPr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User (1) ────&lt; (N) Enrollment &gt;──── (1) Course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                                  │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Course (1) ────&lt; (N) CourseSlot  │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1247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实体</w:t>
            </w:r>
          </w:p>
        </w:tc>
        <w:tc>
          <w:tcPr>
            <w:tcW w:type="dxa" w:w="1247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对应表</w:t>
            </w:r>
          </w:p>
        </w:tc>
        <w:tc>
          <w:tcPr>
            <w:tcW w:type="dxa" w:w="2835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核心字段</w:t>
            </w:r>
          </w:p>
        </w:tc>
        <w:tc>
          <w:tcPr>
            <w:tcW w:type="dxa" w:w="3458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User</w:t>
            </w:r>
          </w:p>
        </w:tc>
        <w:tc>
          <w:tcPr>
            <w:tcW w:type="dxa" w:w="124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user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id, username, password, role, realName, email, phone</w:t>
            </w:r>
          </w:p>
        </w:tc>
        <w:tc>
          <w:tcPr>
            <w:tcW w:type="dxa" w:w="34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用户表。role 枚举：STUDENT / TEACHER / ADMIN</w:t>
            </w:r>
          </w:p>
        </w:tc>
      </w:tr>
      <w:tr>
        <w:tc>
          <w:tcPr>
            <w:tcW w:type="dxa" w:w="124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Course</w:t>
            </w:r>
          </w:p>
        </w:tc>
        <w:tc>
          <w:tcPr>
            <w:tcW w:type="dxa" w:w="124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course</w:t>
            </w:r>
          </w:p>
        </w:tc>
        <w:tc>
          <w:tcPr>
            <w:tcW w:type="dxa" w:w="28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id, name, description, credits, maxStudents, teacherId (可空), createdAt</w:t>
            </w:r>
          </w:p>
        </w:tc>
        <w:tc>
          <w:tcPr>
            <w:tcW w:type="dxa" w:w="3458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课程表。teacherId 可为 null，支持先建课后分派教师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CourseSlot</w:t>
            </w:r>
          </w:p>
        </w:tc>
        <w:tc>
          <w:tcPr>
            <w:tcW w:type="dxa" w:w="124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course_slot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id, courseId, schedule, location</w:t>
            </w:r>
          </w:p>
        </w:tc>
        <w:tc>
          <w:tcPr>
            <w:tcW w:type="dxa" w:w="345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课程时段表。一个课程可有多个时段（多对一关联 Course）</w:t>
            </w:r>
          </w:p>
        </w:tc>
      </w:tr>
      <w:tr>
        <w:tc>
          <w:tcPr>
            <w:tcW w:type="dxa" w:w="124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Enrollment</w:t>
            </w:r>
          </w:p>
        </w:tc>
        <w:tc>
          <w:tcPr>
            <w:tcW w:type="dxa" w:w="124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enrollment</w:t>
            </w:r>
          </w:p>
        </w:tc>
        <w:tc>
          <w:tcPr>
            <w:tcW w:type="dxa" w:w="28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id, studentId, courseId, enrolledAt, score, gpaPoint, status, publishedAt</w:t>
            </w:r>
          </w:p>
        </w:tc>
        <w:tc>
          <w:tcPr>
            <w:tcW w:type="dxa" w:w="3458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选课表（含成绩字段）。status: null=未录入, DRAFT=草稿, PUBLISHED=已发布</w:t>
            </w:r>
          </w:p>
        </w:tc>
      </w:tr>
    </w:tbl>
    <w:p/>
    <w:p>
      <w:r>
        <w:rPr>
          <w:rFonts w:eastAsia="微软雅黑"/>
          <w:rFonts w:ascii="微软雅黑" w:hAnsi="微软雅黑"/>
          <w:b/>
          <w:sz w:val="21"/>
        </w:rPr>
        <w:t>实体关系详解：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User (Student) 1:N Enrollment N:1 Course：学生选课，中间表为 Enrollment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Course 1:N CourseSlot：一个课程包含多个上课时段，每个时段有独立的 schedule 和 location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User (Teacher) 1:N Course：教师与其所授课程关联（通过 Course.teacherId 外键，可为空）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Enrollment 承载完整成绩生命周期：score（分数）、gpaPoint（绩点）、status（null/DRAFT/PUBLISHED）、publishedAt（发布时间）</w:t>
      </w:r>
    </w:p>
    <w:p>
      <w:pPr>
        <w:pStyle w:val="Heading2"/>
      </w:pPr>
      <w:r>
        <w:rPr>
          <w:rFonts w:eastAsia="微软雅黑"/>
          <w:rFonts w:ascii="微软雅黑" w:hAnsi="微软雅黑"/>
          <w:color w:val="FFB7C5"/>
          <w:sz w:val="28"/>
        </w:rPr>
        <w:t>2.4 安全架构</w:t>
      </w:r>
    </w:p>
    <w:p>
      <w:r>
        <w:rPr>
          <w:rFonts w:eastAsia="微软雅黑"/>
          <w:rFonts w:ascii="微软雅黑" w:hAnsi="微软雅黑"/>
          <w:b/>
          <w:sz w:val="21"/>
        </w:rPr>
        <w:t>(1) JWT 认证流程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客户端登录 ──POST /api/auth/login──▶ AuthController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                                      │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                                      ▼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                             UserService.authenticate()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                             (BCrypt 校验密码)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                                      │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                                      ▼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                             生成 JWT (sub=userId, 24h 有效期)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                                      │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                                      ▼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客户端存储 ◀── 返回 {token, username, role} ──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├─ localStorage: jwxt_token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└─ Cookie: jwxt_token            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后续请求: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JwtAuthenticationFilter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├─ 优先从 Header (Authorization: Bearer &lt;token&gt;) 提取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└─ 回退从 Cookie (jwxt_token) 提取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       │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       ▼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解析 JWT → 构建 Authentication (principal=username, credentials=userId, authorities=[ROLE_xxx])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       │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       ▼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SecurityContextHolder 设置身份 → 后续 Controller 通过 auth.getCredentials() 获取 userId</w:t>
      </w:r>
    </w:p>
    <w:p>
      <w:r>
        <w:rPr>
          <w:rFonts w:eastAsia="微软雅黑"/>
          <w:rFonts w:ascii="微软雅黑" w:hAnsi="微软雅黑"/>
          <w:b w:val="0"/>
          <w:sz w:val="21"/>
        </w:rPr>
      </w:r>
    </w:p>
    <w:p>
      <w:r>
        <w:rPr>
          <w:rFonts w:eastAsia="微软雅黑"/>
          <w:rFonts w:ascii="微软雅黑" w:hAnsi="微软雅黑"/>
          <w:b/>
          <w:sz w:val="21"/>
        </w:rPr>
        <w:t>(2) 权限控制矩阵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2"/>
        <w:gridCol w:w="3022"/>
        <w:gridCol w:w="3022"/>
      </w:tblGrid>
      <w:tr>
        <w:tc>
          <w:tcPr>
            <w:tcW w:type="dxa" w:w="2551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URL 模式</w:t>
            </w:r>
          </w:p>
        </w:tc>
        <w:tc>
          <w:tcPr>
            <w:tcW w:type="dxa" w:w="1701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所需角色</w:t>
            </w:r>
          </w:p>
        </w:tc>
        <w:tc>
          <w:tcPr>
            <w:tcW w:type="dxa" w:w="4535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/api/auth/**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公开 (permitAll)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登录、注册接口</w:t>
            </w:r>
          </w:p>
        </w:tc>
      </w:tr>
      <w:tr>
        <w:tc>
          <w:tcPr>
            <w:tcW w:type="dxa" w:w="255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GET /api/courses/**</w:t>
            </w:r>
          </w:p>
        </w:tc>
        <w:tc>
          <w:tcPr>
            <w:tcW w:type="dxa" w:w="170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公开 (permitAll)</w:t>
            </w:r>
          </w:p>
        </w:tc>
        <w:tc>
          <w:tcPr>
            <w:tcW w:type="dxa" w:w="45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浏览课程列表和详情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POST /api/courses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TEACHER, ADMIN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创建课程（含时段）</w:t>
            </w:r>
          </w:p>
        </w:tc>
      </w:tr>
      <w:tr>
        <w:tc>
          <w:tcPr>
            <w:tcW w:type="dxa" w:w="255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PUT /api/courses/**</w:t>
            </w:r>
          </w:p>
        </w:tc>
        <w:tc>
          <w:tcPr>
            <w:tcW w:type="dxa" w:w="170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TEACHER, ADMIN</w:t>
            </w:r>
          </w:p>
        </w:tc>
        <w:tc>
          <w:tcPr>
            <w:tcW w:type="dxa" w:w="45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编辑课程信息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DELETE /api/courses/**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TEACHER, ADMIN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删除课程（TEACHER 仅可删自己课程）</w:t>
            </w:r>
          </w:p>
        </w:tc>
      </w:tr>
      <w:tr>
        <w:tc>
          <w:tcPr>
            <w:tcW w:type="dxa" w:w="255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/api/enrollments/**</w:t>
            </w:r>
          </w:p>
        </w:tc>
        <w:tc>
          <w:tcPr>
            <w:tcW w:type="dxa" w:w="170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STUDENT</w:t>
            </w:r>
          </w:p>
        </w:tc>
        <w:tc>
          <w:tcPr>
            <w:tcW w:type="dxa" w:w="45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选课、退课、查看选课列表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/api/grades/teacher/**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TEACHER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教师录入成绩、发布、撤回</w:t>
            </w:r>
          </w:p>
        </w:tc>
      </w:tr>
      <w:tr>
        <w:tc>
          <w:tcPr>
            <w:tcW w:type="dxa" w:w="255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/api/admin/**</w:t>
            </w:r>
          </w:p>
        </w:tc>
        <w:tc>
          <w:tcPr>
            <w:tcW w:type="dxa" w:w="170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ADMIN</w:t>
            </w:r>
          </w:p>
        </w:tc>
        <w:tc>
          <w:tcPr>
            <w:tcW w:type="dxa" w:w="45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用户管理、强制删课、重置密码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其他所有请求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authenticated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需登录即可，不限定角色</w:t>
            </w:r>
          </w:p>
        </w:tc>
      </w:tr>
    </w:tbl>
    <w:p/>
    <w:p>
      <w:r>
        <w:rPr>
          <w:rFonts w:eastAsia="微软雅黑"/>
          <w:rFonts w:ascii="微软雅黑" w:hAnsi="微软雅黑"/>
          <w:b w:val="0"/>
          <w:sz w:val="21"/>
        </w:rPr>
      </w:r>
    </w:p>
    <w:p>
      <w:r>
        <w:rPr>
          <w:rFonts w:eastAsia="微软雅黑"/>
          <w:rFonts w:ascii="微软雅黑" w:hAnsi="微软雅黑"/>
          <w:b/>
          <w:sz w:val="21"/>
        </w:rPr>
        <w:t>(3) 双重权限控制机制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URL 级：SecurityConfig 中通过 requestMatchers 配置粗粒度拦截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方法级：Controller 方法上使用 @PreAuthorize("hasRole('ADMIN')") 等注解实现细粒度控制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CSRF 已禁用（前后端分离式 API 不需要 CSRF 保护）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会话策略为 STATELESS（无状态），每次请求独立认证，不依赖 HttpSession</w:t>
      </w:r>
    </w:p>
    <w:p>
      <w:pPr>
        <w:pStyle w:val="Heading2"/>
      </w:pPr>
      <w:r>
        <w:rPr>
          <w:rFonts w:eastAsia="微软雅黑"/>
          <w:rFonts w:ascii="微软雅黑" w:hAnsi="微软雅黑"/>
          <w:color w:val="FFB7C5"/>
          <w:sz w:val="28"/>
        </w:rPr>
        <w:t>2.5 核心业务规则</w:t>
      </w:r>
    </w:p>
    <w:p>
      <w:r>
        <w:rPr>
          <w:rFonts w:eastAsia="微软雅黑"/>
          <w:rFonts w:ascii="微软雅黑" w:hAnsi="微软雅黑"/>
          <w:b/>
          <w:sz w:val="21"/>
        </w:rPr>
        <w:t>(1) 选课规则</w:t>
      </w:r>
    </w:p>
    <w:p>
      <w:r>
        <w:rPr>
          <w:rFonts w:eastAsia="微软雅黑"/>
          <w:rFonts w:ascii="微软雅黑" w:hAnsi="微软雅黑"/>
          <w:b w:val="0"/>
          <w:sz w:val="21"/>
        </w:rPr>
        <w:t>学生选课时需通过三重校验，任一失败均抛出 BusinessException 并返回对应错误提示：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2"/>
        <w:gridCol w:w="3022"/>
        <w:gridCol w:w="3022"/>
      </w:tblGrid>
      <w:tr>
        <w:tc>
          <w:tcPr>
            <w:tcW w:type="dxa" w:w="1417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校验项</w:t>
            </w:r>
          </w:p>
        </w:tc>
        <w:tc>
          <w:tcPr>
            <w:tcW w:type="dxa" w:w="3118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4252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实现方式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容量上限</w:t>
            </w:r>
          </w:p>
        </w:tc>
        <w:tc>
          <w:tcPr>
            <w:tcW w:type="dxa" w:w="311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enrollmentRepository.countByCourseId() &lt; course.maxStudents</w:t>
            </w:r>
          </w:p>
        </w:tc>
        <w:tc>
          <w:tcPr>
            <w:tcW w:type="dxa" w:w="4252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选课前查询已选人数，等于上限时拒绝</w:t>
            </w:r>
          </w:p>
        </w:tc>
      </w:tr>
      <w:tr>
        <w:tc>
          <w:tcPr>
            <w:tcW w:type="dxa" w:w="141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学分上限</w:t>
            </w:r>
          </w:p>
        </w:tc>
        <w:tc>
          <w:tcPr>
            <w:tcW w:type="dxa" w:w="3118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已选课程总学分 + 新课程学分 ≤ 30</w:t>
            </w:r>
          </w:p>
        </w:tc>
        <w:tc>
          <w:tcPr>
            <w:tcW w:type="dxa" w:w="4252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EnrollmentRepository.sumCreditByStudentId() 汇总已选学分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时间冲突</w:t>
            </w:r>
          </w:p>
        </w:tc>
        <w:tc>
          <w:tcPr>
            <w:tcW w:type="dxa" w:w="311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同一学生已选课程的所有 CourseSlot 与新课程的所有 CourseSlot 无 schedule 字符串交集</w:t>
            </w:r>
          </w:p>
        </w:tc>
        <w:tc>
          <w:tcPr>
            <w:tcW w:type="dxa" w:w="4252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批量加载已选课程 slot 后在内存中做 O(n*m) 比对</w:t>
            </w:r>
          </w:p>
        </w:tc>
      </w:tr>
    </w:tbl>
    <w:p/>
    <w:p>
      <w:r>
        <w:rPr>
          <w:rFonts w:eastAsia="微软雅黑"/>
          <w:rFonts w:ascii="微软雅黑" w:hAnsi="微软雅黑"/>
          <w:b w:val="0"/>
          <w:sz w:val="21"/>
        </w:rPr>
      </w:r>
    </w:p>
    <w:p>
      <w:r>
        <w:rPr>
          <w:rFonts w:eastAsia="微软雅黑"/>
          <w:rFonts w:ascii="微软雅黑" w:hAnsi="微软雅黑"/>
          <w:b/>
          <w:sz w:val="21"/>
        </w:rPr>
        <w:t>(2) 成绩管理流程</w:t>
      </w:r>
    </w:p>
    <w:p>
      <w:r>
        <w:rPr>
          <w:rFonts w:eastAsia="微软雅黑"/>
          <w:rFonts w:ascii="微软雅黑" w:hAnsi="微软雅黑"/>
          <w:b w:val="0"/>
          <w:sz w:val="21"/>
        </w:rPr>
        <w:t>成绩状态机为双向可逆的 DRAFT - PUBLISHED 模型：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        教师保存成绩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null ──────────▶ DRAFT ◀────────── PUBLISHED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                  │    教师撤回       ▲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                  │                   │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                  └─── 教师发布 ──────┘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规则：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- DRAFT: 仅教师可见，学生不可见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- PUBLISHED: 学生可见，计入 GPA 计算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- 已发布成绩不可直接修改，需先撤回至 DRAFT 再编辑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- DRAFT ⇄ PUBLISHED 双向可逆，无单向限制</w:t>
      </w:r>
    </w:p>
    <w:p>
      <w:r>
        <w:rPr>
          <w:rFonts w:eastAsia="微软雅黑"/>
          <w:rFonts w:ascii="微软雅黑" w:hAnsi="微软雅黑"/>
          <w:b w:val="0"/>
          <w:sz w:val="21"/>
        </w:rPr>
      </w:r>
    </w:p>
    <w:p>
      <w:r>
        <w:rPr>
          <w:rFonts w:eastAsia="微软雅黑"/>
          <w:rFonts w:ascii="微软雅黑" w:hAnsi="微软雅黑"/>
          <w:b/>
          <w:sz w:val="21"/>
        </w:rPr>
        <w:t>GPA 计算规则：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采用标准 4.0 算法，仅计算 status=PUBLISHED 的成绩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单科绩点 (gpaPoint) = (score - 60) / 10 + 1.0 （60 分以下为 0）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总 GPA = (∑ gpaPoint × credit) / ∑ credit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成绩 roster API（getCourseGrades）返回课程全部选课学生，status 为 null 显示"未录入"</w:t>
      </w:r>
    </w:p>
    <w:p>
      <w:r>
        <w:rPr>
          <w:rFonts w:eastAsia="微软雅黑"/>
          <w:rFonts w:ascii="微软雅黑" w:hAnsi="微软雅黑"/>
          <w:b w:val="0"/>
          <w:sz w:val="21"/>
        </w:rPr>
      </w:r>
    </w:p>
    <w:p>
      <w:r>
        <w:rPr>
          <w:rFonts w:eastAsia="微软雅黑"/>
          <w:rFonts w:ascii="微软雅黑" w:hAnsi="微软雅黑"/>
          <w:b/>
          <w:sz w:val="21"/>
        </w:rPr>
        <w:t>(3) 管理员特权规则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2"/>
        <w:gridCol w:w="3022"/>
        <w:gridCol w:w="3022"/>
      </w:tblGrid>
      <w:tr>
        <w:tc>
          <w:tcPr>
            <w:tcW w:type="dxa" w:w="1417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35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4535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规则说明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强制删课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DELETE /api/courses/{id} (CourseService.forceDelete)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无视选课人数限制；级联删除关联 Enrollment + CourseSlot 记录</w:t>
            </w:r>
          </w:p>
        </w:tc>
      </w:tr>
      <w:tr>
        <w:tc>
          <w:tcPr>
            <w:tcW w:type="dxa" w:w="141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重置密码</w:t>
            </w:r>
          </w:p>
        </w:tc>
        <w:tc>
          <w:tcPr>
            <w:tcW w:type="dxa" w:w="28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PUT /api/admin/users/{id}/reset-password</w:t>
            </w:r>
          </w:p>
        </w:tc>
        <w:tc>
          <w:tcPr>
            <w:tcW w:type="dxa" w:w="45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将指定用户密码重置为默认值 123456（BCrypt 加密后写入）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删除用户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DELETE /api/admin/users/{id}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级联清理该用户的选课和成绩；若为教师则同时删除其所有课程及关联时段</w:t>
            </w:r>
          </w:p>
        </w:tc>
      </w:tr>
      <w:tr>
        <w:tc>
          <w:tcPr>
            <w:tcW w:type="dxa" w:w="141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自我保护</w:t>
            </w:r>
          </w:p>
        </w:tc>
        <w:tc>
          <w:tcPr>
            <w:tcW w:type="dxa" w:w="28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删除自己或 ADMIN → 403</w:t>
            </w:r>
          </w:p>
        </w:tc>
        <w:tc>
          <w:tcPr>
            <w:tcW w:type="dxa" w:w="45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不能删除自己，不能删除 ADMIN 角色用户</w:t>
            </w:r>
          </w:p>
        </w:tc>
      </w:tr>
    </w:tbl>
    <w:p/>
    <w:p>
      <w:pPr>
        <w:pStyle w:val="Heading2"/>
      </w:pPr>
      <w:r>
        <w:rPr>
          <w:rFonts w:eastAsia="微软雅黑"/>
          <w:rFonts w:ascii="微软雅黑" w:hAnsi="微软雅黑"/>
          <w:color w:val="FFB7C5"/>
          <w:sz w:val="28"/>
        </w:rPr>
        <w:t>2.6 DTO / VO 层</w:t>
      </w:r>
    </w:p>
    <w:p>
      <w:r>
        <w:rPr>
          <w:rFonts w:eastAsia="微软雅黑"/>
          <w:rFonts w:ascii="微软雅黑" w:hAnsi="微软雅黑"/>
          <w:b/>
          <w:sz w:val="21"/>
        </w:rPr>
        <w:t>(1) 入参 DTO（Request）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2"/>
        <w:gridCol w:w="3022"/>
        <w:gridCol w:w="3022"/>
      </w:tblGrid>
      <w:tr>
        <w:tc>
          <w:tcPr>
            <w:tcW w:type="dxa" w:w="1984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类名</w:t>
            </w:r>
          </w:p>
        </w:tc>
        <w:tc>
          <w:tcPr>
            <w:tcW w:type="dxa" w:w="3118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685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LoginRequest</w:t>
            </w:r>
          </w:p>
        </w:tc>
        <w:tc>
          <w:tcPr>
            <w:tcW w:type="dxa" w:w="311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username, password</w:t>
            </w:r>
          </w:p>
        </w:tc>
        <w:tc>
          <w:tcPr>
            <w:tcW w:type="dxa" w:w="368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登录表单</w:t>
            </w:r>
          </w:p>
        </w:tc>
      </w:tr>
      <w:tr>
        <w:tc>
          <w:tcPr>
            <w:tcW w:type="dxa" w:w="198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RegisterRequest</w:t>
            </w:r>
          </w:p>
        </w:tc>
        <w:tc>
          <w:tcPr>
            <w:tcW w:type="dxa" w:w="3118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username, password, realName, role, email, phone</w:t>
            </w:r>
          </w:p>
        </w:tc>
        <w:tc>
          <w:tcPr>
            <w:tcW w:type="dxa" w:w="368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注册表单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CourseRequest</w:t>
            </w:r>
          </w:p>
        </w:tc>
        <w:tc>
          <w:tcPr>
            <w:tcW w:type="dxa" w:w="311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name, description, credits, maxStudents, teacherId (可选), schedules (List), location</w:t>
            </w:r>
          </w:p>
        </w:tc>
        <w:tc>
          <w:tcPr>
            <w:tcW w:type="dxa" w:w="368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课程创建/编辑（含多时段数组）</w:t>
            </w:r>
          </w:p>
        </w:tc>
      </w:tr>
      <w:tr>
        <w:tc>
          <w:tcPr>
            <w:tcW w:type="dxa" w:w="198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GradeRequest</w:t>
            </w:r>
          </w:p>
        </w:tc>
        <w:tc>
          <w:tcPr>
            <w:tcW w:type="dxa" w:w="3118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studentId, courseId, score</w:t>
            </w:r>
          </w:p>
        </w:tc>
        <w:tc>
          <w:tcPr>
            <w:tcW w:type="dxa" w:w="368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成绩录入/编辑</w:t>
            </w:r>
          </w:p>
        </w:tc>
      </w:tr>
    </w:tbl>
    <w:p/>
    <w:p>
      <w:r>
        <w:rPr>
          <w:rFonts w:eastAsia="微软雅黑"/>
          <w:rFonts w:ascii="微软雅黑" w:hAnsi="微软雅黑"/>
          <w:b w:val="0"/>
          <w:sz w:val="21"/>
        </w:rPr>
      </w:r>
    </w:p>
    <w:p>
      <w:r>
        <w:rPr>
          <w:rFonts w:eastAsia="微软雅黑"/>
          <w:rFonts w:ascii="微软雅黑" w:hAnsi="微软雅黑"/>
          <w:b/>
          <w:sz w:val="21"/>
        </w:rPr>
        <w:t>(2) 返回值 VO（View Object）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2"/>
        <w:gridCol w:w="3022"/>
        <w:gridCol w:w="3022"/>
      </w:tblGrid>
      <w:tr>
        <w:tc>
          <w:tcPr>
            <w:tcW w:type="dxa" w:w="1247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类名</w:t>
            </w:r>
          </w:p>
        </w:tc>
        <w:tc>
          <w:tcPr>
            <w:tcW w:type="dxa" w:w="3402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139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来源/拼接规则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LoginResponse</w:t>
            </w:r>
          </w:p>
        </w:tc>
        <w:tc>
          <w:tcPr>
            <w:tcW w:type="dxa" w:w="3402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token, username, role</w:t>
            </w:r>
          </w:p>
        </w:tc>
        <w:tc>
          <w:tcPr>
            <w:tcW w:type="dxa" w:w="4139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认证成功返回 JWT + 用户信息</w:t>
            </w:r>
          </w:p>
        </w:tc>
      </w:tr>
      <w:tr>
        <w:tc>
          <w:tcPr>
            <w:tcW w:type="dxa" w:w="124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CourseVO</w:t>
            </w:r>
          </w:p>
        </w:tc>
        <w:tc>
          <w:tcPr>
            <w:tcW w:type="dxa" w:w="3402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id, name, description, credits, maxStudents, teacherId, teacherName, enrolledCount, enrolled, schedule, location</w:t>
            </w:r>
          </w:p>
        </w:tc>
        <w:tc>
          <w:tcPr>
            <w:tcW w:type="dxa" w:w="4139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schedule 和 location 以中文分号（；）拼接多个 CourseSlot 的值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GradeVO</w:t>
            </w:r>
          </w:p>
        </w:tc>
        <w:tc>
          <w:tcPr>
            <w:tcW w:type="dxa" w:w="3402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enrollmentId, studentName, courseName, score, gpaPoint, status</w:t>
            </w:r>
          </w:p>
        </w:tc>
        <w:tc>
          <w:tcPr>
            <w:tcW w:type="dxa" w:w="4139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关联查询 Student + Course 名称</w:t>
            </w:r>
          </w:p>
        </w:tc>
      </w:tr>
      <w:tr>
        <w:tc>
          <w:tcPr>
            <w:tcW w:type="dxa" w:w="124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ScheduleVO</w:t>
            </w:r>
          </w:p>
        </w:tc>
        <w:tc>
          <w:tcPr>
            <w:tcW w:type="dxa" w:w="3402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courseSlotId, courseId, courseName, teacherName, schedule, location</w:t>
            </w:r>
          </w:p>
        </w:tc>
        <w:tc>
          <w:tcPr>
            <w:tcW w:type="dxa" w:w="4139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每个 CourseSlot 单独一条记录，用于课表网格渲染</w:t>
            </w:r>
          </w:p>
        </w:tc>
      </w:tr>
    </w:tbl>
    <w:p/>
    <w:p>
      <w:r>
        <w:rPr>
          <w:rFonts w:eastAsia="微软雅黑"/>
          <w:rFonts w:ascii="微软雅黑" w:hAnsi="微软雅黑"/>
          <w:b w:val="0"/>
          <w:sz w:val="21"/>
        </w:rPr>
      </w:r>
    </w:p>
    <w:p>
      <w:r>
        <w:rPr>
          <w:rFonts w:eastAsia="微软雅黑"/>
          <w:rFonts w:ascii="微软雅黑" w:hAnsi="微软雅黑"/>
          <w:b/>
          <w:sz w:val="21"/>
        </w:rPr>
        <w:t>(3) 统一响应格式</w:t>
      </w:r>
    </w:p>
    <w:p>
      <w:r>
        <w:rPr>
          <w:rFonts w:eastAsia="微软雅黑"/>
          <w:rFonts w:ascii="微软雅黑" w:hAnsi="微软雅黑"/>
          <w:b w:val="0"/>
          <w:sz w:val="21"/>
        </w:rPr>
        <w:t>所有 REST API 返回值统一封装为 Result&lt;T&gt;：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{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"code": 200,        // 200=成功, 400=参数错误, 401=未认证, 403=无权限, 500=服务器错误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"message": "ok",    // 提示信息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 xml:space="preserve">  "data": { ... }     // 实际数据，类型为泛型 T</w:t>
      </w:r>
    </w:p>
    <w:p>
      <w:pPr>
        <w:spacing w:before="80" w:after="80"/>
        <w:ind w:left="420"/>
      </w:pPr>
      <w:r>
        <w:rPr>
          <w:rFonts w:ascii="Consolas" w:hAnsi="Consolas"/>
          <w:color w:val="555555"/>
          <w:sz w:val="18"/>
        </w:rPr>
        <w:t>}</w:t>
      </w:r>
    </w:p>
    <w:p>
      <w:r>
        <w:rPr>
          <w:rFonts w:eastAsia="微软雅黑"/>
          <w:rFonts w:ascii="微软雅黑" w:hAnsi="微软雅黑"/>
          <w:b w:val="0"/>
          <w:sz w:val="21"/>
        </w:rPr>
      </w:r>
    </w:p>
    <w:p>
      <w:r>
        <w:rPr>
          <w:rFonts w:eastAsia="微软雅黑"/>
          <w:rFonts w:ascii="微软雅黑" w:hAnsi="微软雅黑"/>
          <w:b/>
          <w:sz w:val="21"/>
        </w:rPr>
        <w:t>(4) 全局异常处理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GlobalExceptionHandler（@RestControllerAdvice）：统一拦截异常并转换为 Result 格式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BusinessException：业务校验失败时抛出，携带 code 和 message，由 Handler 转换为统一响应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其他未处理异常：统一返回 code=500，message 为异常信息</w:t>
      </w:r>
    </w:p>
    <w:p>
      <w:pPr>
        <w:pStyle w:val="Heading2"/>
      </w:pPr>
      <w:r>
        <w:rPr>
          <w:rFonts w:eastAsia="微软雅黑"/>
          <w:rFonts w:ascii="微软雅黑" w:hAnsi="微软雅黑"/>
          <w:color w:val="FFB7C5"/>
          <w:sz w:val="28"/>
        </w:rPr>
        <w:t>2.7 数据初始化</w:t>
      </w:r>
    </w:p>
    <w:p>
      <w:r>
        <w:rPr>
          <w:rFonts w:eastAsia="微软雅黑"/>
          <w:rFonts w:ascii="微软雅黑" w:hAnsi="微软雅黑"/>
          <w:b w:val="0"/>
          <w:sz w:val="21"/>
        </w:rPr>
        <w:t>DataInitializer 实现 ApplicationRunner 接口，应用启动时自动执行。仅在 user 表为空时填充种子数据（防止重复初始化）。</w:t>
      </w:r>
    </w:p>
    <w:p>
      <w:r>
        <w:rPr>
          <w:rFonts w:eastAsia="微软雅黑"/>
          <w:rFonts w:ascii="微软雅黑" w:hAnsi="微软雅黑"/>
          <w:b w:val="0"/>
          <w:sz w:val="21"/>
        </w:rPr>
      </w:r>
    </w:p>
    <w:p>
      <w:r>
        <w:rPr>
          <w:rFonts w:eastAsia="微软雅黑"/>
          <w:rFonts w:ascii="微软雅黑" w:hAnsi="微软雅黑"/>
          <w:b/>
          <w:sz w:val="21"/>
        </w:rPr>
        <w:t>种子用户（密码均为 123456，BCrypt 加密）：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1417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用户名</w:t>
            </w:r>
          </w:p>
        </w:tc>
        <w:tc>
          <w:tcPr>
            <w:tcW w:type="dxa" w:w="1134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701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真实姓名</w:t>
            </w:r>
          </w:p>
        </w:tc>
        <w:tc>
          <w:tcPr>
            <w:tcW w:type="dxa" w:w="4535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admin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ADMIN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管理员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系统管理员，拥有全部特权</w:t>
            </w:r>
          </w:p>
        </w:tc>
      </w:tr>
      <w:tr>
        <w:tc>
          <w:tcPr>
            <w:tcW w:type="dxa" w:w="141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zengzr</w:t>
            </w:r>
          </w:p>
        </w:tc>
        <w:tc>
          <w:tcPr>
            <w:tcW w:type="dxa" w:w="113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TEACHER</w:t>
            </w:r>
          </w:p>
        </w:tc>
        <w:tc>
          <w:tcPr>
            <w:tcW w:type="dxa" w:w="170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曾增日</w:t>
            </w:r>
          </w:p>
        </w:tc>
        <w:tc>
          <w:tcPr>
            <w:tcW w:type="dxa" w:w="45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机器学习 教师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liutk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TEACHER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刘某某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教师</w:t>
            </w:r>
          </w:p>
        </w:tc>
      </w:tr>
      <w:tr>
        <w:tc>
          <w:tcPr>
            <w:tcW w:type="dxa" w:w="141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sunqt</w:t>
            </w:r>
          </w:p>
        </w:tc>
        <w:tc>
          <w:tcPr>
            <w:tcW w:type="dxa" w:w="113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TEACHER</w:t>
            </w:r>
          </w:p>
        </w:tc>
        <w:tc>
          <w:tcPr>
            <w:tcW w:type="dxa" w:w="170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孙其庭</w:t>
            </w:r>
          </w:p>
        </w:tc>
        <w:tc>
          <w:tcPr>
            <w:tcW w:type="dxa" w:w="45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毛泽东思想和中国特色社会主义理论体系概论 教师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zongliang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TEACHER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宗亮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计算机网络、人工智能数学基础 教师</w:t>
            </w:r>
          </w:p>
        </w:tc>
      </w:tr>
      <w:tr>
        <w:tc>
          <w:tcPr>
            <w:tcW w:type="dxa" w:w="141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zengdt</w:t>
            </w:r>
          </w:p>
        </w:tc>
        <w:tc>
          <w:tcPr>
            <w:tcW w:type="dxa" w:w="113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TEACHER</w:t>
            </w:r>
          </w:p>
        </w:tc>
        <w:tc>
          <w:tcPr>
            <w:tcW w:type="dxa" w:w="170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曾德天</w:t>
            </w:r>
          </w:p>
        </w:tc>
        <w:tc>
          <w:tcPr>
            <w:tcW w:type="dxa" w:w="45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数据库原理与应用、操作系统原理与Linux应用 教师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tangyong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TEACHER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唐勇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大学体育(四)(羽毛球3-56) 教师</w:t>
            </w:r>
          </w:p>
        </w:tc>
      </w:tr>
      <w:tr>
        <w:tc>
          <w:tcPr>
            <w:tcW w:type="dxa" w:w="141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zhanyz</w:t>
            </w:r>
          </w:p>
        </w:tc>
        <w:tc>
          <w:tcPr>
            <w:tcW w:type="dxa" w:w="113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TEACHER</w:t>
            </w:r>
          </w:p>
        </w:tc>
        <w:tc>
          <w:tcPr>
            <w:tcW w:type="dxa" w:w="170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詹某某</w:t>
            </w:r>
          </w:p>
        </w:tc>
        <w:tc>
          <w:tcPr>
            <w:tcW w:type="dxa" w:w="45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教师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student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STUDENT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学生甲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测试学生账号</w:t>
            </w:r>
          </w:p>
        </w:tc>
      </w:tr>
      <w:tr>
        <w:tc>
          <w:tcPr>
            <w:tcW w:type="dxa" w:w="1417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student2</w:t>
            </w:r>
          </w:p>
        </w:tc>
        <w:tc>
          <w:tcPr>
            <w:tcW w:type="dxa" w:w="113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STUDENT</w:t>
            </w:r>
          </w:p>
        </w:tc>
        <w:tc>
          <w:tcPr>
            <w:tcW w:type="dxa" w:w="170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学生乙</w:t>
            </w:r>
          </w:p>
        </w:tc>
        <w:tc>
          <w:tcPr>
            <w:tcW w:type="dxa" w:w="45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测试学生账号</w:t>
            </w:r>
          </w:p>
        </w:tc>
      </w:tr>
    </w:tbl>
    <w:p/>
    <w:p>
      <w:r>
        <w:rPr>
          <w:rFonts w:eastAsia="微软雅黑"/>
          <w:rFonts w:ascii="微软雅黑" w:hAnsi="微软雅黑"/>
          <w:b w:val="0"/>
          <w:sz w:val="21"/>
        </w:rPr>
      </w:r>
    </w:p>
    <w:p>
      <w:r>
        <w:rPr>
          <w:rFonts w:eastAsia="微软雅黑"/>
          <w:rFonts w:ascii="微软雅黑" w:hAnsi="微软雅黑"/>
          <w:b/>
          <w:sz w:val="21"/>
        </w:rPr>
        <w:t>种子课程（含多时段）：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835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课程名称</w:t>
            </w:r>
          </w:p>
        </w:tc>
        <w:tc>
          <w:tcPr>
            <w:tcW w:type="dxa" w:w="1134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教师</w:t>
            </w:r>
          </w:p>
        </w:tc>
        <w:tc>
          <w:tcPr>
            <w:tcW w:type="dxa" w:w="850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学分</w:t>
            </w:r>
          </w:p>
        </w:tc>
        <w:tc>
          <w:tcPr>
            <w:tcW w:type="dxa" w:w="850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时段数</w:t>
            </w:r>
          </w:p>
        </w:tc>
        <w:tc>
          <w:tcPr>
            <w:tcW w:type="dxa" w:w="3118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时段详情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机器学习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曾增日</w:t>
            </w:r>
          </w:p>
        </w:tc>
        <w:tc>
          <w:tcPr>
            <w:tcW w:type="dxa" w:w="850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3.0</w:t>
            </w:r>
          </w:p>
        </w:tc>
        <w:tc>
          <w:tcPr>
            <w:tcW w:type="dxa" w:w="850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周一/二/三/四 第二大节</w:t>
            </w:r>
          </w:p>
        </w:tc>
      </w:tr>
      <w:tr>
        <w:tc>
          <w:tcPr>
            <w:tcW w:type="dxa" w:w="28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数据库原理与应用</w:t>
            </w:r>
          </w:p>
        </w:tc>
        <w:tc>
          <w:tcPr>
            <w:tcW w:type="dxa" w:w="113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曾德天</w:t>
            </w:r>
          </w:p>
        </w:tc>
        <w:tc>
          <w:tcPr>
            <w:tcW w:type="dxa" w:w="850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3.0</w:t>
            </w:r>
          </w:p>
        </w:tc>
        <w:tc>
          <w:tcPr>
            <w:tcW w:type="dxa" w:w="850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2</w:t>
            </w:r>
          </w:p>
        </w:tc>
        <w:tc>
          <w:tcPr>
            <w:tcW w:type="dxa" w:w="3118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周一/三 第三大节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操作系统原理与Linux应用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曾德天</w:t>
            </w:r>
          </w:p>
        </w:tc>
        <w:tc>
          <w:tcPr>
            <w:tcW w:type="dxa" w:w="850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3.5</w:t>
            </w:r>
          </w:p>
        </w:tc>
        <w:tc>
          <w:tcPr>
            <w:tcW w:type="dxa" w:w="850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周二/四 第一大节</w:t>
            </w:r>
          </w:p>
        </w:tc>
      </w:tr>
      <w:tr>
        <w:tc>
          <w:tcPr>
            <w:tcW w:type="dxa" w:w="28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计算机网络</w:t>
            </w:r>
          </w:p>
        </w:tc>
        <w:tc>
          <w:tcPr>
            <w:tcW w:type="dxa" w:w="113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宗亮</w:t>
            </w:r>
          </w:p>
        </w:tc>
        <w:tc>
          <w:tcPr>
            <w:tcW w:type="dxa" w:w="850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3.0</w:t>
            </w:r>
          </w:p>
        </w:tc>
        <w:tc>
          <w:tcPr>
            <w:tcW w:type="dxa" w:w="850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3</w:t>
            </w:r>
          </w:p>
        </w:tc>
        <w:tc>
          <w:tcPr>
            <w:tcW w:type="dxa" w:w="3118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周一/三/五 第二大节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毛泽东思想和中国特色社会主义理论体系概论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孙其庭</w:t>
            </w:r>
          </w:p>
        </w:tc>
        <w:tc>
          <w:tcPr>
            <w:tcW w:type="dxa" w:w="850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3.0</w:t>
            </w:r>
          </w:p>
        </w:tc>
        <w:tc>
          <w:tcPr>
            <w:tcW w:type="dxa" w:w="850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周五 第三大节</w:t>
            </w:r>
          </w:p>
        </w:tc>
      </w:tr>
      <w:tr>
        <w:tc>
          <w:tcPr>
            <w:tcW w:type="dxa" w:w="28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人工智能数学基础</w:t>
            </w:r>
          </w:p>
        </w:tc>
        <w:tc>
          <w:tcPr>
            <w:tcW w:type="dxa" w:w="1134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宗亮</w:t>
            </w:r>
          </w:p>
        </w:tc>
        <w:tc>
          <w:tcPr>
            <w:tcW w:type="dxa" w:w="850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3.0</w:t>
            </w:r>
          </w:p>
        </w:tc>
        <w:tc>
          <w:tcPr>
            <w:tcW w:type="dxa" w:w="850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1</w:t>
            </w:r>
          </w:p>
        </w:tc>
        <w:tc>
          <w:tcPr>
            <w:tcW w:type="dxa" w:w="3118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周四 第四大节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大学体育(四)(羽毛球3-56)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唐勇</w:t>
            </w:r>
          </w:p>
        </w:tc>
        <w:tc>
          <w:tcPr>
            <w:tcW w:type="dxa" w:w="850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1.0</w:t>
            </w:r>
          </w:p>
        </w:tc>
        <w:tc>
          <w:tcPr>
            <w:tcW w:type="dxa" w:w="850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周三 第四大节</w:t>
            </w:r>
          </w:p>
        </w:tc>
      </w:tr>
    </w:tbl>
    <w:p/>
    <w:p>
      <w:r>
        <w:rPr>
          <w:rFonts w:eastAsia="微软雅黑"/>
          <w:rFonts w:ascii="微软雅黑" w:hAnsi="微软雅黑"/>
          <w:b w:val="0"/>
          <w:sz w:val="21"/>
        </w:rPr>
      </w:r>
    </w:p>
    <w:p>
      <w:r>
        <w:rPr>
          <w:rFonts w:eastAsia="微软雅黑"/>
          <w:rFonts w:ascii="微软雅黑" w:hAnsi="微软雅黑"/>
          <w:b/>
          <w:sz w:val="21"/>
        </w:rPr>
        <w:t>初始化策略：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使用 @EventListener(ApplicationReadyEvent.class) 或 ApplicationRunner 在应用就绪后执行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检查 userRepository.count() == 0，若已有数据则跳过全部初始化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BCryptPasswordEncoder 编码所有密码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教师与课程通过 Course.teacherId 外键关联（先创建 User，获取 ID，再创建 Course）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每个课程创建后，批量插入 CourseSlot 记录（每个时段一条）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color w:val="FFB7C5"/>
          <w:sz w:val="36"/>
        </w:rPr>
        <w:t>附：项目配置摘要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2"/>
        <w:gridCol w:w="3022"/>
        <w:gridCol w:w="3022"/>
      </w:tblGrid>
      <w:tr>
        <w:tc>
          <w:tcPr>
            <w:tcW w:type="dxa" w:w="2551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2835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402"/>
            <w:shd w:fill="FFB7C5" w:val="clear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server.port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8080</w:t>
            </w:r>
          </w:p>
        </w:tc>
        <w:tc>
          <w:tcPr>
            <w:tcW w:type="dxa" w:w="3402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应用端口</w:t>
            </w:r>
          </w:p>
        </w:tc>
      </w:tr>
      <w:tr>
        <w:tc>
          <w:tcPr>
            <w:tcW w:type="dxa" w:w="255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spring.datasource.url</w:t>
            </w:r>
          </w:p>
        </w:tc>
        <w:tc>
          <w:tcPr>
            <w:tcW w:type="dxa" w:w="28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jdbc:mysql://localhost:3306/jwxt?...</w:t>
            </w:r>
          </w:p>
        </w:tc>
        <w:tc>
          <w:tcPr>
            <w:tcW w:type="dxa" w:w="3402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MySQL 连接，自动建库 createDatabaseIfNotExist=true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spring.jpa.hibernate.ddl-auto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update</w:t>
            </w:r>
          </w:p>
        </w:tc>
        <w:tc>
          <w:tcPr>
            <w:tcW w:type="dxa" w:w="3402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自动建表/更新表结构，不丢失数据</w:t>
            </w:r>
          </w:p>
        </w:tc>
      </w:tr>
      <w:tr>
        <w:tc>
          <w:tcPr>
            <w:tcW w:type="dxa" w:w="255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spring.jpa.show-sql</w:t>
            </w:r>
          </w:p>
        </w:tc>
        <w:tc>
          <w:tcPr>
            <w:tcW w:type="dxa" w:w="28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true</w:t>
            </w:r>
          </w:p>
        </w:tc>
        <w:tc>
          <w:tcPr>
            <w:tcW w:type="dxa" w:w="3402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开发调试时打印 SQL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spring.thymeleaf.cache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false</w:t>
            </w:r>
          </w:p>
        </w:tc>
        <w:tc>
          <w:tcPr>
            <w:tcW w:type="dxa" w:w="3402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关闭模板缓存，修改即时生效</w:t>
            </w:r>
          </w:p>
        </w:tc>
      </w:tr>
      <w:tr>
        <w:tc>
          <w:tcPr>
            <w:tcW w:type="dxa" w:w="255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jwt.secret</w:t>
            </w:r>
          </w:p>
        </w:tc>
        <w:tc>
          <w:tcPr>
            <w:tcW w:type="dxa" w:w="28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jwxt-jwt-secret-key-2026-...</w:t>
            </w:r>
          </w:p>
        </w:tc>
        <w:tc>
          <w:tcPr>
            <w:tcW w:type="dxa" w:w="3402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JWT 签名密钥（HS256）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jwt.expiration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86400000 (24小时)</w:t>
            </w:r>
          </w:p>
        </w:tc>
        <w:tc>
          <w:tcPr>
            <w:tcW w:type="dxa" w:w="3402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Token 有效期</w:t>
            </w:r>
          </w:p>
        </w:tc>
      </w:tr>
      <w:tr>
        <w:tc>
          <w:tcPr>
            <w:tcW w:type="dxa" w:w="2551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springdoc.api-docs.path</w:t>
            </w:r>
          </w:p>
        </w:tc>
        <w:tc>
          <w:tcPr>
            <w:tcW w:type="dxa" w:w="2835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/api-docs</w:t>
            </w:r>
          </w:p>
        </w:tc>
        <w:tc>
          <w:tcPr>
            <w:tcW w:type="dxa" w:w="3402"/>
            <w:shd w:fill="FFF0F3" w:val="clear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OpenAPI JSON 文档路径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springdoc.swagger-ui.path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/swagger-ui.html</w:t>
            </w:r>
          </w:p>
        </w:tc>
        <w:tc>
          <w:tcPr>
            <w:tcW w:type="dxa" w:w="3402"/>
          </w:tcPr>
          <w:p>
            <w:r/>
            <w:r>
              <w:rPr>
                <w:rFonts w:eastAsia="微软雅黑"/>
                <w:rFonts w:ascii="微软雅黑" w:hAnsi="微软雅黑"/>
                <w:sz w:val="19"/>
              </w:rPr>
              <w:t>Swagger UI 页面</w:t>
            </w:r>
          </w:p>
        </w:tc>
      </w:tr>
    </w:tbl>
    <w:p/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eastAsia="微软雅黑"/>
      <w:rFonts w:ascii="微软雅黑" w:hAnsi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