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AD4" w:rsidRDefault="00B54AD4" w:rsidP="00C0540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54AD4" w:rsidRDefault="00B54AD4" w:rsidP="00C0540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0540D" w:rsidRPr="00C0540D" w:rsidRDefault="00C70D3E" w:rsidP="00C0540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Утверждено</w:t>
      </w:r>
    </w:p>
    <w:p w:rsidR="00C0540D" w:rsidRPr="00C0540D" w:rsidRDefault="00C0540D" w:rsidP="00C0540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05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решением </w:t>
      </w:r>
      <w:r w:rsidR="00C70D3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коллегии </w:t>
      </w:r>
      <w:r w:rsidRPr="00C05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ЕЭК</w:t>
      </w:r>
    </w:p>
    <w:p w:rsidR="00C0540D" w:rsidRPr="00C0540D" w:rsidRDefault="00C70D3E" w:rsidP="00C0540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 26.09.2017 № 128</w:t>
      </w:r>
    </w:p>
    <w:p w:rsidR="00C70D3E" w:rsidRDefault="00C70D3E" w:rsidP="00C70D3E">
      <w:pPr>
        <w:pStyle w:val="ConsPlusNormal"/>
      </w:pPr>
    </w:p>
    <w:p w:rsidR="00C70D3E" w:rsidRDefault="00C70D3E" w:rsidP="00C70D3E">
      <w:pPr>
        <w:pStyle w:val="ConsPlusNormal"/>
        <w:jc w:val="center"/>
      </w:pPr>
      <w:bookmarkStart w:id="0" w:name="Par31"/>
      <w:bookmarkEnd w:id="0"/>
      <w:r>
        <w:t>ФОРМА ЗАЯВЛЕНИЯ</w:t>
      </w:r>
    </w:p>
    <w:p w:rsidR="00C70D3E" w:rsidRDefault="00C70D3E" w:rsidP="00C70D3E">
      <w:pPr>
        <w:pStyle w:val="ConsPlusNormal"/>
        <w:jc w:val="center"/>
      </w:pPr>
      <w:r>
        <w:t>О ВКЛЮЧЕНИИ В РЕЕСТР УПОЛНОМОЧЕННЫХ</w:t>
      </w:r>
    </w:p>
    <w:p w:rsidR="00C70D3E" w:rsidRDefault="00C70D3E" w:rsidP="00C70D3E">
      <w:pPr>
        <w:pStyle w:val="ConsPlusNormal"/>
        <w:jc w:val="center"/>
      </w:pPr>
      <w:r>
        <w:t>ЭКОНОМИЧЕСКИХ ОПЕРАТОРОВ</w:t>
      </w:r>
    </w:p>
    <w:p w:rsidR="00C70D3E" w:rsidRDefault="00C70D3E" w:rsidP="00C70D3E">
      <w:pPr>
        <w:pStyle w:val="ConsPlusNormal"/>
      </w:pPr>
    </w:p>
    <w:p w:rsidR="00C70D3E" w:rsidRDefault="00C70D3E" w:rsidP="00C70D3E">
      <w:pPr>
        <w:pStyle w:val="ConsPlusNonformat"/>
        <w:jc w:val="both"/>
      </w:pPr>
      <w:r>
        <w:t xml:space="preserve">                                 ЗАЯВЛЕНИЕ</w:t>
      </w:r>
    </w:p>
    <w:p w:rsidR="00C70D3E" w:rsidRDefault="00C70D3E" w:rsidP="00C70D3E">
      <w:pPr>
        <w:pStyle w:val="ConsPlusNonformat"/>
        <w:jc w:val="both"/>
      </w:pPr>
      <w:r>
        <w:t xml:space="preserve">       о включении в реестр уполномоченных экономических операторов</w:t>
      </w:r>
    </w:p>
    <w:p w:rsidR="00C70D3E" w:rsidRDefault="00C70D3E" w:rsidP="00C70D3E">
      <w:pPr>
        <w:pStyle w:val="ConsPlusNonformat"/>
        <w:jc w:val="both"/>
      </w:pPr>
    </w:p>
    <w:p w:rsidR="00C70D3E" w:rsidRDefault="00C70D3E" w:rsidP="00C70D3E">
      <w:pPr>
        <w:pStyle w:val="ConsPlusNonformat"/>
        <w:jc w:val="both"/>
      </w:pPr>
      <w:r>
        <w:t>___________________________________________________________________________</w:t>
      </w:r>
    </w:p>
    <w:p w:rsidR="00C70D3E" w:rsidRDefault="00C70D3E" w:rsidP="00C70D3E">
      <w:pPr>
        <w:pStyle w:val="ConsPlusNonformat"/>
        <w:jc w:val="both"/>
      </w:pPr>
      <w:r>
        <w:t xml:space="preserve">      (полное и краткое (при наличии) наименования юридического лица)</w:t>
      </w:r>
    </w:p>
    <w:p w:rsidR="00C70D3E" w:rsidRDefault="00C70D3E" w:rsidP="00C70D3E">
      <w:pPr>
        <w:pStyle w:val="ConsPlusNonformat"/>
        <w:jc w:val="both"/>
      </w:pPr>
      <w:r>
        <w:t>___________________________________________________________________________</w:t>
      </w:r>
    </w:p>
    <w:p w:rsidR="00C70D3E" w:rsidRDefault="00C70D3E" w:rsidP="00C70D3E">
      <w:pPr>
        <w:pStyle w:val="ConsPlusNonformat"/>
        <w:jc w:val="both"/>
      </w:pPr>
      <w:r>
        <w:t xml:space="preserve">       (УНН (для Республики Армения), УНП (для Республики Беларусь),</w:t>
      </w:r>
    </w:p>
    <w:p w:rsidR="00C70D3E" w:rsidRDefault="00C70D3E" w:rsidP="00C70D3E">
      <w:pPr>
        <w:pStyle w:val="ConsPlusNonformat"/>
        <w:jc w:val="both"/>
      </w:pPr>
      <w:r>
        <w:t xml:space="preserve">     БИН (для Республики Казахстан), ИНН (для </w:t>
      </w:r>
      <w:proofErr w:type="spellStart"/>
      <w:r>
        <w:t>Кыргызской</w:t>
      </w:r>
      <w:proofErr w:type="spellEnd"/>
      <w:r>
        <w:t xml:space="preserve"> Республики),</w:t>
      </w:r>
    </w:p>
    <w:p w:rsidR="00C70D3E" w:rsidRDefault="00C70D3E" w:rsidP="00C70D3E">
      <w:pPr>
        <w:pStyle w:val="ConsPlusNonformat"/>
        <w:jc w:val="both"/>
      </w:pPr>
      <w:r>
        <w:t xml:space="preserve">                    ИНН/КПП (для Российской Федерации))</w:t>
      </w:r>
    </w:p>
    <w:p w:rsidR="00C70D3E" w:rsidRDefault="00C70D3E" w:rsidP="00C70D3E">
      <w:pPr>
        <w:pStyle w:val="ConsPlusNonformat"/>
        <w:jc w:val="both"/>
      </w:pPr>
      <w:proofErr w:type="gramStart"/>
      <w:r>
        <w:t>просит  включить</w:t>
      </w:r>
      <w:proofErr w:type="gramEnd"/>
      <w:r>
        <w:t xml:space="preserve">  его  в  реестр  уполномоченных  экономических  операторов</w:t>
      </w:r>
    </w:p>
    <w:p w:rsidR="00C70D3E" w:rsidRDefault="00C70D3E" w:rsidP="00C70D3E">
      <w:pPr>
        <w:pStyle w:val="ConsPlusNonformat"/>
        <w:jc w:val="both"/>
      </w:pPr>
      <w:r>
        <w:t>(далее - реестр) с выдачей свидетельства (свидетельств)</w:t>
      </w:r>
    </w:p>
    <w:p w:rsidR="00C70D3E" w:rsidRDefault="00C70D3E" w:rsidP="00C70D3E">
      <w:pPr>
        <w:pStyle w:val="ConsPlusNormal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34"/>
        <w:gridCol w:w="612"/>
        <w:gridCol w:w="360"/>
        <w:gridCol w:w="1134"/>
        <w:gridCol w:w="612"/>
        <w:gridCol w:w="360"/>
        <w:gridCol w:w="2211"/>
        <w:gridCol w:w="612"/>
        <w:gridCol w:w="360"/>
        <w:gridCol w:w="1134"/>
        <w:gridCol w:w="612"/>
      </w:tblGrid>
      <w:tr w:rsidR="00C70D3E" w:rsidTr="00D14AB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первого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второго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первого и второго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третьего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</w:tbl>
    <w:p w:rsidR="00C70D3E" w:rsidRDefault="00C70D3E" w:rsidP="00C70D3E">
      <w:pPr>
        <w:pStyle w:val="ConsPlusNormal"/>
        <w:jc w:val="both"/>
      </w:pPr>
    </w:p>
    <w:p w:rsidR="00C70D3E" w:rsidRDefault="00C70D3E" w:rsidP="00C70D3E">
      <w:pPr>
        <w:pStyle w:val="ConsPlusNonformat"/>
        <w:jc w:val="both"/>
      </w:pPr>
      <w:proofErr w:type="gramStart"/>
      <w:r>
        <w:t>типа  (</w:t>
      </w:r>
      <w:proofErr w:type="gramEnd"/>
      <w:r>
        <w:t>типов)  и  заявляет  сведения,  подтверждающие  выполнение  условий,</w:t>
      </w:r>
    </w:p>
    <w:p w:rsidR="00C70D3E" w:rsidRDefault="00C70D3E" w:rsidP="00C70D3E">
      <w:pPr>
        <w:pStyle w:val="ConsPlusNonformat"/>
        <w:jc w:val="both"/>
      </w:pPr>
      <w:proofErr w:type="gramStart"/>
      <w:r>
        <w:t>установленных  статьей</w:t>
      </w:r>
      <w:proofErr w:type="gramEnd"/>
      <w:r>
        <w:t xml:space="preserve">  433 Таможенного кодекса Евразийского экономического</w:t>
      </w:r>
    </w:p>
    <w:p w:rsidR="00C70D3E" w:rsidRDefault="00C70D3E" w:rsidP="00C70D3E">
      <w:pPr>
        <w:pStyle w:val="ConsPlusNonformat"/>
        <w:jc w:val="both"/>
      </w:pPr>
      <w:r>
        <w:t>союза (далее - Кодекс).</w:t>
      </w:r>
    </w:p>
    <w:p w:rsidR="00C70D3E" w:rsidRDefault="00C70D3E" w:rsidP="00C70D3E">
      <w:pPr>
        <w:pStyle w:val="ConsPlusNonformat"/>
        <w:jc w:val="both"/>
      </w:pPr>
    </w:p>
    <w:p w:rsidR="00C70D3E" w:rsidRDefault="00C70D3E" w:rsidP="00C70D3E">
      <w:pPr>
        <w:pStyle w:val="ConsPlusNonformat"/>
        <w:jc w:val="both"/>
      </w:pPr>
      <w:bookmarkStart w:id="1" w:name="Par63"/>
      <w:bookmarkEnd w:id="1"/>
      <w:r>
        <w:t xml:space="preserve">                             I. Общие сведения</w:t>
      </w:r>
    </w:p>
    <w:p w:rsidR="00C70D3E" w:rsidRDefault="00C70D3E" w:rsidP="00C70D3E">
      <w:pPr>
        <w:pStyle w:val="ConsPlusNormal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4"/>
        <w:gridCol w:w="564"/>
        <w:gridCol w:w="783"/>
        <w:gridCol w:w="4092"/>
        <w:gridCol w:w="1587"/>
        <w:gridCol w:w="1531"/>
      </w:tblGrid>
      <w:tr w:rsidR="00C70D3E" w:rsidTr="00D14AB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Условие включения в реестр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Значение или отметка о соблюдении условия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Минимальное значение</w:t>
            </w:r>
          </w:p>
        </w:tc>
      </w:tr>
      <w:tr w:rsidR="00C70D3E" w:rsidTr="00D14AB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4</w:t>
            </w:r>
          </w:p>
        </w:tc>
      </w:tr>
      <w:tr w:rsidR="00C70D3E" w:rsidTr="00D14AB9"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bookmarkStart w:id="2" w:name="Par73"/>
            <w:bookmarkEnd w:id="2"/>
            <w:r>
              <w:t>1</w:t>
            </w: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Осуществление внешнеэкономической деятельности, лет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3</w:t>
            </w: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8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  <w:r>
              <w:t>Осуществление деятельности в сфере таможенного дела в качестве:</w:t>
            </w: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ind w:left="283"/>
            </w:pPr>
            <w:r>
              <w:t>таможенного представителя, лет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3</w:t>
            </w: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ind w:left="283"/>
            </w:pPr>
            <w:r>
              <w:t>владельца склада временного хранения, лет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ind w:left="283"/>
            </w:pPr>
            <w:r>
              <w:t>владельца таможенного склада, лет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ind w:left="283"/>
            </w:pPr>
            <w:r>
              <w:t>таможенного перевозчика, лет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2</w:t>
            </w: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8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  <w:r>
              <w:t>в течение которых:</w:t>
            </w:r>
          </w:p>
        </w:tc>
      </w:tr>
      <w:tr w:rsidR="00C70D3E" w:rsidTr="00D14AB9"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bookmarkStart w:id="3" w:name="Par90"/>
            <w:bookmarkEnd w:id="3"/>
            <w:r>
              <w:t>1.1</w:t>
            </w:r>
          </w:p>
        </w:tc>
        <w:tc>
          <w:tcPr>
            <w:tcW w:w="48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 xml:space="preserve">при осуществлении внешнеэкономической </w:t>
            </w:r>
            <w:r>
              <w:lastRenderedPageBreak/>
              <w:t>деятельности, за исключением деятельности по оказанию услуг по перевозке товаров, за каждый год подано деклараций на товары, штук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 xml:space="preserve">10 </w:t>
            </w:r>
            <w:hyperlink w:anchor="Par223" w:tooltip="    &lt;*&gt;  Законодательством  о  таможенном  регулировании государства-члена,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48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48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48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 xml:space="preserve">суммарная стоимость перемещенных через таможенную границу Евразийского экономического союза товаров за каждый год составляет величину, эквивалентную сумме в евро </w:t>
            </w:r>
            <w:hyperlink w:anchor="Par226" w:tooltip="    &lt;**&gt;   Рассчитывается   по   курсу  валют,  установленному  центральным" w:history="1">
              <w:r>
                <w:rPr>
                  <w:color w:val="0000FF"/>
                </w:rPr>
                <w:t>&lt;**&gt;</w:t>
              </w:r>
            </w:hyperlink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 xml:space="preserve">500 000 </w:t>
            </w:r>
            <w:hyperlink w:anchor="Par223" w:tooltip="    &lt;*&gt;  Законодательством  о  таможенном  регулировании государства-члена,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48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48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1.2</w:t>
            </w:r>
          </w:p>
        </w:tc>
        <w:tc>
          <w:tcPr>
            <w:tcW w:w="48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при осуществлении внешнеэкономической деятельности по оказанию услуг по перевозке товаров за каждый год подано транзитных деклараций, штук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250</w:t>
            </w: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48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48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1.3</w:t>
            </w:r>
          </w:p>
        </w:tc>
        <w:tc>
          <w:tcPr>
            <w:tcW w:w="48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при осуществлении деятельности в сфере таможенного дела в качестве таможенного представителя за каждый год подано таможенных деклараций, штук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 xml:space="preserve">200 </w:t>
            </w:r>
            <w:hyperlink w:anchor="Par223" w:tooltip="    &lt;*&gt;  Законодательством  о  таможенном  регулировании государства-члена,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48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48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48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 xml:space="preserve">суммарная стоимость товаров, заявленная в поданных таможенных декларациях, за каждый год составляет величину, эквивалентную сумме в евро </w:t>
            </w:r>
            <w:hyperlink w:anchor="Par226" w:tooltip="    &lt;**&gt;   Рассчитывается   по   курсу  валют,  установленному  центральным" w:history="1">
              <w:r>
                <w:rPr>
                  <w:color w:val="0000FF"/>
                </w:rPr>
                <w:t>&lt;**&gt;</w:t>
              </w:r>
            </w:hyperlink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 xml:space="preserve">500 000 </w:t>
            </w:r>
            <w:hyperlink w:anchor="Par223" w:tooltip="    &lt;*&gt;  Законодательством  о  таможенном  регулировании государства-члена,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48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48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1.4</w:t>
            </w:r>
          </w:p>
        </w:tc>
        <w:tc>
          <w:tcPr>
            <w:tcW w:w="48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 xml:space="preserve">при осуществлении деятельности в сфере таможенного дела в качестве владельцев складов временного хранения, таможенных складов осуществлено хранение товаров, суммарная стоимость которых за каждый год составляет величину, эквивалентную сумме в евро </w:t>
            </w:r>
            <w:hyperlink w:anchor="Par226" w:tooltip="    &lt;**&gt;   Рассчитывается   по   курсу  валют,  установленному  центральным" w:history="1">
              <w:r>
                <w:rPr>
                  <w:color w:val="0000FF"/>
                </w:rPr>
                <w:t>&lt;**&gt;</w:t>
              </w:r>
            </w:hyperlink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 xml:space="preserve">500 000 </w:t>
            </w:r>
            <w:hyperlink w:anchor="Par223" w:tooltip="    &lt;*&gt;  Законодательством  о  таможенном  регулировании государства-члена,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48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48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bookmarkStart w:id="4" w:name="Par124"/>
            <w:bookmarkEnd w:id="4"/>
            <w:r>
              <w:t>1.5</w:t>
            </w:r>
          </w:p>
        </w:tc>
        <w:tc>
          <w:tcPr>
            <w:tcW w:w="48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при осуществлении деятельности в сфере таможенного дела в качестве таможенного перевозчика за каждый год подано транзитных деклараций, штук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250</w:t>
            </w: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48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48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</w:tr>
      <w:tr w:rsidR="00C70D3E" w:rsidTr="00D14AB9"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  <w:bookmarkStart w:id="5" w:name="Par130"/>
            <w:bookmarkEnd w:id="5"/>
            <w:r>
              <w:t>2</w:t>
            </w:r>
          </w:p>
        </w:tc>
        <w:tc>
          <w:tcPr>
            <w:tcW w:w="8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 xml:space="preserve">Исполнение обязанности уполномоченного экономического оператора планируется обеспечить следующими способами (заполняется, если условие о представлении обеспечения является обязательным для включения в реестр) </w:t>
            </w:r>
            <w:hyperlink w:anchor="Par229" w:tooltip="    &lt;***&gt;    Если    законодательством   государств-членов   о   таможенном" w:history="1">
              <w:r>
                <w:rPr>
                  <w:color w:val="0000FF"/>
                </w:rPr>
                <w:t>&lt;***&gt;</w:t>
              </w:r>
            </w:hyperlink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bookmarkStart w:id="6" w:name="Par132"/>
            <w:bookmarkEnd w:id="6"/>
            <w:r>
              <w:t>2.1</w:t>
            </w:r>
          </w:p>
        </w:tc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внесение денежных средств (денег) на сумму, эквивалентную сумме в евро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значение, установленное статьей 436 Кодекса</w:t>
            </w: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2.2</w:t>
            </w:r>
          </w:p>
        </w:tc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банковская гарантия на сумму, эквивалентную сумме в евро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2.3</w:t>
            </w:r>
          </w:p>
        </w:tc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поручительство на сумму, эквивалентную сумме в евро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bookmarkStart w:id="7" w:name="Par142"/>
            <w:bookmarkEnd w:id="7"/>
            <w:r>
              <w:t>2.4</w:t>
            </w:r>
          </w:p>
        </w:tc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залог имущества на сумму, эквивалентную сумме в евро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bookmarkStart w:id="8" w:name="Par145"/>
            <w:bookmarkEnd w:id="8"/>
            <w:r>
              <w:t>2.5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2.5.1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обеспечение исполнения обязанности иным способом (указать): ____________</w:t>
            </w:r>
          </w:p>
          <w:p w:rsidR="00C70D3E" w:rsidRDefault="00C70D3E" w:rsidP="00D14AB9">
            <w:pPr>
              <w:pStyle w:val="ConsPlusNormal"/>
            </w:pPr>
            <w:r>
              <w:t>на сумму, эквивалентную сумме в евро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2.5.2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обеспечение исполнения обязанности иным способом (указать): ____________</w:t>
            </w:r>
          </w:p>
          <w:p w:rsidR="00C70D3E" w:rsidRDefault="00C70D3E" w:rsidP="00D14AB9">
            <w:pPr>
              <w:pStyle w:val="ConsPlusNormal"/>
            </w:pPr>
            <w:r>
              <w:t>на сумму, эквивалентную сумме в евро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bookmarkStart w:id="9" w:name="Par155"/>
            <w:bookmarkEnd w:id="9"/>
            <w:r>
              <w:t>3</w:t>
            </w: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Не исполненная в установленный срок обязанность по уплате таможенных платежей, специальных, антидемпинговых, компенсационных пошлин, пеней, процентов во всех государствах - членах Евразийского экономического союза (далее - государства-члены) отсутствует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-</w:t>
            </w:r>
          </w:p>
        </w:tc>
      </w:tr>
      <w:tr w:rsidR="00C70D3E" w:rsidTr="00D14AB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Задолженность (недоимка) в соответствии с законодательством о налогах и сборах (налоговым законодательством) государства-члена, в котором зарегистрирован заявитель, отсутствует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-</w:t>
            </w:r>
          </w:p>
        </w:tc>
      </w:tr>
      <w:tr w:rsidR="00C70D3E" w:rsidTr="00D14AB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 xml:space="preserve">Факты привлечения во всех государствах-членах заявителя в течение 1 года к административной ответственности за административные правонарушения, привлечение </w:t>
            </w:r>
            <w:proofErr w:type="gramStart"/>
            <w:r>
              <w:t>к ответственности</w:t>
            </w:r>
            <w:proofErr w:type="gramEnd"/>
            <w:r>
              <w:t xml:space="preserve"> за совершение которых законодательством государств-членов определено в качестве основания для отказа во включении в реестр, отсутствуют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-</w:t>
            </w:r>
          </w:p>
        </w:tc>
      </w:tr>
      <w:tr w:rsidR="00C70D3E" w:rsidTr="00D14AB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 xml:space="preserve">Факты привлечения во всех государствах-членах физических лиц государств-членов, являющихся акционерами заявителя, имеющими 10 и более процентов акций заявителя, его учредителями (участниками), руководителями, главными бухгалтерами, к уголовной ответственности за преступления или уголовные правонарушения, производство по которым отнесено к ведению таможенных и иных государственных органов, привлечение к ответственности за совершение которых законодательством государств-членов определено в качестве основания для отказа во </w:t>
            </w:r>
            <w:r>
              <w:lastRenderedPageBreak/>
              <w:t>включении в реестр, отсутствуют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-</w:t>
            </w:r>
          </w:p>
        </w:tc>
      </w:tr>
      <w:tr w:rsidR="00C70D3E" w:rsidTr="00D14AB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bookmarkStart w:id="10" w:name="Par171"/>
            <w:bookmarkEnd w:id="10"/>
            <w:r>
              <w:t>7</w:t>
            </w: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Система учета товаров заявителя отвечает установленным законодательством государств-членов о таможенном регулировании требованиям, позволяет сопоставлять сведения, представленные таможенным органам при совершении таможенных операций, со сведениями о проведении хозяйственных операций и обеспечивает доступ (в том числе удаленный) таможенных органов к таким сведениям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-</w:t>
            </w:r>
          </w:p>
        </w:tc>
      </w:tr>
      <w:tr w:rsidR="00C70D3E" w:rsidTr="00D14AB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bookmarkStart w:id="11" w:name="Par175"/>
            <w:bookmarkEnd w:id="11"/>
            <w:r>
              <w:t>8</w:t>
            </w: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Совокупный показатель финансовой устойчивости заявителя, рассчитанный в соответствии с порядком определения финансовой устойчивости юридического лица, претендующего на включение в реестр, и значений, характеризующих финансовую устойчивость и необходимых для включения в этот реестр, предусмотренным пунктом 7 статьи 433 Кодекса, баллов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50</w:t>
            </w:r>
          </w:p>
        </w:tc>
      </w:tr>
      <w:tr w:rsidR="00C70D3E" w:rsidTr="00D14AB9"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bookmarkStart w:id="12" w:name="Par179"/>
            <w:bookmarkEnd w:id="12"/>
            <w:r>
              <w:t>9</w:t>
            </w:r>
          </w:p>
        </w:tc>
        <w:tc>
          <w:tcPr>
            <w:tcW w:w="8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Сооружения, помещения (части помещений) и (или) открытые площадки (части открытых площадок), предназначенные для временного хранения товаров, находятся у заявителя:</w:t>
            </w: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9.1</w:t>
            </w:r>
          </w:p>
        </w:tc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в собственности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-</w:t>
            </w: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9.2</w:t>
            </w:r>
          </w:p>
        </w:tc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в хозяйственном ведении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-</w:t>
            </w: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9.3</w:t>
            </w:r>
          </w:p>
        </w:tc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в оперативном управлении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-</w:t>
            </w: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9.4</w:t>
            </w:r>
          </w:p>
        </w:tc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в аренде по договору на срок не менее 1 года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-</w:t>
            </w:r>
          </w:p>
        </w:tc>
      </w:tr>
      <w:tr w:rsidR="00C70D3E" w:rsidTr="00D14AB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bookmarkStart w:id="13" w:name="Par197"/>
            <w:bookmarkEnd w:id="13"/>
            <w:r>
              <w:t>10</w:t>
            </w: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Требования к сооружениям, помещениям (частям помещений) и (или) открытым площадкам (частям открытых площадок), на территории которых будет осуществляться временное хранение товаров, завершение действия таможенной процедуры таможенного транзита и (или) проводиться таможенный контроль, к транспортным средствам и работникам заявителя, предусмотренные подпунктом 4 пункта 3 статьи 433 Кодекса, соблюдаются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-</w:t>
            </w:r>
          </w:p>
        </w:tc>
      </w:tr>
      <w:tr w:rsidR="00C70D3E" w:rsidTr="00D14AB9"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8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  <w:r>
              <w:t>Заявитель включен в реестр (период включения на момент подачи заявления):</w:t>
            </w: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bookmarkStart w:id="14" w:name="Par203"/>
            <w:bookmarkEnd w:id="14"/>
            <w:r>
              <w:t>11.1</w:t>
            </w:r>
          </w:p>
        </w:tc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с выдачей свидетельства первого типа, лет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2</w:t>
            </w: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11.2</w:t>
            </w:r>
          </w:p>
        </w:tc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с выдачей свидетельства второго типа, лет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bookmarkStart w:id="15" w:name="Par210"/>
            <w:bookmarkEnd w:id="15"/>
            <w:r>
              <w:t>11.3</w:t>
            </w:r>
          </w:p>
        </w:tc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 xml:space="preserve">с выдачей свидетельства в соответствии с Таможенным кодексом Таможенного союза, </w:t>
            </w:r>
            <w:r>
              <w:lastRenderedPageBreak/>
              <w:t>лет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both"/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bookmarkStart w:id="16" w:name="Par213"/>
            <w:bookmarkEnd w:id="16"/>
            <w:r>
              <w:t>11.4</w:t>
            </w:r>
          </w:p>
        </w:tc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с выдачей свидетельства второго или третьего типа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-</w:t>
            </w:r>
          </w:p>
        </w:tc>
      </w:tr>
      <w:tr w:rsidR="00C70D3E" w:rsidTr="00D14AB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bookmarkStart w:id="17" w:name="Par217"/>
            <w:bookmarkEnd w:id="17"/>
            <w:r>
              <w:t>12</w:t>
            </w: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Факт исключения из реестра в течение 1 года до даты подачи заявления отсутствует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-</w:t>
            </w:r>
          </w:p>
        </w:tc>
      </w:tr>
    </w:tbl>
    <w:p w:rsidR="00C70D3E" w:rsidRDefault="00C70D3E" w:rsidP="00C70D3E">
      <w:pPr>
        <w:pStyle w:val="ConsPlusNormal"/>
      </w:pPr>
    </w:p>
    <w:p w:rsidR="00C70D3E" w:rsidRDefault="00C70D3E" w:rsidP="00C70D3E">
      <w:pPr>
        <w:pStyle w:val="ConsPlusNonformat"/>
        <w:jc w:val="both"/>
      </w:pPr>
      <w:r>
        <w:t xml:space="preserve">    --------------------------------</w:t>
      </w:r>
    </w:p>
    <w:p w:rsidR="00C70D3E" w:rsidRDefault="00C70D3E" w:rsidP="00C70D3E">
      <w:pPr>
        <w:pStyle w:val="ConsPlusNonformat"/>
        <w:jc w:val="both"/>
      </w:pPr>
      <w:bookmarkStart w:id="18" w:name="Par223"/>
      <w:bookmarkEnd w:id="18"/>
      <w:r>
        <w:t xml:space="preserve">    &lt;*</w:t>
      </w:r>
      <w:proofErr w:type="gramStart"/>
      <w:r>
        <w:t>&gt;  Законодательством</w:t>
      </w:r>
      <w:proofErr w:type="gramEnd"/>
      <w:r>
        <w:t xml:space="preserve">  о  таможенном  регулировании государства-члена,</w:t>
      </w:r>
    </w:p>
    <w:p w:rsidR="00C70D3E" w:rsidRDefault="00C70D3E" w:rsidP="00C70D3E">
      <w:pPr>
        <w:pStyle w:val="ConsPlusNonformat"/>
        <w:jc w:val="both"/>
      </w:pPr>
      <w:r>
        <w:t>таможенному органу которого подается заявление, может быть установлено иное</w:t>
      </w:r>
    </w:p>
    <w:p w:rsidR="00C70D3E" w:rsidRDefault="00C70D3E" w:rsidP="00C70D3E">
      <w:pPr>
        <w:pStyle w:val="ConsPlusNonformat"/>
        <w:jc w:val="both"/>
      </w:pPr>
      <w:r>
        <w:t>минимальное значение в соответствии со статьей 433 Кодекса.</w:t>
      </w:r>
    </w:p>
    <w:p w:rsidR="00C70D3E" w:rsidRDefault="00C70D3E" w:rsidP="00C70D3E">
      <w:pPr>
        <w:pStyle w:val="ConsPlusNonformat"/>
        <w:jc w:val="both"/>
      </w:pPr>
      <w:bookmarkStart w:id="19" w:name="Par226"/>
      <w:bookmarkEnd w:id="19"/>
      <w:r>
        <w:t xml:space="preserve">    &lt;**&gt;   Рассчитывается   по   </w:t>
      </w:r>
      <w:proofErr w:type="gramStart"/>
      <w:r>
        <w:t>курсу  валют</w:t>
      </w:r>
      <w:proofErr w:type="gramEnd"/>
      <w:r>
        <w:t>,  установленному  центральным</w:t>
      </w:r>
    </w:p>
    <w:p w:rsidR="00C70D3E" w:rsidRDefault="00C70D3E" w:rsidP="00C70D3E">
      <w:pPr>
        <w:pStyle w:val="ConsPlusNonformat"/>
        <w:jc w:val="both"/>
      </w:pPr>
      <w:r>
        <w:t>(</w:t>
      </w:r>
      <w:proofErr w:type="gramStart"/>
      <w:r>
        <w:t xml:space="preserve">национальным)   </w:t>
      </w:r>
      <w:proofErr w:type="gramEnd"/>
      <w:r>
        <w:t>банком  государства-члена,  действующему  на  день  подачи</w:t>
      </w:r>
    </w:p>
    <w:p w:rsidR="00C70D3E" w:rsidRDefault="00C70D3E" w:rsidP="00C70D3E">
      <w:pPr>
        <w:pStyle w:val="ConsPlusNonformat"/>
        <w:jc w:val="both"/>
      </w:pPr>
      <w:r>
        <w:t>заявления.</w:t>
      </w:r>
    </w:p>
    <w:p w:rsidR="00C70D3E" w:rsidRDefault="00C70D3E" w:rsidP="00C70D3E">
      <w:pPr>
        <w:pStyle w:val="ConsPlusNonformat"/>
        <w:jc w:val="both"/>
      </w:pPr>
      <w:bookmarkStart w:id="20" w:name="Par229"/>
      <w:bookmarkEnd w:id="20"/>
      <w:r>
        <w:t xml:space="preserve">    &lt;***&gt;    Если    законодательством   государств-членов   о   таможенном</w:t>
      </w:r>
    </w:p>
    <w:p w:rsidR="00C70D3E" w:rsidRDefault="00C70D3E" w:rsidP="00C70D3E">
      <w:pPr>
        <w:pStyle w:val="ConsPlusNonformat"/>
        <w:jc w:val="both"/>
      </w:pPr>
      <w:proofErr w:type="gramStart"/>
      <w:r>
        <w:t>регулировании  установлено</w:t>
      </w:r>
      <w:proofErr w:type="gramEnd"/>
      <w:r>
        <w:t>,  что  исполнение  обязанностей  уполномоченного</w:t>
      </w:r>
    </w:p>
    <w:p w:rsidR="00C70D3E" w:rsidRDefault="00C70D3E" w:rsidP="00C70D3E">
      <w:pPr>
        <w:pStyle w:val="ConsPlusNonformat"/>
        <w:jc w:val="both"/>
      </w:pPr>
      <w:r>
        <w:t>экономического оператора обеспечивается определенным способом (способами) в</w:t>
      </w:r>
    </w:p>
    <w:p w:rsidR="00C70D3E" w:rsidRDefault="00C70D3E" w:rsidP="00C70D3E">
      <w:pPr>
        <w:pStyle w:val="ConsPlusNonformat"/>
        <w:jc w:val="both"/>
      </w:pPr>
      <w:proofErr w:type="gramStart"/>
      <w:r>
        <w:t>соответствии  с</w:t>
      </w:r>
      <w:proofErr w:type="gramEnd"/>
      <w:r>
        <w:t xml:space="preserve">  пунктом  6  статьи  436 Кодекса, выбор способа обеспечения</w:t>
      </w:r>
    </w:p>
    <w:p w:rsidR="00C70D3E" w:rsidRDefault="00C70D3E" w:rsidP="00C70D3E">
      <w:pPr>
        <w:pStyle w:val="ConsPlusNonformat"/>
        <w:jc w:val="both"/>
      </w:pPr>
      <w:proofErr w:type="gramStart"/>
      <w:r>
        <w:t>осуществляется  только</w:t>
      </w:r>
      <w:proofErr w:type="gramEnd"/>
      <w:r>
        <w:t xml:space="preserve">  из  способов, установленных законодательством этого</w:t>
      </w:r>
    </w:p>
    <w:p w:rsidR="00C70D3E" w:rsidRDefault="00C70D3E" w:rsidP="00C70D3E">
      <w:pPr>
        <w:pStyle w:val="ConsPlusNonformat"/>
        <w:jc w:val="both"/>
      </w:pPr>
      <w:r>
        <w:t>государства-члена.</w:t>
      </w:r>
    </w:p>
    <w:p w:rsidR="00C70D3E" w:rsidRDefault="00C70D3E" w:rsidP="00C70D3E">
      <w:pPr>
        <w:pStyle w:val="ConsPlusNonformat"/>
        <w:jc w:val="both"/>
      </w:pPr>
    </w:p>
    <w:p w:rsidR="00C70D3E" w:rsidRDefault="00C70D3E" w:rsidP="00C70D3E">
      <w:pPr>
        <w:pStyle w:val="ConsPlusNonformat"/>
        <w:jc w:val="both"/>
      </w:pPr>
      <w:bookmarkStart w:id="21" w:name="Par236"/>
      <w:bookmarkEnd w:id="21"/>
      <w:r>
        <w:t xml:space="preserve">            II. Сведения о физических лицах государств-членов,</w:t>
      </w:r>
    </w:p>
    <w:p w:rsidR="00C70D3E" w:rsidRDefault="00C70D3E" w:rsidP="00C70D3E">
      <w:pPr>
        <w:pStyle w:val="ConsPlusNonformat"/>
        <w:jc w:val="both"/>
      </w:pPr>
      <w:r>
        <w:t xml:space="preserve">      являющихся акционерами заявителя, имеющими 10 и более процентов</w:t>
      </w:r>
    </w:p>
    <w:p w:rsidR="00C70D3E" w:rsidRDefault="00C70D3E" w:rsidP="00C70D3E">
      <w:pPr>
        <w:pStyle w:val="ConsPlusNonformat"/>
        <w:jc w:val="both"/>
      </w:pPr>
      <w:r>
        <w:t xml:space="preserve">     акций заявителя, его учредителями (участниками), руководителями,</w:t>
      </w:r>
    </w:p>
    <w:p w:rsidR="00C70D3E" w:rsidRDefault="00C70D3E" w:rsidP="00C70D3E">
      <w:pPr>
        <w:pStyle w:val="ConsPlusNonformat"/>
        <w:jc w:val="both"/>
      </w:pPr>
      <w:r>
        <w:t xml:space="preserve">                           главными бухгалтерами</w:t>
      </w:r>
    </w:p>
    <w:p w:rsidR="00C70D3E" w:rsidRDefault="00C70D3E" w:rsidP="00C70D3E">
      <w:pPr>
        <w:pStyle w:val="ConsPlusNormal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38"/>
        <w:gridCol w:w="2608"/>
        <w:gridCol w:w="2061"/>
        <w:gridCol w:w="2494"/>
        <w:gridCol w:w="1417"/>
      </w:tblGrid>
      <w:tr w:rsidR="00C70D3E" w:rsidTr="00D14AB9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Фамилия, имя, отчество (при наличии) (в соответствии с документом, удостоверяющим личность)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Дата и место рождения (в соответствии с документом, удостоверяющим личность)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Отношение к заявителю (акционер, учредитель (участник), руководитель, главный бухгалтер)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Примечание</w:t>
            </w:r>
          </w:p>
        </w:tc>
      </w:tr>
      <w:tr w:rsidR="00C70D3E" w:rsidTr="00D14AB9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5</w:t>
            </w:r>
          </w:p>
        </w:tc>
      </w:tr>
      <w:tr w:rsidR="00C70D3E" w:rsidTr="00D14AB9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</w:tbl>
    <w:p w:rsidR="00C70D3E" w:rsidRDefault="00C70D3E" w:rsidP="00C70D3E">
      <w:pPr>
        <w:pStyle w:val="ConsPlusNormal"/>
        <w:jc w:val="both"/>
      </w:pPr>
    </w:p>
    <w:p w:rsidR="00C70D3E" w:rsidRDefault="00C70D3E" w:rsidP="00C70D3E">
      <w:pPr>
        <w:pStyle w:val="ConsPlusNonformat"/>
        <w:jc w:val="both"/>
      </w:pPr>
      <w:bookmarkStart w:id="22" w:name="Par262"/>
      <w:bookmarkEnd w:id="22"/>
      <w:r>
        <w:t xml:space="preserve">       III. Сведения о значениях показателей финансовой устойчивости</w:t>
      </w:r>
    </w:p>
    <w:p w:rsidR="00C70D3E" w:rsidRDefault="00C70D3E" w:rsidP="00C70D3E">
      <w:pPr>
        <w:pStyle w:val="ConsPlusNonformat"/>
        <w:jc w:val="both"/>
      </w:pPr>
      <w:r>
        <w:t xml:space="preserve">             и совокупного показателя финансовой устойчивости</w:t>
      </w:r>
    </w:p>
    <w:p w:rsidR="00C70D3E" w:rsidRDefault="00C70D3E" w:rsidP="00C70D3E">
      <w:pPr>
        <w:pStyle w:val="ConsPlusNormal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68"/>
        <w:gridCol w:w="3005"/>
        <w:gridCol w:w="1417"/>
        <w:gridCol w:w="1361"/>
        <w:gridCol w:w="1355"/>
        <w:gridCol w:w="1499"/>
      </w:tblGrid>
      <w:tr w:rsidR="00C70D3E" w:rsidTr="00D14A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Среднее значение показателя за 3 года (расчетное)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Критерий показателя (минимальный)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Значимость показателя в балльной системе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Фактическая значимость показателя (в баллах)</w:t>
            </w:r>
          </w:p>
        </w:tc>
      </w:tr>
      <w:tr w:rsidR="00C70D3E" w:rsidTr="00D14A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6</w:t>
            </w:r>
          </w:p>
        </w:tc>
      </w:tr>
      <w:tr w:rsidR="00C70D3E" w:rsidTr="00D14A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bookmarkStart w:id="23" w:name="Par277"/>
            <w:bookmarkEnd w:id="23"/>
            <w: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Размер чистых активов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lastRenderedPageBreak/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Размер уставного капитала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bookmarkStart w:id="24" w:name="Par289"/>
            <w:bookmarkEnd w:id="24"/>
            <w: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Остаточная стоимость основных средств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Коэффициент автономии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0,30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Коэффициент общей (текущей) ликвидности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1,00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bookmarkStart w:id="25" w:name="Par307"/>
            <w:bookmarkEnd w:id="25"/>
            <w:r>
              <w:t>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Рентабельность собственного капитала, процентов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5,00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Коэффициент финансовой устойчивости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0,60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Коэффициент обеспеченности текущей деятельности собственными оборотными активами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0,10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Коэффициент маневренности собственного капитала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0,20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7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Совокупный показатель юридического лица, претендующего на включение в реестр (минимум 50 баллов)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</w:tbl>
    <w:p w:rsidR="00C70D3E" w:rsidRDefault="00C70D3E" w:rsidP="00C70D3E">
      <w:pPr>
        <w:pStyle w:val="ConsPlusNormal"/>
        <w:jc w:val="both"/>
      </w:pPr>
    </w:p>
    <w:p w:rsidR="00C70D3E" w:rsidRDefault="00C70D3E" w:rsidP="00C70D3E">
      <w:pPr>
        <w:pStyle w:val="ConsPlusNonformat"/>
        <w:jc w:val="both"/>
      </w:pPr>
      <w:bookmarkStart w:id="26" w:name="Par335"/>
      <w:bookmarkEnd w:id="26"/>
      <w:r>
        <w:t xml:space="preserve">        IV. Сведения о сооружениях, помещениях (частях помещений)</w:t>
      </w:r>
    </w:p>
    <w:p w:rsidR="00C70D3E" w:rsidRDefault="00C70D3E" w:rsidP="00C70D3E">
      <w:pPr>
        <w:pStyle w:val="ConsPlusNonformat"/>
        <w:jc w:val="both"/>
      </w:pPr>
      <w:r>
        <w:t xml:space="preserve">          и (или) открытых площадках (частях открытых площадок),</w:t>
      </w:r>
    </w:p>
    <w:p w:rsidR="00C70D3E" w:rsidRDefault="00C70D3E" w:rsidP="00C70D3E">
      <w:pPr>
        <w:pStyle w:val="ConsPlusNonformat"/>
        <w:jc w:val="both"/>
      </w:pPr>
      <w:r>
        <w:t xml:space="preserve">              предназначенных для временного хранения товаров</w:t>
      </w:r>
    </w:p>
    <w:p w:rsidR="00C70D3E" w:rsidRDefault="00C70D3E" w:rsidP="00C70D3E">
      <w:pPr>
        <w:pStyle w:val="ConsPlusNormal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51"/>
        <w:gridCol w:w="2211"/>
        <w:gridCol w:w="4535"/>
        <w:gridCol w:w="1814"/>
      </w:tblGrid>
      <w:tr w:rsidR="00C70D3E" w:rsidTr="00D14AB9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Адрес местонахождения объекта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Номер и дата документа, подтверждающего нахождение в собственности, хозяйственном ведении, оперативном управлении или аренде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Срок действия документа (договора аренды)</w:t>
            </w:r>
          </w:p>
        </w:tc>
      </w:tr>
      <w:tr w:rsidR="00C70D3E" w:rsidTr="00D14AB9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4</w:t>
            </w:r>
          </w:p>
        </w:tc>
      </w:tr>
      <w:tr w:rsidR="00C70D3E" w:rsidTr="00D14AB9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</w:tbl>
    <w:p w:rsidR="00C70D3E" w:rsidRDefault="00C70D3E" w:rsidP="00C70D3E">
      <w:pPr>
        <w:pStyle w:val="ConsPlusNormal"/>
        <w:jc w:val="both"/>
      </w:pPr>
    </w:p>
    <w:p w:rsidR="00C70D3E" w:rsidRDefault="00C70D3E" w:rsidP="00C70D3E">
      <w:pPr>
        <w:pStyle w:val="ConsPlusNonformat"/>
        <w:jc w:val="both"/>
      </w:pPr>
      <w:bookmarkStart w:id="27" w:name="Par356"/>
      <w:bookmarkEnd w:id="27"/>
      <w:r>
        <w:t xml:space="preserve">        V. Сведения об обособленных подразделениях и (или) филиалах</w:t>
      </w:r>
    </w:p>
    <w:p w:rsidR="00C70D3E" w:rsidRDefault="00C70D3E" w:rsidP="00C70D3E">
      <w:pPr>
        <w:pStyle w:val="ConsPlusNormal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56"/>
        <w:gridCol w:w="3912"/>
        <w:gridCol w:w="4649"/>
      </w:tblGrid>
      <w:tr w:rsidR="00C70D3E" w:rsidTr="00D14AB9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Наименование обособленного подразделения и (или) филиала (полное и краткое - при наличии)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Номер обособленного подразделения и (или) филиала, присвоенный налоговым органом (органом государственных доходов) государства-члена</w:t>
            </w:r>
          </w:p>
        </w:tc>
      </w:tr>
      <w:tr w:rsidR="00C70D3E" w:rsidTr="00D14AB9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lastRenderedPageBreak/>
              <w:t>1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3</w:t>
            </w:r>
          </w:p>
        </w:tc>
      </w:tr>
      <w:tr w:rsidR="00C70D3E" w:rsidTr="00D14AB9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</w:tbl>
    <w:p w:rsidR="00C70D3E" w:rsidRDefault="00C70D3E" w:rsidP="00C70D3E">
      <w:pPr>
        <w:pStyle w:val="ConsPlusNormal"/>
        <w:jc w:val="both"/>
      </w:pPr>
    </w:p>
    <w:p w:rsidR="00C70D3E" w:rsidRDefault="00C70D3E" w:rsidP="00C70D3E">
      <w:pPr>
        <w:pStyle w:val="ConsPlusNonformat"/>
        <w:jc w:val="both"/>
      </w:pPr>
      <w:bookmarkStart w:id="28" w:name="Par371"/>
      <w:bookmarkEnd w:id="28"/>
      <w:r>
        <w:t xml:space="preserve">             VI. Документы, подтверждающие сведения, указанные</w:t>
      </w:r>
    </w:p>
    <w:p w:rsidR="00C70D3E" w:rsidRDefault="00C70D3E" w:rsidP="00C70D3E">
      <w:pPr>
        <w:pStyle w:val="ConsPlusNonformat"/>
        <w:jc w:val="both"/>
      </w:pPr>
      <w:r>
        <w:t xml:space="preserve">                           в настоящем заявлении</w:t>
      </w:r>
    </w:p>
    <w:p w:rsidR="00C70D3E" w:rsidRDefault="00C70D3E" w:rsidP="00C70D3E">
      <w:pPr>
        <w:pStyle w:val="ConsPlusNormal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57"/>
        <w:gridCol w:w="6800"/>
        <w:gridCol w:w="1567"/>
      </w:tblGrid>
      <w:tr w:rsidR="00C70D3E" w:rsidTr="00D14AB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Наименования документов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Количество листов</w:t>
            </w:r>
          </w:p>
        </w:tc>
      </w:tr>
      <w:tr w:rsidR="00C70D3E" w:rsidTr="00D14AB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  <w:jc w:val="center"/>
            </w:pPr>
            <w:r>
              <w:t>3</w:t>
            </w:r>
          </w:p>
        </w:tc>
      </w:tr>
      <w:tr w:rsidR="00C70D3E" w:rsidTr="00D14AB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Копии учредительных документов юридического лица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Документ, подтверждающий отсутствие у заявителя задолженности (недоимки) в соответствии с законодательством о налогах и сборах (налоговым законодательством) государства-члена, в котором зарегистрирован заявитель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Документы (копии документов), подтверждающие расчет значений показателей финансовой устойчивости и совокупного показателя финансовой устойчивости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Документы, выданные компетентным органом государства-члена и подтверждающие отсутствие фактов привлечения к уголовной ответственности физических лиц государств-членов, являющихся акционерами заявителя, имеющими 10 и более процентов акций заявителя, его учредителями (участниками), руководителями, главными бухгалтерами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Документы, подтверждающие наличие у заявителя системы учета товаров, отвечающей установленным законодательством государства-члена о таможенном регулировании требованиям, позволяющей сопоставлять сведения, представленные таможенным органам при совершении таможенных операций, со сведениями о проведении хозяйственных операций и обеспечивающей доступ (в том числе удаленный) таможенных органов к таким сведениям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Копии документов, подтверждающих наличие у заявителя, претендующего на получение свидетельства второго или третьего типа, сооружений, помещений (частей помещений) и (или) открытых площадок (частей открытых площадок), предназначенных для временного хранения товаров, завершения действия таможенной процедуры таможенного транзита и (или) проведения таможенного контроля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  <w:tr w:rsidR="00C70D3E" w:rsidTr="00D14AB9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D3E" w:rsidRDefault="00C70D3E" w:rsidP="00D14AB9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  <w:r>
              <w:t>Иные документы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3E" w:rsidRDefault="00C70D3E" w:rsidP="00D14AB9">
            <w:pPr>
              <w:pStyle w:val="ConsPlusNormal"/>
            </w:pPr>
          </w:p>
        </w:tc>
      </w:tr>
    </w:tbl>
    <w:p w:rsidR="00C70D3E" w:rsidRDefault="00C70D3E" w:rsidP="00C70D3E">
      <w:pPr>
        <w:pStyle w:val="ConsPlusNormal"/>
        <w:jc w:val="both"/>
      </w:pPr>
    </w:p>
    <w:p w:rsidR="00C70D3E" w:rsidRDefault="00C70D3E" w:rsidP="00C70D3E">
      <w:pPr>
        <w:pStyle w:val="ConsPlusNonformat"/>
        <w:jc w:val="both"/>
      </w:pPr>
      <w:r>
        <w:t>__________________________________  ___________________  __________________</w:t>
      </w:r>
    </w:p>
    <w:p w:rsidR="00C70D3E" w:rsidRDefault="00C70D3E" w:rsidP="00C70D3E">
      <w:pPr>
        <w:pStyle w:val="ConsPlusNonformat"/>
        <w:jc w:val="both"/>
      </w:pPr>
      <w:r>
        <w:lastRenderedPageBreak/>
        <w:t xml:space="preserve">(должность руководителя </w:t>
      </w:r>
      <w:proofErr w:type="gramStart"/>
      <w:r>
        <w:t>заявителя)  (</w:t>
      </w:r>
      <w:proofErr w:type="gramEnd"/>
      <w:r>
        <w:t>подпись заявителя)  (Ф.И.О. заявителя)</w:t>
      </w:r>
    </w:p>
    <w:p w:rsidR="00C70D3E" w:rsidRDefault="00C70D3E" w:rsidP="00C70D3E">
      <w:pPr>
        <w:pStyle w:val="ConsPlusNonformat"/>
        <w:jc w:val="both"/>
      </w:pPr>
    </w:p>
    <w:p w:rsidR="00C70D3E" w:rsidRDefault="00C70D3E" w:rsidP="00C70D3E">
      <w:pPr>
        <w:pStyle w:val="ConsPlusNonformat"/>
        <w:jc w:val="both"/>
      </w:pPr>
      <w:r>
        <w:t>"__" ____________ 20__ г.</w:t>
      </w:r>
    </w:p>
    <w:p w:rsidR="00C70D3E" w:rsidRDefault="00C70D3E" w:rsidP="00C70D3E">
      <w:pPr>
        <w:pStyle w:val="ConsPlusNormal"/>
      </w:pPr>
    </w:p>
    <w:p w:rsidR="00C70D3E" w:rsidRDefault="00C70D3E" w:rsidP="00C70D3E">
      <w:pPr>
        <w:pStyle w:val="ConsPlusNormal"/>
      </w:pPr>
    </w:p>
    <w:p w:rsidR="00C70D3E" w:rsidRDefault="00C70D3E" w:rsidP="00C70D3E">
      <w:pPr>
        <w:pStyle w:val="ConsPlusTitle"/>
        <w:jc w:val="center"/>
      </w:pPr>
      <w:bookmarkStart w:id="29" w:name="Par416"/>
      <w:bookmarkEnd w:id="29"/>
      <w:r>
        <w:t>ПОРЯДОК</w:t>
      </w:r>
    </w:p>
    <w:p w:rsidR="00C70D3E" w:rsidRDefault="00C70D3E" w:rsidP="00C70D3E">
      <w:pPr>
        <w:pStyle w:val="ConsPlusTitle"/>
        <w:jc w:val="center"/>
      </w:pPr>
      <w:r>
        <w:t>ЗАПОЛНЕНИЯ ФОРМЫ ЗАЯВЛЕНИЯ О ВКЛЮЧЕНИИ В РЕЕСТР</w:t>
      </w:r>
      <w:r w:rsidRPr="00C70D3E">
        <w:t xml:space="preserve"> </w:t>
      </w:r>
      <w:r>
        <w:t>УЭО</w:t>
      </w:r>
    </w:p>
    <w:p w:rsidR="00C70D3E" w:rsidRDefault="00C70D3E" w:rsidP="00C70D3E">
      <w:pPr>
        <w:pStyle w:val="ConsPlusTitle"/>
        <w:jc w:val="center"/>
      </w:pPr>
    </w:p>
    <w:p w:rsidR="00C70D3E" w:rsidRDefault="00C70D3E" w:rsidP="00C70D3E">
      <w:pPr>
        <w:pStyle w:val="ConsPlusNormal"/>
      </w:pPr>
    </w:p>
    <w:p w:rsidR="00C70D3E" w:rsidRDefault="00C70D3E" w:rsidP="00C70D3E">
      <w:pPr>
        <w:pStyle w:val="ConsPlusNormal"/>
        <w:ind w:firstLine="540"/>
        <w:jc w:val="both"/>
      </w:pPr>
      <w:r>
        <w:t>1. В заявлении о включении в реестр уполномоченных экономических операторов (далее соответственно - заявление, реестр) указываются полное и краткое (при наличии) наименования юридического лица, претендующего на включение в реестр (далее - заявитель), в соответствии с учредительными документами, а также номер, присвоенный налоговым органом (органом государственных доходов) государства - члена Евразийского экономического союза (далее - государство-член).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>2. Заявителем выбирается один из вариантов запрашиваемого типа свидетельства (типов свидетельств) путем указания в соответствующем поле знака "v", при этом в других полях проставляется знак прочерка "-".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 xml:space="preserve">3. В </w:t>
      </w:r>
      <w:hyperlink w:anchor="Par63" w:tooltip="                             I. Общие сведения" w:history="1">
        <w:r>
          <w:rPr>
            <w:color w:val="0000FF"/>
          </w:rPr>
          <w:t>разделе I</w:t>
        </w:r>
      </w:hyperlink>
      <w:r>
        <w:t xml:space="preserve"> заявления в графе 3 таблицы указываются: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 xml:space="preserve">в </w:t>
      </w:r>
      <w:hyperlink w:anchor="Par73" w:tooltip="1" w:history="1">
        <w:r>
          <w:rPr>
            <w:color w:val="0000FF"/>
          </w:rPr>
          <w:t>пунктах 1</w:t>
        </w:r>
      </w:hyperlink>
      <w:r>
        <w:t xml:space="preserve"> (в том числе в </w:t>
      </w:r>
      <w:hyperlink w:anchor="Par90" w:tooltip="1.1" w:history="1">
        <w:r>
          <w:rPr>
            <w:color w:val="0000FF"/>
          </w:rPr>
          <w:t>подпунктах 1.1</w:t>
        </w:r>
      </w:hyperlink>
      <w:r>
        <w:t xml:space="preserve"> - </w:t>
      </w:r>
      <w:hyperlink w:anchor="Par124" w:tooltip="1.5" w:history="1">
        <w:r>
          <w:rPr>
            <w:color w:val="0000FF"/>
          </w:rPr>
          <w:t>1.5</w:t>
        </w:r>
      </w:hyperlink>
      <w:r>
        <w:t xml:space="preserve">), </w:t>
      </w:r>
      <w:hyperlink w:anchor="Par130" w:tooltip="2" w:history="1">
        <w:r>
          <w:rPr>
            <w:color w:val="0000FF"/>
          </w:rPr>
          <w:t>2</w:t>
        </w:r>
      </w:hyperlink>
      <w:r>
        <w:t xml:space="preserve">, </w:t>
      </w:r>
      <w:hyperlink w:anchor="Par175" w:tooltip="8" w:history="1">
        <w:r>
          <w:rPr>
            <w:color w:val="0000FF"/>
          </w:rPr>
          <w:t>8</w:t>
        </w:r>
      </w:hyperlink>
      <w:r>
        <w:t xml:space="preserve"> и </w:t>
      </w:r>
      <w:hyperlink w:anchor="Par203" w:tooltip="11.1" w:history="1">
        <w:r>
          <w:rPr>
            <w:color w:val="0000FF"/>
          </w:rPr>
          <w:t>подпунктах 11.1</w:t>
        </w:r>
      </w:hyperlink>
      <w:r>
        <w:t xml:space="preserve"> - </w:t>
      </w:r>
      <w:hyperlink w:anchor="Par210" w:tooltip="11.3" w:history="1">
        <w:r>
          <w:rPr>
            <w:color w:val="0000FF"/>
          </w:rPr>
          <w:t>11.3</w:t>
        </w:r>
      </w:hyperlink>
      <w:r>
        <w:t xml:space="preserve"> - значения, подтверждающие соблюдение условий включения в реестр;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 xml:space="preserve">в </w:t>
      </w:r>
      <w:hyperlink w:anchor="Par155" w:tooltip="3" w:history="1">
        <w:r>
          <w:rPr>
            <w:color w:val="0000FF"/>
          </w:rPr>
          <w:t>пунктах 3</w:t>
        </w:r>
      </w:hyperlink>
      <w:r>
        <w:t xml:space="preserve"> - </w:t>
      </w:r>
      <w:hyperlink w:anchor="Par171" w:tooltip="7" w:history="1">
        <w:r>
          <w:rPr>
            <w:color w:val="0000FF"/>
          </w:rPr>
          <w:t>7</w:t>
        </w:r>
      </w:hyperlink>
      <w:r>
        <w:t xml:space="preserve">, </w:t>
      </w:r>
      <w:hyperlink w:anchor="Par179" w:tooltip="9" w:history="1">
        <w:r>
          <w:rPr>
            <w:color w:val="0000FF"/>
          </w:rPr>
          <w:t>9</w:t>
        </w:r>
      </w:hyperlink>
      <w:r>
        <w:t xml:space="preserve">, </w:t>
      </w:r>
      <w:hyperlink w:anchor="Par197" w:tooltip="10" w:history="1">
        <w:r>
          <w:rPr>
            <w:color w:val="0000FF"/>
          </w:rPr>
          <w:t>10</w:t>
        </w:r>
      </w:hyperlink>
      <w:r>
        <w:t xml:space="preserve">, </w:t>
      </w:r>
      <w:hyperlink w:anchor="Par213" w:tooltip="11.4" w:history="1">
        <w:r>
          <w:rPr>
            <w:color w:val="0000FF"/>
          </w:rPr>
          <w:t>подпункте 11.4</w:t>
        </w:r>
      </w:hyperlink>
      <w:r>
        <w:t xml:space="preserve"> и </w:t>
      </w:r>
      <w:hyperlink w:anchor="Par217" w:tooltip="12" w:history="1">
        <w:r>
          <w:rPr>
            <w:color w:val="0000FF"/>
          </w:rPr>
          <w:t>пункте 12</w:t>
        </w:r>
      </w:hyperlink>
      <w:r>
        <w:t xml:space="preserve"> - отметки о соблюдении условий в виде знака "v" при подтверждении соблюдения соответствующих условий включения в реестр.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 xml:space="preserve">При выполнении заявителем двух и более условий включения в реестр, указанных в </w:t>
      </w:r>
      <w:hyperlink w:anchor="Par73" w:tooltip="1" w:history="1">
        <w:r>
          <w:rPr>
            <w:color w:val="0000FF"/>
          </w:rPr>
          <w:t>пунктах 1</w:t>
        </w:r>
      </w:hyperlink>
      <w:r>
        <w:t xml:space="preserve"> (в том числе в </w:t>
      </w:r>
      <w:hyperlink w:anchor="Par90" w:tooltip="1.1" w:history="1">
        <w:r>
          <w:rPr>
            <w:color w:val="0000FF"/>
          </w:rPr>
          <w:t>подпунктах 1.1</w:t>
        </w:r>
      </w:hyperlink>
      <w:r>
        <w:t xml:space="preserve"> - </w:t>
      </w:r>
      <w:hyperlink w:anchor="Par124" w:tooltip="1.5" w:history="1">
        <w:r>
          <w:rPr>
            <w:color w:val="0000FF"/>
          </w:rPr>
          <w:t>1.5</w:t>
        </w:r>
      </w:hyperlink>
      <w:r>
        <w:t xml:space="preserve">), </w:t>
      </w:r>
      <w:hyperlink w:anchor="Par130" w:tooltip="2" w:history="1">
        <w:r>
          <w:rPr>
            <w:color w:val="0000FF"/>
          </w:rPr>
          <w:t>2</w:t>
        </w:r>
      </w:hyperlink>
      <w:r>
        <w:t xml:space="preserve">, </w:t>
      </w:r>
      <w:hyperlink w:anchor="Par179" w:tooltip="9" w:history="1">
        <w:r>
          <w:rPr>
            <w:color w:val="0000FF"/>
          </w:rPr>
          <w:t>9</w:t>
        </w:r>
      </w:hyperlink>
      <w:r>
        <w:t xml:space="preserve"> и </w:t>
      </w:r>
      <w:hyperlink w:anchor="Par203" w:tooltip="11.1" w:history="1">
        <w:r>
          <w:rPr>
            <w:color w:val="0000FF"/>
          </w:rPr>
          <w:t>подпунктах 11.1</w:t>
        </w:r>
      </w:hyperlink>
      <w:r>
        <w:t xml:space="preserve"> - </w:t>
      </w:r>
      <w:hyperlink w:anchor="Par210" w:tooltip="11.3" w:history="1">
        <w:r>
          <w:rPr>
            <w:color w:val="0000FF"/>
          </w:rPr>
          <w:t>11.3 раздела I</w:t>
        </w:r>
      </w:hyperlink>
      <w:r>
        <w:t xml:space="preserve"> заявления, в графе 3 таблицы в каждом из этих пунктов и подпунктов указывается соответствующее значение или отметка о соблюдении условия.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 xml:space="preserve">При отсутствии значения, а также в случае, если для запрашиваемого типа свидетельства в соответствии со статьей 433 Таможенного кодекса Евразийского экономического союза (далее - Кодекс) условие не является обязательным для включения в реестр, в </w:t>
      </w:r>
      <w:hyperlink w:anchor="Par63" w:tooltip="                             I. Общие сведения" w:history="1">
        <w:r>
          <w:rPr>
            <w:color w:val="0000FF"/>
          </w:rPr>
          <w:t>разделе I</w:t>
        </w:r>
      </w:hyperlink>
      <w:r>
        <w:t xml:space="preserve"> заявления в графе 3 таблицы ставится знак прочерка "-".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 xml:space="preserve">4. В </w:t>
      </w:r>
      <w:hyperlink w:anchor="Par203" w:tooltip="11.1" w:history="1">
        <w:r>
          <w:rPr>
            <w:color w:val="0000FF"/>
          </w:rPr>
          <w:t>подпунктах 1.1</w:t>
        </w:r>
      </w:hyperlink>
      <w:r>
        <w:t xml:space="preserve"> и </w:t>
      </w:r>
      <w:hyperlink w:anchor="Par210" w:tooltip="11.3" w:history="1">
        <w:r>
          <w:rPr>
            <w:color w:val="0000FF"/>
          </w:rPr>
          <w:t>1.3 раздела I</w:t>
        </w:r>
      </w:hyperlink>
      <w:r>
        <w:t xml:space="preserve"> заявления в графе 3 таблицы указание значения одного из условий является обязательным, значение другого условия приводится по желанию заявителя.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 xml:space="preserve">5. В </w:t>
      </w:r>
      <w:hyperlink w:anchor="Par130" w:tooltip="2" w:history="1">
        <w:r>
          <w:rPr>
            <w:color w:val="0000FF"/>
          </w:rPr>
          <w:t>пункте 2 раздела I</w:t>
        </w:r>
      </w:hyperlink>
      <w:r>
        <w:t xml:space="preserve"> заявления в графе 3 таблицы значения, подтверждающие соблюдение условий включения в реестр, указываются в случае, если условие является обязательным для включения в реестр.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 xml:space="preserve">В случае если исполнение обязанности уполномоченного экономического оператора планируется обеспечить способами, отличными от указанных в </w:t>
      </w:r>
      <w:hyperlink w:anchor="Par132" w:tooltip="2.1" w:history="1">
        <w:r>
          <w:rPr>
            <w:color w:val="0000FF"/>
          </w:rPr>
          <w:t>подпунктах 2.1</w:t>
        </w:r>
      </w:hyperlink>
      <w:r>
        <w:t xml:space="preserve"> - </w:t>
      </w:r>
      <w:hyperlink w:anchor="Par142" w:tooltip="2.4" w:history="1">
        <w:r>
          <w:rPr>
            <w:color w:val="0000FF"/>
          </w:rPr>
          <w:t>2.4 раздела I</w:t>
        </w:r>
      </w:hyperlink>
      <w:r>
        <w:t xml:space="preserve"> заявления и предусмотренными законодательством государства-члена, таможенному органу которого подается заявление, информация о таких способах приводится в </w:t>
      </w:r>
      <w:hyperlink w:anchor="Par145" w:tooltip="2.5" w:history="1">
        <w:r>
          <w:rPr>
            <w:color w:val="0000FF"/>
          </w:rPr>
          <w:t>подпункте 2.5 раздела I</w:t>
        </w:r>
      </w:hyperlink>
      <w:r>
        <w:t xml:space="preserve"> заявления (в графе 2) с указанием в графе 3 таблицы соответствующего значения.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 xml:space="preserve">6. В </w:t>
      </w:r>
      <w:hyperlink w:anchor="Par175" w:tooltip="8" w:history="1">
        <w:r>
          <w:rPr>
            <w:color w:val="0000FF"/>
          </w:rPr>
          <w:t>пунктах 8</w:t>
        </w:r>
      </w:hyperlink>
      <w:r>
        <w:t xml:space="preserve"> - </w:t>
      </w:r>
      <w:hyperlink w:anchor="Par197" w:tooltip="10" w:history="1">
        <w:r>
          <w:rPr>
            <w:color w:val="0000FF"/>
          </w:rPr>
          <w:t>10 раздела I</w:t>
        </w:r>
      </w:hyperlink>
      <w:r>
        <w:t xml:space="preserve"> заявления в графе 3 таблицы значения или отметки о соблюдении </w:t>
      </w:r>
      <w:r>
        <w:lastRenderedPageBreak/>
        <w:t>условий указываются заявителем при подаче заявления о включении в реестр с выдачей свидетельства второго или третьего типа.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 xml:space="preserve">7. В </w:t>
      </w:r>
      <w:hyperlink w:anchor="Par203" w:tooltip="11.1" w:history="1">
        <w:r>
          <w:rPr>
            <w:color w:val="0000FF"/>
          </w:rPr>
          <w:t>подпунктах 11.1</w:t>
        </w:r>
      </w:hyperlink>
      <w:r>
        <w:t xml:space="preserve"> - </w:t>
      </w:r>
      <w:hyperlink w:anchor="Par210" w:tooltip="11.3" w:history="1">
        <w:r>
          <w:rPr>
            <w:color w:val="0000FF"/>
          </w:rPr>
          <w:t>11.3 раздела I</w:t>
        </w:r>
      </w:hyperlink>
      <w:r>
        <w:t xml:space="preserve"> заявления в графе 3 таблицы значения указываются при подаче заявления о включении в реестр с выдачей свидетельства третьего типа заявителем, имеющим свидетельства первого и (или) второго типа, или заявителем, включенным в реестр в соответствии с Таможенным кодексом Таможенного союза.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 xml:space="preserve">8. Заявитель, являющийся уполномоченным экономическим оператором, имеющим свидетельство второго или третьего типа, в случае подачи заявления на включение в реестр с выдачей свидетельства первого типа в </w:t>
      </w:r>
      <w:hyperlink w:anchor="Par63" w:tooltip="                             I. Общие сведения" w:history="1">
        <w:r>
          <w:rPr>
            <w:color w:val="0000FF"/>
          </w:rPr>
          <w:t>разделе I</w:t>
        </w:r>
      </w:hyperlink>
      <w:r>
        <w:t xml:space="preserve"> заявления в графе 3 таблицы заполняет только </w:t>
      </w:r>
      <w:hyperlink w:anchor="Par130" w:tooltip="2" w:history="1">
        <w:r>
          <w:rPr>
            <w:color w:val="0000FF"/>
          </w:rPr>
          <w:t>пункт 2</w:t>
        </w:r>
      </w:hyperlink>
      <w:r>
        <w:t xml:space="preserve"> и </w:t>
      </w:r>
      <w:hyperlink w:anchor="Par213" w:tooltip="11.4" w:history="1">
        <w:r>
          <w:rPr>
            <w:color w:val="0000FF"/>
          </w:rPr>
          <w:t>подпункт 11.4</w:t>
        </w:r>
      </w:hyperlink>
      <w:r>
        <w:t xml:space="preserve">. При этом </w:t>
      </w:r>
      <w:hyperlink w:anchor="Par236" w:tooltip="            II. Сведения о физических лицах государств-членов," w:history="1">
        <w:r>
          <w:rPr>
            <w:color w:val="0000FF"/>
          </w:rPr>
          <w:t>разделы II</w:t>
        </w:r>
      </w:hyperlink>
      <w:r>
        <w:t xml:space="preserve"> - </w:t>
      </w:r>
      <w:hyperlink w:anchor="Par371" w:tooltip="             VI. Документы, подтверждающие сведения, указанные" w:history="1">
        <w:r>
          <w:rPr>
            <w:color w:val="0000FF"/>
          </w:rPr>
          <w:t>VI</w:t>
        </w:r>
      </w:hyperlink>
      <w:r>
        <w:t xml:space="preserve"> заявления не заполняются.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 xml:space="preserve">9. В </w:t>
      </w:r>
      <w:hyperlink w:anchor="Par236" w:tooltip="            II. Сведения о физических лицах государств-членов," w:history="1">
        <w:r>
          <w:rPr>
            <w:color w:val="0000FF"/>
          </w:rPr>
          <w:t>разделе II</w:t>
        </w:r>
      </w:hyperlink>
      <w:r>
        <w:t xml:space="preserve"> заявления в таблице указываются сведения о физических лицах государств-членов, являющихся акционерами заявителя, имеющими 10 и более процентов акций заявителя, его учредителями (участниками), руководителями, главными бухгалтерами.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>При этом заявителем, являющимся юридическим лицом Российской Федерации, в графе 3 таблицы дополнительно указывается адрес регистрации по месту жительства и (или) места пребывания соответствующих лиц согласно документам, удостоверяющим личность.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 xml:space="preserve">10. В </w:t>
      </w:r>
      <w:hyperlink w:anchor="Par262" w:tooltip="       III. Сведения о значениях показателей финансовой устойчивости" w:history="1">
        <w:r>
          <w:rPr>
            <w:color w:val="0000FF"/>
          </w:rPr>
          <w:t>разделе III</w:t>
        </w:r>
      </w:hyperlink>
      <w:r>
        <w:t xml:space="preserve"> заявления в графах 3, 4 (в </w:t>
      </w:r>
      <w:hyperlink w:anchor="Par277" w:tooltip="1" w:history="1">
        <w:r>
          <w:rPr>
            <w:color w:val="0000FF"/>
          </w:rPr>
          <w:t>пунктах 1</w:t>
        </w:r>
      </w:hyperlink>
      <w:r>
        <w:t xml:space="preserve"> - </w:t>
      </w:r>
      <w:hyperlink w:anchor="Par289" w:tooltip="3" w:history="1">
        <w:r>
          <w:rPr>
            <w:color w:val="0000FF"/>
          </w:rPr>
          <w:t>3</w:t>
        </w:r>
      </w:hyperlink>
      <w:r>
        <w:t xml:space="preserve">) и </w:t>
      </w:r>
      <w:hyperlink w:anchor="Par307" w:tooltip="6" w:history="1">
        <w:r>
          <w:rPr>
            <w:color w:val="0000FF"/>
          </w:rPr>
          <w:t>6</w:t>
        </w:r>
      </w:hyperlink>
      <w:r>
        <w:t xml:space="preserve"> таблицы указываются сведения о значениях показателей финансовой устойчивости и совокупного показателя финансовой устойчивости, рассчитанных в соответствии с порядком определения финансовой устойчивости юридического лица, претендующего на включение в реестр, и значений, характеризующих финансовую устойчивость и необходимых для включения в этот реестр, предусмотренным пунктом 7 статьи 433 Кодекса.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 xml:space="preserve">В случае если финансовая устойчивость не является обязательным условием включения в реестр, в графах 3, 4 (в </w:t>
      </w:r>
      <w:hyperlink w:anchor="Par277" w:tooltip="1" w:history="1">
        <w:r>
          <w:rPr>
            <w:color w:val="0000FF"/>
          </w:rPr>
          <w:t>пунктах 1</w:t>
        </w:r>
      </w:hyperlink>
      <w:r>
        <w:t xml:space="preserve"> - </w:t>
      </w:r>
      <w:hyperlink w:anchor="Par289" w:tooltip="3" w:history="1">
        <w:r>
          <w:rPr>
            <w:color w:val="0000FF"/>
          </w:rPr>
          <w:t>3</w:t>
        </w:r>
      </w:hyperlink>
      <w:r>
        <w:t>) и 6 таблицы проставляется знак прочерка "-".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 xml:space="preserve">11. </w:t>
      </w:r>
      <w:hyperlink w:anchor="Par335" w:tooltip="        IV. Сведения о сооружениях, помещениях (частях помещений)" w:history="1">
        <w:r>
          <w:rPr>
            <w:color w:val="0000FF"/>
          </w:rPr>
          <w:t>Раздел IV</w:t>
        </w:r>
      </w:hyperlink>
      <w:r>
        <w:t xml:space="preserve"> заявления заполняется заявителем при подаче заявления о включении в реестр с выдачей свидетельства второго или третьего типа.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>В случае если объекты находятся у заявителя в аренде, в графе 4 таблицы указывается срок, на который заключен договор аренды, в иных случаях проставляется знак прочерка "-".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 xml:space="preserve">12. При наличии у заявителя обособленных подразделений и (или) филиалов сведения о них и номерах, присвоенных им налоговыми органами (органами государственных доходов) государств-членов (при наличии таких номеров), указываются в </w:t>
      </w:r>
      <w:hyperlink w:anchor="Par356" w:tooltip="        V. Сведения об обособленных подразделениях и (или) филиалах" w:history="1">
        <w:r>
          <w:rPr>
            <w:color w:val="0000FF"/>
          </w:rPr>
          <w:t>разделе V</w:t>
        </w:r>
      </w:hyperlink>
      <w:r>
        <w:t xml:space="preserve"> заявления. При отсутствии обособленных подразделений и (или) филиалов в </w:t>
      </w:r>
      <w:hyperlink w:anchor="Par356" w:tooltip="        V. Сведения об обособленных подразделениях и (или) филиалах" w:history="1">
        <w:r>
          <w:rPr>
            <w:color w:val="0000FF"/>
          </w:rPr>
          <w:t>разделе V</w:t>
        </w:r>
      </w:hyperlink>
      <w:r>
        <w:t xml:space="preserve"> заявления во всех графах таблицы проставляется знак прочерка "-".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 xml:space="preserve">13. В </w:t>
      </w:r>
      <w:hyperlink w:anchor="Par371" w:tooltip="             VI. Документы, подтверждающие сведения, указанные" w:history="1">
        <w:r>
          <w:rPr>
            <w:color w:val="0000FF"/>
          </w:rPr>
          <w:t>разделе VI</w:t>
        </w:r>
      </w:hyperlink>
      <w:r>
        <w:t xml:space="preserve"> заявления в графе 3 таблицы указывается количество листов документов, подтверждающих сведения, указанные в заявлении, либо знак прочерка "-" в случае, если соответствующие документы не прилагаются к заявлению.</w:t>
      </w:r>
    </w:p>
    <w:p w:rsidR="00C70D3E" w:rsidRDefault="00C70D3E" w:rsidP="00C70D3E">
      <w:pPr>
        <w:pStyle w:val="ConsPlusNormal"/>
      </w:pPr>
    </w:p>
    <w:p w:rsidR="00C70D3E" w:rsidRDefault="00C70D3E" w:rsidP="00C70D3E">
      <w:pPr>
        <w:pStyle w:val="ConsPlusNormal"/>
      </w:pPr>
    </w:p>
    <w:p w:rsidR="00C70D3E" w:rsidRDefault="00C70D3E" w:rsidP="00C70D3E">
      <w:pPr>
        <w:pStyle w:val="ConsPlusNormal"/>
      </w:pPr>
    </w:p>
    <w:p w:rsidR="00C70D3E" w:rsidRDefault="00C70D3E" w:rsidP="00C70D3E">
      <w:pPr>
        <w:pStyle w:val="ConsPlusTitle"/>
        <w:jc w:val="center"/>
      </w:pPr>
      <w:bookmarkStart w:id="30" w:name="Par451"/>
      <w:bookmarkEnd w:id="30"/>
      <w:r>
        <w:t>ПЕРЕЧЕНЬ</w:t>
      </w:r>
    </w:p>
    <w:p w:rsidR="00C70D3E" w:rsidRDefault="00C70D3E" w:rsidP="00C70D3E">
      <w:pPr>
        <w:pStyle w:val="ConsPlusTitle"/>
        <w:jc w:val="center"/>
      </w:pPr>
      <w:r>
        <w:t>ДОКУМЕНТОВ, ПОДТВЕРЖДАЮЩИХ СВЕДЕНИЯ, УКАЗАННЫЕ</w:t>
      </w:r>
    </w:p>
    <w:p w:rsidR="00C70D3E" w:rsidRDefault="00C70D3E" w:rsidP="00C70D3E">
      <w:pPr>
        <w:pStyle w:val="ConsPlusTitle"/>
        <w:jc w:val="center"/>
      </w:pPr>
      <w:r>
        <w:t>В ЗАЯВЛЕНИИ О ВКЛЮЧЕНИИ В РЕЕСТР УЭО</w:t>
      </w:r>
    </w:p>
    <w:p w:rsidR="00C70D3E" w:rsidRDefault="00C70D3E" w:rsidP="00C70D3E">
      <w:pPr>
        <w:pStyle w:val="ConsPlusNormal"/>
      </w:pPr>
    </w:p>
    <w:p w:rsidR="00C70D3E" w:rsidRDefault="00C70D3E" w:rsidP="00C70D3E">
      <w:pPr>
        <w:pStyle w:val="ConsPlusNormal"/>
        <w:ind w:firstLine="540"/>
        <w:jc w:val="both"/>
      </w:pPr>
      <w:r>
        <w:t>1. Копии учредительных документов юридического лица.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>2. Документ, подтверждающий отсутствие у заявителя задолженности (недоимки) в соответствии с законодательством о налогах и сборах (налоговым законодательством) государства-члена Евразийского экономического союза (далее - государства-члены), в котором зарегистрирован заявитель (представляется при наличии такого документа, по желанию заявителя). Заявитель, являющийся юридическим лицом Республики Беларусь, указанные документы не представляет.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>3. Документы (копии документов), подтверждающие расчет значений показателей финансовой устойчивости и совокупного показателя финансовой устойчивости (представляются заявителем, являющимся юридическим лицом Республики Беларусь).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>4. Документы, выданные компетентным органом государства-члена и подтверждающие отсутствие фактов привлечения к уголовной ответственности физических лиц государств-членов, являющихся акционерами заявителя, имеющими 10 и более процентов акций заявителя, его учредителями (участниками), руководителями, главными бухгалтерами (представляются при наличии таких документов, по желанию заявителя).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>5. Документы, подтверждающие наличие у заявителя системы учета товаров, отвечающей установленным законодательством государства-члена о таможенном регулировании требованиям, позволяющей сопоставлять сведения, представленные таможенным органам при совершении таможенных операций, со сведениями о проведении хозяйственных операций и обеспечивающей доступ (в том числе удаленный) таможенных органов к таким сведениям (представляются в случае, если составление таких документов предусмотрено законодательством государства-члена о таможенном регулировании).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>6. Копии документов, подтверждающих наличие у заявителя, претендующего на получение свидетельства второго или третьего типа, сооружений, помещений (частей помещений) и (или) открытых площадок (частей открытых площадок), предназначенных для временного хранения товаров, завершения действия таможенной процедуры таможенного транзита и (или) проведения таможенного контроля.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>7. Иные документы (представляются по желанию заявителя).</w:t>
      </w:r>
    </w:p>
    <w:p w:rsidR="00C70D3E" w:rsidRDefault="00C70D3E" w:rsidP="00C70D3E">
      <w:pPr>
        <w:pStyle w:val="ConsPlusNormal"/>
        <w:spacing w:before="240"/>
        <w:ind w:firstLine="540"/>
        <w:jc w:val="both"/>
      </w:pPr>
      <w:r>
        <w:t>Примечание. Документы, указанные в настоящем перечне, могут не представляться заявителем, если сведения о таких документах и (или) сведения из них могут быть получены таможенными органами из информационных систем, используемых таможенными органами, а также из информационных систем государственных органов (организаций) государств - членов Евразийского экономического союза в рамках информационного взаимодействия.</w:t>
      </w:r>
    </w:p>
    <w:p w:rsidR="00B54AD4" w:rsidRDefault="00B54AD4" w:rsidP="00C70D3E">
      <w:pPr>
        <w:pStyle w:val="ConsPlusNormal"/>
        <w:spacing w:before="240"/>
        <w:ind w:firstLine="540"/>
        <w:jc w:val="both"/>
      </w:pPr>
      <w:bookmarkStart w:id="31" w:name="_GoBack"/>
      <w:bookmarkEnd w:id="31"/>
    </w:p>
    <w:p w:rsidR="00C70D3E" w:rsidRPr="005F2528" w:rsidRDefault="005F2528" w:rsidP="00C70D3E">
      <w:pPr>
        <w:pStyle w:val="ConsPlusNormal"/>
        <w:spacing w:before="240"/>
        <w:ind w:firstLine="540"/>
        <w:jc w:val="both"/>
      </w:pPr>
      <w:r w:rsidRPr="005F2528">
        <w:rPr>
          <w:highlight w:val="red"/>
        </w:rPr>
        <w:t>Удалите все колонтитулы в файле при использовании его формы для подачи.</w:t>
      </w:r>
    </w:p>
    <w:p w:rsidR="001729FF" w:rsidRDefault="008A21A1" w:rsidP="008A21A1">
      <w:pPr>
        <w:jc w:val="center"/>
      </w:pPr>
      <w:r>
        <w:t>_______________________</w:t>
      </w:r>
      <w:r w:rsidR="00947EA7">
        <w:t>_________</w:t>
      </w:r>
      <w:r>
        <w:t>__________________________</w:t>
      </w:r>
      <w:r w:rsidR="00B6657E">
        <w:t>______________________________</w:t>
      </w:r>
    </w:p>
    <w:p w:rsidR="008A21A1" w:rsidRDefault="00252D27">
      <w:r w:rsidRPr="001729FF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56BA2F69" wp14:editId="3FB9C60E">
            <wp:simplePos x="0" y="0"/>
            <wp:positionH relativeFrom="column">
              <wp:posOffset>3589103</wp:posOffset>
            </wp:positionH>
            <wp:positionV relativeFrom="paragraph">
              <wp:posOffset>92075</wp:posOffset>
            </wp:positionV>
            <wp:extent cx="874395" cy="567055"/>
            <wp:effectExtent l="0" t="0" r="1905" b="4445"/>
            <wp:wrapTight wrapText="bothSides">
              <wp:wrapPolygon edited="0">
                <wp:start x="11294" y="0"/>
                <wp:lineTo x="0" y="7256"/>
                <wp:lineTo x="0" y="18141"/>
                <wp:lineTo x="471" y="21044"/>
                <wp:lineTo x="12235" y="21044"/>
                <wp:lineTo x="12706" y="21044"/>
                <wp:lineTo x="14588" y="11610"/>
                <wp:lineTo x="21176" y="10885"/>
                <wp:lineTo x="21176" y="5805"/>
                <wp:lineTo x="15059" y="0"/>
                <wp:lineTo x="11294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г\Desktop\ЦЭД\Статьи\Перевозчик\палец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6FB3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69BDE00" wp14:editId="64A084C8">
            <wp:simplePos x="0" y="0"/>
            <wp:positionH relativeFrom="column">
              <wp:posOffset>5619391</wp:posOffset>
            </wp:positionH>
            <wp:positionV relativeFrom="paragraph">
              <wp:posOffset>14605</wp:posOffset>
            </wp:positionV>
            <wp:extent cx="812800" cy="795020"/>
            <wp:effectExtent l="0" t="0" r="6350" b="5080"/>
            <wp:wrapTight wrapText="bothSides">
              <wp:wrapPolygon edited="0">
                <wp:start x="0" y="0"/>
                <wp:lineTo x="0" y="21220"/>
                <wp:lineTo x="21263" y="21220"/>
                <wp:lineTo x="21263" y="0"/>
                <wp:lineTo x="0" y="0"/>
              </wp:wrapPolygon>
            </wp:wrapTight>
            <wp:docPr id="8" name="Рисунок 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Олег\Desktop\ЦЭД\Логотип\Исходники\ЦЭД_sm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6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265899</wp:posOffset>
                </wp:positionH>
                <wp:positionV relativeFrom="paragraph">
                  <wp:posOffset>33627</wp:posOffset>
                </wp:positionV>
                <wp:extent cx="2059388" cy="779117"/>
                <wp:effectExtent l="57150" t="57150" r="55245" b="596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88" cy="77911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  <a:effectLst>
                          <a:softEdge rad="1778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6EB" w:rsidRDefault="002776EB" w:rsidP="002776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Консультации в вашем офисе.</w:t>
                            </w:r>
                          </w:p>
                          <w:p w:rsidR="00D91828" w:rsidRPr="006D06B2" w:rsidRDefault="002776EB" w:rsidP="002776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Получение </w:t>
                            </w:r>
                            <w:r w:rsidR="00D91828" w:rsidRPr="006D06B2">
                              <w:rPr>
                                <w:b/>
                                <w:sz w:val="28"/>
                                <w:szCs w:val="28"/>
                              </w:rPr>
                              <w:t>статус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  <w:r w:rsidR="00D91828" w:rsidRPr="006D06B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УЭО.</w:t>
                            </w:r>
                          </w:p>
                          <w:p w:rsidR="00D91828" w:rsidRDefault="00D918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0.95pt;margin-top:2.65pt;width:162.15pt;height:6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" fillcolor="#00b050" strokecolor="#375623 [1609]" strokeweight="1pt">
                <v:textbox>
                  <w:txbxContent>
                    <w:p w:rsidR="002776EB" w:rsidRDefault="002776EB" w:rsidP="002776EB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Консультации в вашем офисе.</w:t>
                      </w:r>
                    </w:p>
                    <w:p w:rsidR="00D91828" w:rsidRPr="006D06B2" w:rsidRDefault="002776EB" w:rsidP="002776EB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Получение </w:t>
                      </w:r>
                      <w:r w:rsidR="00D91828" w:rsidRPr="006D06B2">
                        <w:rPr>
                          <w:b/>
                          <w:sz w:val="28"/>
                          <w:szCs w:val="28"/>
                        </w:rPr>
                        <w:t>статус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а</w:t>
                      </w:r>
                      <w:r w:rsidR="00D91828" w:rsidRPr="006D06B2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УЭО.</w:t>
                      </w:r>
                    </w:p>
                    <w:p w:rsidR="00D91828" w:rsidRDefault="00D91828"/>
                  </w:txbxContent>
                </v:textbox>
              </v:shape>
            </w:pict>
          </mc:Fallback>
        </mc:AlternateContent>
      </w:r>
    </w:p>
    <w:sectPr w:rsidR="008A21A1" w:rsidSect="0094317F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58B" w:rsidRDefault="00DA758B" w:rsidP="00786E42">
      <w:pPr>
        <w:spacing w:after="0" w:line="240" w:lineRule="auto"/>
      </w:pPr>
      <w:r>
        <w:separator/>
      </w:r>
    </w:p>
  </w:endnote>
  <w:endnote w:type="continuationSeparator" w:id="0">
    <w:p w:rsidR="00DA758B" w:rsidRDefault="00DA758B" w:rsidP="0078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828" w:rsidRDefault="00D918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Страница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54AD4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54AD4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58B" w:rsidRDefault="00DA758B" w:rsidP="00786E42">
      <w:pPr>
        <w:spacing w:after="0" w:line="240" w:lineRule="auto"/>
      </w:pPr>
      <w:r>
        <w:separator/>
      </w:r>
    </w:p>
  </w:footnote>
  <w:footnote w:type="continuationSeparator" w:id="0">
    <w:p w:rsidR="00DA758B" w:rsidRDefault="00DA758B" w:rsidP="00786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828" w:rsidRPr="00D91828" w:rsidRDefault="00D91828" w:rsidP="0094317F">
    <w:pPr>
      <w:pStyle w:val="a3"/>
      <w:jc w:val="center"/>
      <w:rPr>
        <w:b/>
        <w:color w:val="00B050"/>
        <w:sz w:val="24"/>
        <w:szCs w:val="24"/>
      </w:rPr>
    </w:pPr>
    <w:r w:rsidRPr="00347614">
      <w:rPr>
        <w:b/>
        <w:noProof/>
        <w:lang w:eastAsia="ru-RU"/>
      </w:rPr>
      <w:drawing>
        <wp:anchor distT="0" distB="0" distL="114300" distR="114300" simplePos="0" relativeHeight="251659264" behindDoc="1" locked="0" layoutInCell="1" allowOverlap="1" wp14:anchorId="56A238D0" wp14:editId="286A5B75">
          <wp:simplePos x="0" y="0"/>
          <wp:positionH relativeFrom="column">
            <wp:posOffset>5739930</wp:posOffset>
          </wp:positionH>
          <wp:positionV relativeFrom="paragraph">
            <wp:posOffset>-283210</wp:posOffset>
          </wp:positionV>
          <wp:extent cx="864870" cy="846455"/>
          <wp:effectExtent l="0" t="0" r="0" b="0"/>
          <wp:wrapTight wrapText="bothSides">
            <wp:wrapPolygon edited="0">
              <wp:start x="0" y="0"/>
              <wp:lineTo x="0" y="20903"/>
              <wp:lineTo x="20934" y="20903"/>
              <wp:lineTo x="20934" y="0"/>
              <wp:lineTo x="0" y="0"/>
            </wp:wrapPolygon>
          </wp:wrapTight>
          <wp:docPr id="7" name="Рисунок 7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Олег\Desktop\ЦЭД\Логотип\Исходники\ЦЭД_small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87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3" w:history="1">
      <w:r w:rsidRPr="00347614">
        <w:rPr>
          <w:rStyle w:val="a7"/>
          <w:b/>
          <w:noProof/>
          <w:lang w:val="en-US" w:eastAsia="ru-RU"/>
        </w:rPr>
        <w:t>WWW</w:t>
      </w:r>
      <w:r w:rsidRPr="00347614">
        <w:rPr>
          <w:rStyle w:val="a7"/>
          <w:b/>
          <w:noProof/>
          <w:lang w:eastAsia="ru-RU"/>
        </w:rPr>
        <w:t>.ЦЭД.РФ</w:t>
      </w:r>
    </w:hyperlink>
    <w:r>
      <w:rPr>
        <w:noProof/>
        <w:lang w:eastAsia="ru-RU"/>
      </w:rPr>
      <w:t xml:space="preserve">  </w:t>
    </w:r>
    <w:r w:rsidRPr="00A92D6D">
      <w:rPr>
        <w:sz w:val="24"/>
        <w:szCs w:val="24"/>
      </w:rPr>
      <w:t>–</w:t>
    </w:r>
    <w:r>
      <w:rPr>
        <w:sz w:val="24"/>
        <w:szCs w:val="24"/>
      </w:rPr>
      <w:t xml:space="preserve"> </w:t>
    </w:r>
    <w:r w:rsidR="00730E86" w:rsidRPr="00730E86">
      <w:rPr>
        <w:b/>
        <w:color w:val="00B050"/>
        <w:sz w:val="24"/>
        <w:szCs w:val="24"/>
      </w:rPr>
      <w:t xml:space="preserve">ПРОФЕССИОНАЛЬНО </w:t>
    </w:r>
    <w:r w:rsidRPr="00D91828">
      <w:rPr>
        <w:b/>
        <w:color w:val="00B050"/>
        <w:sz w:val="24"/>
        <w:szCs w:val="24"/>
      </w:rPr>
      <w:t>ПОЛУЧАЕМ СТАТУС УЭО</w:t>
    </w:r>
  </w:p>
  <w:p w:rsidR="00D91828" w:rsidRDefault="00D91828" w:rsidP="0094317F">
    <w:pPr>
      <w:pStyle w:val="a3"/>
      <w:jc w:val="center"/>
      <w:rPr>
        <w:sz w:val="24"/>
        <w:szCs w:val="24"/>
      </w:rPr>
    </w:pPr>
  </w:p>
  <w:p w:rsidR="00252D27" w:rsidRDefault="00252D27" w:rsidP="0094317F">
    <w:pPr>
      <w:pStyle w:val="a3"/>
      <w:jc w:val="cent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42"/>
    <w:rsid w:val="00057AF6"/>
    <w:rsid w:val="00070E89"/>
    <w:rsid w:val="000C7D20"/>
    <w:rsid w:val="000C7D6D"/>
    <w:rsid w:val="000E52B9"/>
    <w:rsid w:val="001044EC"/>
    <w:rsid w:val="001176DE"/>
    <w:rsid w:val="0013382D"/>
    <w:rsid w:val="00160A5B"/>
    <w:rsid w:val="001729FF"/>
    <w:rsid w:val="001B2EFF"/>
    <w:rsid w:val="002347E8"/>
    <w:rsid w:val="00252D27"/>
    <w:rsid w:val="002776EB"/>
    <w:rsid w:val="002C70A5"/>
    <w:rsid w:val="00310024"/>
    <w:rsid w:val="00347614"/>
    <w:rsid w:val="003B27F6"/>
    <w:rsid w:val="003B48E8"/>
    <w:rsid w:val="003D53A4"/>
    <w:rsid w:val="003D7097"/>
    <w:rsid w:val="00417DAC"/>
    <w:rsid w:val="00433E90"/>
    <w:rsid w:val="004B42AF"/>
    <w:rsid w:val="004C4130"/>
    <w:rsid w:val="004D2F5A"/>
    <w:rsid w:val="004D4C86"/>
    <w:rsid w:val="005619BC"/>
    <w:rsid w:val="005739FC"/>
    <w:rsid w:val="00594445"/>
    <w:rsid w:val="005954F1"/>
    <w:rsid w:val="005F2528"/>
    <w:rsid w:val="00606971"/>
    <w:rsid w:val="00621319"/>
    <w:rsid w:val="006D06B2"/>
    <w:rsid w:val="00706D89"/>
    <w:rsid w:val="00730E86"/>
    <w:rsid w:val="007503CE"/>
    <w:rsid w:val="00762D16"/>
    <w:rsid w:val="00774C83"/>
    <w:rsid w:val="00780B45"/>
    <w:rsid w:val="007828EB"/>
    <w:rsid w:val="00786E42"/>
    <w:rsid w:val="007A1ABB"/>
    <w:rsid w:val="007A4133"/>
    <w:rsid w:val="007F7421"/>
    <w:rsid w:val="008140E6"/>
    <w:rsid w:val="00815500"/>
    <w:rsid w:val="008440FC"/>
    <w:rsid w:val="008451DD"/>
    <w:rsid w:val="008508DD"/>
    <w:rsid w:val="00862DFA"/>
    <w:rsid w:val="008747B1"/>
    <w:rsid w:val="00890627"/>
    <w:rsid w:val="008A21A1"/>
    <w:rsid w:val="008B37CE"/>
    <w:rsid w:val="00917E77"/>
    <w:rsid w:val="00920447"/>
    <w:rsid w:val="0094317F"/>
    <w:rsid w:val="00947EA7"/>
    <w:rsid w:val="00982AF7"/>
    <w:rsid w:val="009D54F9"/>
    <w:rsid w:val="00A10E2E"/>
    <w:rsid w:val="00A11914"/>
    <w:rsid w:val="00A3281A"/>
    <w:rsid w:val="00A71308"/>
    <w:rsid w:val="00A90219"/>
    <w:rsid w:val="00A92E65"/>
    <w:rsid w:val="00AA337D"/>
    <w:rsid w:val="00AF34DE"/>
    <w:rsid w:val="00B54AD4"/>
    <w:rsid w:val="00B62F1D"/>
    <w:rsid w:val="00B6657E"/>
    <w:rsid w:val="00B9429B"/>
    <w:rsid w:val="00BC6A13"/>
    <w:rsid w:val="00C0540D"/>
    <w:rsid w:val="00C11DCE"/>
    <w:rsid w:val="00C448FC"/>
    <w:rsid w:val="00C70D3E"/>
    <w:rsid w:val="00CB30C7"/>
    <w:rsid w:val="00CE6D2C"/>
    <w:rsid w:val="00D441E3"/>
    <w:rsid w:val="00D91828"/>
    <w:rsid w:val="00D96987"/>
    <w:rsid w:val="00DA758B"/>
    <w:rsid w:val="00E33163"/>
    <w:rsid w:val="00E408A6"/>
    <w:rsid w:val="00E920DB"/>
    <w:rsid w:val="00EC51BC"/>
    <w:rsid w:val="00EF0357"/>
    <w:rsid w:val="00EF0F8E"/>
    <w:rsid w:val="00F01E89"/>
    <w:rsid w:val="00F304AF"/>
    <w:rsid w:val="00FB3F8B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4C213-7693-45DF-B816-5635A526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4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2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E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E42"/>
  </w:style>
  <w:style w:type="paragraph" w:styleId="a5">
    <w:name w:val="footer"/>
    <w:basedOn w:val="a"/>
    <w:link w:val="a6"/>
    <w:uiPriority w:val="99"/>
    <w:unhideWhenUsed/>
    <w:rsid w:val="00786E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E42"/>
  </w:style>
  <w:style w:type="character" w:styleId="a7">
    <w:name w:val="Hyperlink"/>
    <w:basedOn w:val="a0"/>
    <w:uiPriority w:val="99"/>
    <w:unhideWhenUsed/>
    <w:rsid w:val="00786E4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44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lk">
    <w:name w:val="blk"/>
    <w:basedOn w:val="a0"/>
    <w:rsid w:val="00594445"/>
  </w:style>
  <w:style w:type="character" w:customStyle="1" w:styleId="hl">
    <w:name w:val="hl"/>
    <w:basedOn w:val="a0"/>
    <w:rsid w:val="00594445"/>
  </w:style>
  <w:style w:type="character" w:customStyle="1" w:styleId="nobr">
    <w:name w:val="nobr"/>
    <w:basedOn w:val="a0"/>
    <w:rsid w:val="00594445"/>
  </w:style>
  <w:style w:type="character" w:customStyle="1" w:styleId="a8">
    <w:name w:val="Цветовое выделение"/>
    <w:uiPriority w:val="99"/>
    <w:rsid w:val="005739FC"/>
    <w:rPr>
      <w:b/>
      <w:bCs/>
      <w:color w:val="26282F"/>
    </w:rPr>
  </w:style>
  <w:style w:type="character" w:customStyle="1" w:styleId="a9">
    <w:name w:val="Гипертекстовая ссылка"/>
    <w:basedOn w:val="a8"/>
    <w:uiPriority w:val="99"/>
    <w:rsid w:val="005739FC"/>
    <w:rPr>
      <w:b/>
      <w:bCs/>
      <w:color w:val="106BBE"/>
    </w:rPr>
  </w:style>
  <w:style w:type="paragraph" w:customStyle="1" w:styleId="aa">
    <w:name w:val="Комментарий"/>
    <w:basedOn w:val="a"/>
    <w:next w:val="a"/>
    <w:uiPriority w:val="99"/>
    <w:rsid w:val="005739FC"/>
    <w:pPr>
      <w:widowControl w:val="0"/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Times New Roman CYR" w:eastAsiaTheme="minorEastAsia" w:hAnsi="Times New Roman CYR" w:cs="Times New Roman CYR"/>
      <w:color w:val="353842"/>
      <w:sz w:val="24"/>
      <w:szCs w:val="24"/>
      <w:shd w:val="clear" w:color="auto" w:fill="F0F0F0"/>
      <w:lang w:eastAsia="ru-RU"/>
    </w:rPr>
  </w:style>
  <w:style w:type="paragraph" w:customStyle="1" w:styleId="ab">
    <w:name w:val="Информация о версии"/>
    <w:basedOn w:val="aa"/>
    <w:next w:val="a"/>
    <w:uiPriority w:val="99"/>
    <w:rsid w:val="005739FC"/>
    <w:rPr>
      <w:i/>
      <w:iCs/>
    </w:rPr>
  </w:style>
  <w:style w:type="paragraph" w:customStyle="1" w:styleId="ac">
    <w:name w:val="Информация об изменениях"/>
    <w:basedOn w:val="a"/>
    <w:next w:val="a"/>
    <w:uiPriority w:val="99"/>
    <w:rsid w:val="005739FC"/>
    <w:pPr>
      <w:widowControl w:val="0"/>
      <w:autoSpaceDE w:val="0"/>
      <w:autoSpaceDN w:val="0"/>
      <w:adjustRightInd w:val="0"/>
      <w:spacing w:before="180" w:after="0" w:line="240" w:lineRule="auto"/>
      <w:ind w:left="360" w:right="360"/>
      <w:jc w:val="both"/>
    </w:pPr>
    <w:rPr>
      <w:rFonts w:ascii="Times New Roman CYR" w:eastAsiaTheme="minorEastAsia" w:hAnsi="Times New Roman CYR" w:cs="Times New Roman CYR"/>
      <w:color w:val="353842"/>
      <w:sz w:val="20"/>
      <w:szCs w:val="20"/>
      <w:shd w:val="clear" w:color="auto" w:fill="EAEFED"/>
      <w:lang w:eastAsia="ru-RU"/>
    </w:rPr>
  </w:style>
  <w:style w:type="paragraph" w:customStyle="1" w:styleId="ad">
    <w:name w:val="Нормальный (таблица)"/>
    <w:basedOn w:val="a"/>
    <w:next w:val="a"/>
    <w:uiPriority w:val="99"/>
    <w:rsid w:val="005739F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e">
    <w:name w:val="Подзаголовок для информации об изменениях"/>
    <w:basedOn w:val="a"/>
    <w:next w:val="a"/>
    <w:uiPriority w:val="99"/>
    <w:rsid w:val="005739FC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Theme="minorEastAsia" w:hAnsi="Times New Roman CYR" w:cs="Times New Roman CYR"/>
      <w:b/>
      <w:bCs/>
      <w:color w:val="353842"/>
      <w:sz w:val="20"/>
      <w:szCs w:val="20"/>
      <w:lang w:eastAsia="ru-RU"/>
    </w:rPr>
  </w:style>
  <w:style w:type="paragraph" w:customStyle="1" w:styleId="af">
    <w:name w:val="Прижатый влево"/>
    <w:basedOn w:val="a"/>
    <w:next w:val="a"/>
    <w:uiPriority w:val="99"/>
    <w:rsid w:val="005739F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B4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B42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4B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">
    <w:name w:val="sub"/>
    <w:basedOn w:val="a0"/>
    <w:rsid w:val="008140E6"/>
  </w:style>
  <w:style w:type="paragraph" w:customStyle="1" w:styleId="ConsPlusNormal">
    <w:name w:val="ConsPlusNormal"/>
    <w:rsid w:val="00C70D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C70D3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C70D3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8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3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38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3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4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15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515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486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95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58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20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75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18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0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1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1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201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23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394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890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26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30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50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69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9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43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155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64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80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20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61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41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3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6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3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52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77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63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206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79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5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60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62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67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55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69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785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69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8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19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5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52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9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847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05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48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07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603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2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5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9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5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29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596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4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929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799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3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5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6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7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04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09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196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52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110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0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96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2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4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70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56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969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975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039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36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4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32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9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87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5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0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3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3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90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6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78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68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34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96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70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39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023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709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93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64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93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1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1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4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6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054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202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54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76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882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0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6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84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7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9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380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779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48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31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33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1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1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2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4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3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63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26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05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75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19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72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2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3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9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1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3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91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93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449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85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2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0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0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0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2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19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97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62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809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110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5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2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2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40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9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307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854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22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829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70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60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2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18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5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639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123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542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933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42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73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7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54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6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2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68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55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599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701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690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97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1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5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0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71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45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793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66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88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571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7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02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1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1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1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0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0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58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80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7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21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695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57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23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42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320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78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496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47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00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0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3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78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3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66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97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07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03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42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55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7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67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2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26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81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145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22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21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481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93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60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99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08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7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2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32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812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34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03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31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63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76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0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0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29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57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48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9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8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45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04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22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53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1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1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177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524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16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964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745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3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91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3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71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2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51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60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0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60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76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11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1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01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6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2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34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838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73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88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962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9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07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97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2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583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39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29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906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53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2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16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6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6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801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21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127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324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36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6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7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6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93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00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0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85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296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7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6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9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01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61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103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7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366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8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251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58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45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70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1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12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0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2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39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57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4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38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4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6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25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91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0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3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81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78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3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94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49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04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41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5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93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5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6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88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3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5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9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9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4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54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31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1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57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4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04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31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9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4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8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0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9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4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96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7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56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2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05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3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5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31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1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7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0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0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2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0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2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12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0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26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8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2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9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4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560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237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57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2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49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1943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540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9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31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55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62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45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74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251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86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79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20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26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6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4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306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1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8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8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8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97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8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17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78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75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3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92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7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57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3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6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8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2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2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0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3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1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9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5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50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59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78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83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8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98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8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4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1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8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7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8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68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9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9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1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53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62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7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31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3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6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29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8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6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1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27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9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0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6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8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5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810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10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28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97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11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2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5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0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6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3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07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43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12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5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17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75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3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6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7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0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3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7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5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00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43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5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61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9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23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2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2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4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6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3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54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3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81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23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74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31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2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9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5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0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0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4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6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7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35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3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2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9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2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1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27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6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1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22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8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90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29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75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5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4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0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50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8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2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2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8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8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88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9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0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73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9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4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8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2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32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40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61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83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40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7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4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98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33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5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4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4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2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84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73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8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2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8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3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6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2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9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0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3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96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1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9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7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&#1062;&#1069;&#1044;.&#1056;&#1060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&#1062;&#1069;&#1044;.&#1056;&#1060;" TargetMode="External"/><Relationship Id="rId2" Type="http://schemas.openxmlformats.org/officeDocument/2006/relationships/image" Target="media/image3.jpeg"/><Relationship Id="rId1" Type="http://schemas.openxmlformats.org/officeDocument/2006/relationships/hyperlink" Target="http://WWW.&#1062;&#1069;&#1044;.&#1056;&#106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0F03D-4145-43B6-A966-F78FE2D3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10</Pages>
  <Words>3452</Words>
  <Characters>19680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Критерии финансовой устойчивости УЭО</vt:lpstr>
    </vt:vector>
  </TitlesOfParts>
  <Company>Hewlett-Packard Company</Company>
  <LinksUpToDate>false</LinksUpToDate>
  <CharactersWithSpaces>23086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Критерии финансовой устойчивости УЭО</dc:title>
  <dc:subject/>
  <dc:creator>Олег;ЦЭД.РФ</dc:creator>
  <cp:keywords>Уполномоченный экономический оператор;получение УЭО;УЭО как получить;получение УЭО;склады УЭО;Офшоры;склады УЭО;решение ЕЭК 131;условия включения в Реестр УЭО;критерии финансовойо устойчивости УЭО;решение ЕЭК 65;критерии финансовой устойчивости УЭО;решение ЕЭК 65</cp:keywords>
  <dc:description/>
  <cp:lastModifiedBy>Олег</cp:lastModifiedBy>
  <cp:revision>59</cp:revision>
  <cp:lastPrinted>2019-12-15T10:54:00Z</cp:lastPrinted>
  <dcterms:created xsi:type="dcterms:W3CDTF">2019-02-18T17:53:00Z</dcterms:created>
  <dcterms:modified xsi:type="dcterms:W3CDTF">2020-04-22T12:06:00Z</dcterms:modified>
</cp:coreProperties>
</file>