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EC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23255" cy="2576195"/>
            <wp:effectExtent l="0" t="0" r="0" b="0"/>
            <wp:docPr id="2" name="图片 2" descr="K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DE"/>
                    <pic:cNvPicPr>
                      <a:picLocks noChangeAspect="1"/>
                    </pic:cNvPicPr>
                  </pic:nvPicPr>
                  <pic:blipFill>
                    <a:blip r:embed="rId4"/>
                    <a:srcRect t="6860" b="450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5EDB">
      <w:p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Figure 1.</w:t>
      </w:r>
      <w:r>
        <w:rPr>
          <w:rFonts w:hint="eastAsia"/>
          <w:sz w:val="20"/>
          <w:szCs w:val="20"/>
          <w:lang w:val="en-US" w:eastAsia="zh-CN"/>
        </w:rPr>
        <w:t>Density curves calculated with different kernel functions</w:t>
      </w:r>
    </w:p>
    <w:p w14:paraId="659D482A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3255" cy="2540635"/>
            <wp:effectExtent l="0" t="0" r="0" b="0"/>
            <wp:docPr id="3" name="图片 3" descr="G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MM"/>
                    <pic:cNvPicPr>
                      <a:picLocks noChangeAspect="1"/>
                    </pic:cNvPicPr>
                  </pic:nvPicPr>
                  <pic:blipFill>
                    <a:blip r:embed="rId5"/>
                    <a:srcRect t="5156" b="742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8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Figure 2.</w:t>
      </w:r>
      <w:r>
        <w:rPr>
          <w:rFonts w:hint="eastAsia"/>
          <w:sz w:val="20"/>
          <w:szCs w:val="20"/>
          <w:lang w:val="en-US" w:eastAsia="zh-CN"/>
        </w:rPr>
        <w:t>Gaussian Mixture Model</w:t>
      </w:r>
    </w:p>
    <w:p w14:paraId="16B8D6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23255" cy="2576195"/>
            <wp:effectExtent l="0" t="0" r="0" b="0"/>
            <wp:docPr id="4" name="图片 4" descr="Clinvar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nvar_data"/>
                    <pic:cNvPicPr>
                      <a:picLocks noChangeAspect="1"/>
                    </pic:cNvPicPr>
                  </pic:nvPicPr>
                  <pic:blipFill>
                    <a:blip r:embed="rId6"/>
                    <a:srcRect t="6773" b="458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0"/>
          <w:szCs w:val="20"/>
          <w:lang w:eastAsia="zh-CN"/>
        </w:rPr>
        <w:t>Figure 3</w:t>
      </w:r>
      <w:r>
        <w:rPr>
          <w:rFonts w:hint="eastAsia"/>
          <w:b/>
          <w:bCs/>
          <w:sz w:val="20"/>
          <w:szCs w:val="20"/>
          <w:lang w:val="en-US" w:eastAsia="zh-CN"/>
        </w:rPr>
        <w:t>.</w:t>
      </w:r>
      <w:r>
        <w:rPr>
          <w:rFonts w:hint="default"/>
          <w:sz w:val="20"/>
          <w:szCs w:val="20"/>
          <w:lang w:eastAsia="zh-CN"/>
        </w:rPr>
        <w:t>Distribution of various types of mutations reported in the Clinvar database from 2019 to 2024</w:t>
      </w:r>
    </w:p>
    <w:p w14:paraId="3DC71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lang w:val="en-US" w:eastAsia="zh-CN"/>
        </w:rPr>
      </w:pPr>
    </w:p>
    <w:p w14:paraId="06BBB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Bandwidth Calculation Steps.</w:t>
      </w:r>
    </w:p>
    <w:p w14:paraId="759F3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Obtaining the optimal fixed bandwidth for a specific amino acid sequence by minimizing the </w:t>
      </w:r>
      <w:r>
        <w:rPr>
          <w:rFonts w:hint="eastAsia" w:asciiTheme="minorHAnsi" w:eastAsiaTheme="minorEastAsia"/>
          <w:i/>
          <w:iCs/>
          <w:lang w:val="en-US" w:eastAsia="zh-CN"/>
        </w:rPr>
        <w:t>Mean Integrated Squared Error (MISE)</w:t>
      </w:r>
      <w:r>
        <w:rPr>
          <w:rFonts w:hint="eastAsia" w:asciiTheme="minorHAnsi" w:eastAsiaTheme="minorEastAsia"/>
          <w:lang w:val="en-US" w:eastAsia="zh-CN"/>
        </w:rPr>
        <w:t>:</w:t>
      </w:r>
    </w:p>
    <w:p w14:paraId="62A55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i/>
          <w:iCs/>
          <w:lang w:val="en-US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MISE(ℎ)=E</m:t>
          </m:r>
          <m:nary>
            <m:naryPr>
              <m:limLoc m:val="undOvr"/>
              <m:subHide m:val="1"/>
              <m:supHide m:val="1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∗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(x)−f(x))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0DC3F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And</w:t>
      </w:r>
      <w:r>
        <w:rPr>
          <w:rFonts w:hint="eastAsia" w:hAnsi="Cambria Math" w:cstheme="minorBidi"/>
          <w:i/>
          <w:kern w:val="2"/>
          <w:sz w:val="21"/>
          <w:szCs w:val="24"/>
          <w:lang w:val="en-US" w:eastAsia="zh-CN" w:bidi="ar-SA"/>
        </w:rPr>
        <w:t xml:space="preserve">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MISE(ℎ)=AMISE(ℎ)+o(</m:t>
        </m:r>
        <m:f>
          <m:f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nℎ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ℎ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 w:hAnsi="Cambria Math" w:cstheme="minorBidi"/>
          <w:i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where 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>AMISE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stands for the Asymptotic Mean Integrated Squared Error. 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>AMISE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has:</w:t>
      </w:r>
    </w:p>
    <w:p w14:paraId="782FA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AMISE(ℎ)=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R(K)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nℎ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(K)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''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 w14:paraId="2A5CA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Where:</w:t>
      </w:r>
    </w:p>
    <w:p w14:paraId="0C030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R(K)=</m:t>
          </m:r>
          <m:nary>
            <m:naryPr>
              <m:limLoc m:val="undOvr"/>
              <m:subHide m:val="1"/>
              <m:supHide m:val="1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(x)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dx,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(x)=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K(x)dx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34CCD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Minimizing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 xml:space="preserve"> MISE(h)</w:t>
      </w: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 xml:space="preserve"> is equivalent to minimizing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 xml:space="preserve"> AMISE(h)</w:t>
      </w: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. Taking the derivative and setting it to zero gives:</w:t>
      </w:r>
    </w:p>
    <w:p w14:paraId="730A4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AMISE(ℎ)=−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R(K)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(K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"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)=0</m:t>
          </m:r>
        </m:oMath>
      </m:oMathPara>
    </w:p>
    <w:p w14:paraId="5EC70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Yield:</w:t>
      </w:r>
    </w:p>
    <w:p w14:paraId="3C406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hAnsi="Cambria Math" w:cstheme="minorBidi"/>
          <w:i/>
          <w:iCs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AMISE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R(K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(K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''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1C62E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hAnsi="Cambria Math" w:cstheme="minorBidi"/>
          <w:i/>
          <w:iCs w:val="0"/>
          <w:kern w:val="2"/>
          <w:sz w:val="21"/>
          <w:szCs w:val="24"/>
          <w:lang w:val="en-US" w:eastAsia="zh-CN" w:bidi="ar-SA"/>
        </w:rPr>
      </w:pPr>
    </w:p>
    <w:p w14:paraId="56A47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Once the kernel function is determined, the values of </w:t>
      </w:r>
      <w:r>
        <w:rPr>
          <w:rFonts w:hint="eastAsia" w:asciiTheme="minorHAnsi" w:eastAsiaTheme="minorEastAsia"/>
          <w:i/>
          <w:iCs/>
          <w:lang w:val="en-US" w:eastAsia="zh-CN"/>
        </w:rPr>
        <w:t>R</w:t>
      </w:r>
      <w:r>
        <w:rPr>
          <w:rFonts w:hint="eastAsia"/>
          <w:i/>
          <w:iCs/>
          <w:lang w:val="en-US" w:eastAsia="zh-CN"/>
        </w:rPr>
        <w:t>, m</w:t>
      </w:r>
      <w:r>
        <w:rPr>
          <w:rFonts w:hint="eastAsia" w:asciiTheme="minorHAnsi" w:eastAsiaTheme="minorEastAsia"/>
          <w:lang w:val="en-US" w:eastAsia="zh-CN"/>
        </w:rPr>
        <w:t xml:space="preserve"> and</w:t>
      </w:r>
      <w:r>
        <w:rPr>
          <w:rFonts w:hint="eastAsia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''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eastAsiaTheme="minorEastAsia"/>
          <w:lang w:val="en-US" w:eastAsia="zh-CN"/>
        </w:rPr>
        <w:t>in the formula for</w:t>
      </w:r>
      <w:r>
        <w:rPr>
          <w:rFonts w:hint="eastAsia" w:asciiTheme="minorHAnsi" w:eastAsiaTheme="minorEastAsia"/>
          <w:i/>
          <w:iCs/>
          <w:lang w:val="en-US" w:eastAsia="zh-CN"/>
        </w:rPr>
        <w:t xml:space="preserve"> h</w:t>
      </w:r>
      <w:r>
        <w:rPr>
          <w:rFonts w:hint="eastAsia" w:asciiTheme="minorHAnsi" w:eastAsiaTheme="minorEastAsia"/>
          <w:lang w:val="en-US" w:eastAsia="zh-CN"/>
        </w:rPr>
        <w:t xml:space="preserve"> can be established, and </w:t>
      </w:r>
      <w:r>
        <w:rPr>
          <w:rFonts w:hint="eastAsia" w:asciiTheme="minorHAnsi" w:eastAsiaTheme="minorEastAsia"/>
          <w:i/>
          <w:iCs/>
          <w:lang w:val="en-US" w:eastAsia="zh-CN"/>
        </w:rPr>
        <w:t>h</w:t>
      </w:r>
      <w:r>
        <w:rPr>
          <w:rFonts w:hint="eastAsia" w:asciiTheme="minorHAnsi" w:eastAsiaTheme="minorEastAsia"/>
          <w:lang w:val="en-US" w:eastAsia="zh-CN"/>
        </w:rPr>
        <w:t xml:space="preserve"> will have an analytical solution. We have chosen the Gaussian kernel function, so the optimal bandwidth we select is:</w:t>
      </w:r>
    </w:p>
    <w:p w14:paraId="687A9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cs="Cambria Math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ℎ=(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=1.059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σ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16518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  <w:t>Where σ is the standard deviation of the sample.</w:t>
      </w:r>
    </w:p>
    <w:p w14:paraId="58E63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098B3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hAnsi="Cambria Math" w:cs="Cambria Math"/>
          <w:b/>
          <w:bCs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b/>
          <w:bCs/>
          <w:i w:val="0"/>
          <w:iCs w:val="0"/>
          <w:kern w:val="2"/>
          <w:sz w:val="21"/>
          <w:szCs w:val="24"/>
          <w:lang w:val="en-US" w:eastAsia="zh-CN" w:bidi="ar-SA"/>
        </w:rPr>
        <w:t>Expectation Maximization Algorithm</w:t>
      </w:r>
    </w:p>
    <w:p w14:paraId="31DAD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cs="Times New Roman" w:asciiTheme="minorAscii" w:hAnsiTheme="minorAscii" w:eastAsiaTheme="minorEastAsia"/>
          <w:sz w:val="21"/>
          <w:lang w:val="en-US" w:eastAsia="zh-CN"/>
        </w:rPr>
      </w:pP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The EM algorithm consists of three steps: the E-step (calculating the expected values of 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>μ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 and 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>σ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>), the M-step (computing the maximum likelihood estimates of these two parameters from the E-step for the Gaussian model), and the iteration step (repeating the E-step and M-step until these parameters converge). This process determines the boundaries of mutation clusters, through which a set of mutation clusters can be identified.</w:t>
      </w:r>
    </w:p>
    <w:p w14:paraId="34B0D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cs="Times New Roman" w:asciiTheme="minorAscii" w:hAnsiTheme="minorAscii" w:eastAsiaTheme="minorEastAsia"/>
          <w:sz w:val="21"/>
          <w:lang w:val="en-US" w:eastAsia="zh-CN"/>
        </w:rPr>
      </w:pP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>Specific steps:</w:t>
      </w:r>
    </w:p>
    <w:p w14:paraId="7E8386C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cs="Times New Roman" w:asciiTheme="minorAscii" w:hAnsiTheme="minorAscii" w:eastAsiaTheme="minorEastAsia"/>
          <w:sz w:val="21"/>
          <w:lang w:val="en-US" w:eastAsia="zh-CN"/>
        </w:rPr>
      </w:pP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Initialize 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>μ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 and 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>σ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. We set the maximum values of the kernel density curve to be </w:t>
      </w:r>
      <m:oMath>
        <m:sSub>
          <m:sSubPr>
            <m:ctrlPr>
              <w:rPr>
                <w:rFonts w:hint="default" w:ascii="Cambria Math" w:hAnsi="Cambria Math" w:cs="Times New Roman" w:eastAsiaTheme="minorEastAsia"/>
                <w:i/>
                <w:iCs w:val="0"/>
                <w:sz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 w:eastAsiaTheme="minorEastAsia"/>
                <w:i/>
                <w:iCs w:val="0"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 w:eastAsiaTheme="minorEastAsia"/>
                <w:i/>
                <w:iCs w:val="0"/>
                <w:sz w:val="21"/>
                <w:lang w:val="en-US"/>
              </w:rPr>
            </m:ctrlPr>
          </m:sub>
        </m:sSub>
      </m:oMath>
      <w:r>
        <w:rPr>
          <w:rFonts w:hint="default" w:cs="Times New Roman" w:asciiTheme="minorAscii" w:hAnsiTheme="minorAscii" w:eastAsiaTheme="minorEastAsia"/>
          <w:i/>
          <w:iCs w:val="0"/>
          <w:sz w:val="21"/>
          <w:lang w:val="en-US" w:eastAsia="zh-CN"/>
        </w:rPr>
        <w:t>(k=1,2,...,K)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, where 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>K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 is the number of maximum values. Each maximum value corresponds to two minimum values on either side</w:t>
      </w:r>
      <w:r>
        <w:rPr>
          <w:rFonts w:hint="default" w:cs="Times New Roman" w:asciiTheme="minorAscii" w:hAnsiTheme="minorAscii"/>
          <w:sz w:val="21"/>
          <w:lang w:val="en-US" w:eastAsia="zh-CN"/>
        </w:rPr>
        <w:t>,</w:t>
      </w:r>
      <m:oMath>
        <m:sSub>
          <m:sSubP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min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cs="Times New Roman"/>
            <w:sz w:val="21"/>
            <w:lang w:val="en-US" w:eastAsia="zh-CN"/>
          </w:rPr>
          <m:t>and</m:t>
        </m:r>
        <m:r>
          <m:rPr/>
          <w:rPr>
            <w:rFonts w:hint="default" w:ascii="Cambria Math" w:hAnsi="Cambria Math" w:cs="Times New Roman"/>
            <w:sz w:val="21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min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k+1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 w:eastAsia="zh-CN"/>
              </w:rPr>
            </m:ctrlPr>
          </m:sub>
        </m:sSub>
      </m:oMath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, and in the edge case where there are no local minimum values before or after 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>k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, the values 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>(0,f(0))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 and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 xml:space="preserve"> (L,f(L))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 are used as local minimum values depending on the situation. </w:t>
      </w:r>
      <w:r>
        <w:rPr>
          <w:rFonts w:hint="default" w:cs="Times New Roman" w:asciiTheme="minorAscii" w:hAnsiTheme="minorAscii"/>
          <w:sz w:val="21"/>
          <w:lang w:val="en-US" w:eastAsia="zh-CN"/>
        </w:rPr>
        <w:t>where</w:t>
      </w:r>
      <w:r>
        <w:rPr>
          <w:rFonts w:hint="default" w:cs="Times New Roman" w:asciiTheme="minorAscii" w:hAnsiTheme="minorAscii" w:eastAsiaTheme="minorEastAsia"/>
          <w:i/>
          <w:iCs/>
          <w:sz w:val="21"/>
          <w:lang w:val="en-US" w:eastAsia="zh-CN"/>
        </w:rPr>
        <w:t xml:space="preserve"> L</w:t>
      </w:r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 is the length of the amino acids in the gene. Then the initial parameters</w:t>
      </w:r>
      <w:r>
        <w:rPr>
          <w:rFonts w:hint="default" w:cs="Times New Roman" w:asciiTheme="minorAscii" w:hAnsiTheme="minorAscii"/>
          <w:sz w:val="21"/>
          <w:lang w:val="en-US" w:eastAsia="zh-CN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/>
              </w:rPr>
              <m:t>μ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sub>
        </m:sSub>
      </m:oMath>
      <w:r>
        <w:rPr>
          <w:rFonts w:hint="default" w:cs="Times New Roman" w:asciiTheme="minorAscii" w:hAnsiTheme="minorAscii"/>
          <w:i w:val="0"/>
          <w:sz w:val="21"/>
          <w:lang w:val="en-US" w:eastAsia="zh-CN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/>
              </w:rPr>
              <m:t>σ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 w:eastAsiaTheme="minorEastAsia"/>
                <w:i/>
                <w:sz w:val="21"/>
                <w:lang w:val="en-US"/>
              </w:rPr>
            </m:ctrlPr>
          </m:sub>
        </m:sSub>
      </m:oMath>
      <w:r>
        <w:rPr>
          <w:rFonts w:hint="default" w:cs="Times New Roman" w:asciiTheme="minorAscii" w:hAnsiTheme="minorAscii" w:eastAsiaTheme="minorEastAsia"/>
          <w:sz w:val="21"/>
          <w:lang w:val="en-US" w:eastAsia="zh-CN"/>
        </w:rPr>
        <w:t xml:space="preserve"> for each Gaussian distribution are given by the following formula:</w:t>
      </w:r>
    </w:p>
    <w:p w14:paraId="3B9FD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cs="Times New Roman" w:asciiTheme="minorAscii" w:hAnsiTheme="minorAscii"/>
          <w:i/>
          <w:iCs w:val="0"/>
          <w:sz w:val="21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1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1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max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1"/>
              <w:lang w:val="en-US" w:eastAsia="zh-CN"/>
            </w:rPr>
            <m:t>，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1"/>
                  <w:lang w:val="en-US"/>
                </w:rPr>
                <m:t>σ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1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min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k+1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min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den>
          </m:f>
        </m:oMath>
      </m:oMathPara>
    </w:p>
    <w:p w14:paraId="562D602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Calculate the probabilities of all samples belonging to each category:</w:t>
      </w:r>
    </w:p>
    <w:p w14:paraId="294F51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eastAsiaTheme="minorEastAsia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γ</m:t>
              </m:r>
              <m:ctrlPr>
                <w:rPr>
                  <w:rFonts w:hint="default" w:ascii="Cambria Math" w:hAnsi="Cambria Math" w:eastAsiaTheme="minorEastAsia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i,k</m:t>
              </m:r>
              <m:ctrlPr>
                <w:rPr>
                  <w:rFonts w:hint="default" w:ascii="Cambria Math" w:hAnsi="Cambria Math" w:eastAsiaTheme="minorEastAsia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μ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s=1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μ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(i=1,2,3,...,n,k=1,2,3,...,K)</m:t>
          </m:r>
        </m:oMath>
      </m:oMathPara>
    </w:p>
    <w:p w14:paraId="1FADE0C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200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Update </w:t>
      </w:r>
      <m:oMath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and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σ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asciiTheme="minorAscii" w:hAnsiTheme="minorAscii"/>
          <w:lang w:val="en-US" w:eastAsia="zh-CN"/>
        </w:rPr>
        <w:t xml:space="preserve"> </w:t>
      </w:r>
    </w:p>
    <w:p w14:paraId="3CEFD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/>
          <w:i/>
          <w:iCs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μ</m:t>
              </m: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，</m:t>
          </m:r>
        </m:oMath>
      </m:oMathPara>
    </w:p>
    <w:p w14:paraId="1007C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</w:p>
    <w:p w14:paraId="7C7143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/>
          <w:i/>
          <w:iCs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σ</m:t>
              </m: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(X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(X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，</m:t>
          </m:r>
        </m:oMath>
      </m:oMathPara>
    </w:p>
    <w:p w14:paraId="0C796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/>
          <w:i/>
          <w:iCs/>
          <w:lang w:val="en-US" w:eastAsia="zh-CN"/>
        </w:rPr>
      </w:pPr>
    </w:p>
    <w:p w14:paraId="49C62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hint="default"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，</m:t>
          </m:r>
        </m:oMath>
      </m:oMathPara>
    </w:p>
    <w:p w14:paraId="6BF51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4.Repeat steps 2 and 3 until the maximum number of iterations is reached or until </w:t>
      </w:r>
      <w:r>
        <w:rPr>
          <w:rFonts w:hint="default" w:asciiTheme="minorAscii" w:hAnsiTheme="minorAscii"/>
          <w:i/>
          <w:iCs/>
          <w:lang w:val="en-US" w:eastAsia="zh-CN"/>
        </w:rPr>
        <w:t>μ, σ,</w:t>
      </w:r>
      <w:r>
        <w:rPr>
          <w:rFonts w:hint="default" w:asciiTheme="minorAscii" w:hAnsiTheme="minorAscii"/>
          <w:lang w:val="en-US" w:eastAsia="zh-CN"/>
        </w:rPr>
        <w:t xml:space="preserve"> and </w:t>
      </w:r>
      <w:r>
        <w:rPr>
          <w:rFonts w:hint="default" w:asciiTheme="minorAscii" w:hAnsiTheme="minorAscii"/>
          <w:i/>
          <w:iCs/>
          <w:lang w:val="en-US" w:eastAsia="zh-CN"/>
        </w:rPr>
        <w:t>ω</w:t>
      </w:r>
      <w:r>
        <w:rPr>
          <w:rFonts w:hint="default" w:asciiTheme="minorAscii" w:hAnsiTheme="minorAscii"/>
          <w:lang w:val="en-US" w:eastAsia="zh-CN"/>
        </w:rPr>
        <w:t xml:space="preserve"> converge during the iterations.</w:t>
      </w:r>
    </w:p>
    <w:p w14:paraId="7BA16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 w:eastAsiaTheme="minorEastAsia"/>
          <w:lang w:val="en-US" w:eastAsia="zh-CN"/>
        </w:rPr>
        <w:t xml:space="preserve">After completing the above iterations, you will obtain </w:t>
      </w:r>
      <w:r>
        <w:rPr>
          <w:rFonts w:hint="default" w:asciiTheme="minorAscii" w:hAnsiTheme="minorAscii" w:eastAsiaTheme="minorEastAsia"/>
          <w:i/>
          <w:iCs/>
          <w:lang w:val="en-US" w:eastAsia="zh-CN"/>
        </w:rPr>
        <w:t>J (J ≤ K)</w:t>
      </w:r>
      <w:r>
        <w:rPr>
          <w:rFonts w:hint="default" w:asciiTheme="minorAscii" w:hAnsiTheme="minorAscii" w:eastAsiaTheme="minorEastAsia"/>
          <w:lang w:val="en-US" w:eastAsia="zh-CN"/>
        </w:rPr>
        <w:t xml:space="preserve"> values for</w:t>
      </w:r>
      <w:r>
        <w:rPr>
          <w:rFonts w:hint="default" w:asciiTheme="minorAscii" w:hAnsiTheme="minorAscii" w:eastAsiaTheme="minorEastAsia"/>
          <w:i/>
          <w:iCs/>
          <w:lang w:val="en-US" w:eastAsia="zh-CN"/>
        </w:rPr>
        <w:t>μ</w:t>
      </w:r>
      <w:r>
        <w:rPr>
          <w:rFonts w:hint="default" w:asciiTheme="minorAscii" w:hAnsiTheme="minorAscii" w:eastAsiaTheme="minorEastAsia"/>
          <w:lang w:val="en-US" w:eastAsia="zh-CN"/>
        </w:rPr>
        <w:t>and</w:t>
      </w:r>
      <w:r>
        <w:rPr>
          <w:rFonts w:hint="default" w:asciiTheme="minorAscii" w:hAnsiTheme="minorAscii" w:eastAsiaTheme="minorEastAsia"/>
          <w:i/>
          <w:iCs/>
          <w:lang w:val="en-US" w:eastAsia="zh-CN"/>
        </w:rPr>
        <w:t>σ</w:t>
      </w:r>
      <w:r>
        <w:rPr>
          <w:rFonts w:hint="default" w:asciiTheme="minorAscii" w:hAnsiTheme="minorAscii" w:eastAsiaTheme="minorEastAsia"/>
          <w:lang w:val="en-US" w:eastAsia="zh-CN"/>
        </w:rPr>
        <w:t xml:space="preserve">, which correspond to </w:t>
      </w:r>
      <w:r>
        <w:rPr>
          <w:rFonts w:hint="default" w:asciiTheme="minorAscii" w:hAnsiTheme="minorAscii" w:eastAsiaTheme="minorEastAsia"/>
          <w:i/>
          <w:iCs/>
          <w:lang w:val="en-US" w:eastAsia="zh-CN"/>
        </w:rPr>
        <w:t xml:space="preserve">J </w:t>
      </w:r>
      <w:r>
        <w:rPr>
          <w:rFonts w:hint="default" w:asciiTheme="minorAscii" w:hAnsiTheme="minorAscii" w:eastAsiaTheme="minorEastAsia"/>
          <w:lang w:val="en-US" w:eastAsia="zh-CN"/>
        </w:rPr>
        <w:t>candidate hotspot regions</w:t>
      </w:r>
      <w:r>
        <w:rPr>
          <w:rFonts w:hint="default" w:asciiTheme="minorAscii" w:hAnsiTheme="minorAscii"/>
          <w:lang w:val="en-US" w:eastAsia="zh-CN"/>
        </w:rPr>
        <w:t xml:space="preserve"> [</w:t>
      </w:r>
      <m:oMath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σ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，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μ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σ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default" w:asciiTheme="minorAscii" w:hAnsiTheme="minorAscii"/>
          <w:lang w:val="en-US" w:eastAsia="zh-CN"/>
        </w:rPr>
        <w:t>]</w:t>
      </w:r>
      <w:r>
        <w:rPr>
          <w:rFonts w:hint="default" w:asciiTheme="minorAscii" w:hAnsiTheme="minorAscii" w:eastAsiaTheme="minorEastAsia"/>
          <w:lang w:val="en-US" w:eastAsia="zh-CN"/>
        </w:rPr>
        <w:t>.</w:t>
      </w:r>
    </w:p>
    <w:p w14:paraId="6C5DA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4A17D0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01BEF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43A866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4CBBDB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3DC22B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0DE4B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4A1F0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4E905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0BA73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48C1A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69681D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31D3A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7F2B57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Theme="minorAscii" w:hAnsiTheme="minorAscii" w:eastAsiaTheme="minorEastAsia"/>
          <w:lang w:val="en-US" w:eastAsia="zh-CN"/>
        </w:rPr>
      </w:pPr>
    </w:p>
    <w:p w14:paraId="7C007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Ascii" w:hAnsiTheme="minorAscii"/>
          <w:b/>
          <w:bCs/>
          <w:lang w:val="en-US" w:eastAsia="zh-CN"/>
        </w:rPr>
      </w:pPr>
    </w:p>
    <w:p w14:paraId="6058B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Table 1</w:t>
      </w:r>
      <w:r>
        <w:rPr>
          <w:rFonts w:hint="eastAsia" w:asciiTheme="minorAscii" w:hAnsiTheme="minorAscii"/>
          <w:b/>
          <w:bCs/>
          <w:lang w:val="en-US" w:eastAsia="zh-CN"/>
        </w:rPr>
        <w:t>.</w:t>
      </w:r>
      <w:r>
        <w:rPr>
          <w:rFonts w:hint="default" w:asciiTheme="minorAscii" w:hAnsiTheme="minorAscii"/>
          <w:lang w:val="en-US" w:eastAsia="zh-CN"/>
        </w:rPr>
        <w:t>Number of Genes Under Various Conditions.</w:t>
      </w:r>
    </w:p>
    <w:tbl>
      <w:tblPr>
        <w:tblStyle w:val="4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4"/>
        <w:gridCol w:w="2475"/>
      </w:tblGrid>
      <w:tr w14:paraId="4AF3C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left w:val="nil"/>
              <w:right w:val="nil"/>
            </w:tcBorders>
          </w:tcPr>
          <w:p w14:paraId="123306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Theme="minorAscii" w:hAnsiTheme="minorAscii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CN"/>
              </w:rPr>
              <w:t>type</w:t>
            </w: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05EEBA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Theme="minorAscii" w:hAnsiTheme="minorAscii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CN"/>
              </w:rPr>
              <w:t>Number of gene</w:t>
            </w:r>
          </w:p>
        </w:tc>
      </w:tr>
      <w:tr w14:paraId="7B79F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left w:val="nil"/>
              <w:bottom w:val="nil"/>
              <w:right w:val="nil"/>
            </w:tcBorders>
            <w:vAlign w:val="top"/>
          </w:tcPr>
          <w:p w14:paraId="7C98021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Genes containing all hotspots and coldspots</w:t>
            </w:r>
          </w:p>
        </w:tc>
        <w:tc>
          <w:tcPr>
            <w:tcW w:w="2475" w:type="dxa"/>
            <w:tcBorders>
              <w:left w:val="nil"/>
              <w:bottom w:val="nil"/>
              <w:right w:val="nil"/>
            </w:tcBorders>
            <w:vAlign w:val="top"/>
          </w:tcPr>
          <w:p w14:paraId="307B5DAC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1523</w:t>
            </w:r>
          </w:p>
        </w:tc>
      </w:tr>
      <w:tr w14:paraId="41158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F7C578E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Genes containing only hotspots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32767C3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138</w:t>
            </w:r>
          </w:p>
        </w:tc>
      </w:tr>
      <w:tr w14:paraId="3AAE1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BB30A5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 xml:space="preserve">Genes containing only 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  <w:lang w:val="en-US" w:eastAsia="zh-CN"/>
              </w:rPr>
              <w:t>cold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spots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A0E737A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1338</w:t>
            </w:r>
          </w:p>
        </w:tc>
      </w:tr>
      <w:tr w14:paraId="08A3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4A4A610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Genes containing both hotspots and coldspots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F0A96C5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47</w:t>
            </w:r>
          </w:p>
        </w:tc>
      </w:tr>
      <w:tr w14:paraId="1E196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DE21ED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Genes with PLP counts exceeding 80% of the total number of PLPs and BLBs among genes with hotspots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0627BD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25</w:t>
            </w:r>
          </w:p>
        </w:tc>
      </w:tr>
      <w:tr w14:paraId="66DF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9745D01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Genes with hotspots that contain only PLPs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482624D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0</w:t>
            </w:r>
          </w:p>
        </w:tc>
      </w:tr>
      <w:tr w14:paraId="6B6E9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6F2BFA7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 xml:space="preserve">Genes with 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  <w:lang w:val="en-US" w:eastAsia="zh-CN"/>
              </w:rPr>
              <w:t>BLB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 xml:space="preserve"> counts exceeding 80% of the total number of PLPs and BLBs among genes with 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  <w:lang w:val="en-US" w:eastAsia="zh-CN"/>
              </w:rPr>
              <w:t>cold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spots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A42ED66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1238</w:t>
            </w:r>
          </w:p>
        </w:tc>
      </w:tr>
      <w:tr w14:paraId="3A1EB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758B23C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 xml:space="preserve">Genes with 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  <w:lang w:val="en-US" w:eastAsia="zh-CN"/>
              </w:rPr>
              <w:t>cold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 xml:space="preserve">spots that contain only 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  <w:lang w:val="en-US" w:eastAsia="zh-CN"/>
              </w:rPr>
              <w:t>BLB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356503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623</w:t>
            </w:r>
          </w:p>
        </w:tc>
      </w:tr>
      <w:tr w14:paraId="432F5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BE9AF98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Genes where the number of PLPs exceeds 80% of the total count of PLPs and BLBs among all genes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02D6003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98</w:t>
            </w:r>
          </w:p>
        </w:tc>
      </w:tr>
      <w:tr w14:paraId="28C9C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62EA899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 xml:space="preserve">Genes where the number of 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  <w:lang w:val="en-US" w:eastAsia="zh-CN"/>
              </w:rPr>
              <w:t>BLB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s exceeds 80% of the total count of PLPs and BLBs among all genes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D8FF806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4318</w:t>
            </w:r>
          </w:p>
        </w:tc>
      </w:tr>
      <w:tr w14:paraId="7E8E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26F4FF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Genes that contain only PLPs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049DAE3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0</w:t>
            </w:r>
          </w:p>
        </w:tc>
      </w:tr>
      <w:tr w14:paraId="3E142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4" w:type="dxa"/>
            <w:tcBorders>
              <w:top w:val="nil"/>
              <w:left w:val="nil"/>
              <w:right w:val="nil"/>
            </w:tcBorders>
            <w:vAlign w:val="top"/>
          </w:tcPr>
          <w:p w14:paraId="6AE351E1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 xml:space="preserve">Genes that contain only 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  <w:lang w:val="en-US" w:eastAsia="zh-CN"/>
              </w:rPr>
              <w:t>BLB</w:t>
            </w: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s</w:t>
            </w:r>
          </w:p>
        </w:tc>
        <w:tc>
          <w:tcPr>
            <w:tcW w:w="2475" w:type="dxa"/>
            <w:tcBorders>
              <w:top w:val="nil"/>
              <w:left w:val="nil"/>
              <w:right w:val="nil"/>
            </w:tcBorders>
            <w:vAlign w:val="top"/>
          </w:tcPr>
          <w:p w14:paraId="1DAD43BE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3149</w:t>
            </w:r>
          </w:p>
        </w:tc>
      </w:tr>
    </w:tbl>
    <w:p w14:paraId="57947684">
      <w:pPr>
        <w:jc w:val="both"/>
        <w:rPr>
          <w:rFonts w:hint="default" w:eastAsiaTheme="minorEastAsia"/>
          <w:lang w:eastAsia="zh-CN"/>
        </w:rPr>
      </w:pPr>
    </w:p>
    <w:p w14:paraId="17D92CA9">
      <w:pPr>
        <w:jc w:val="both"/>
        <w:rPr>
          <w:rFonts w:hint="default" w:eastAsiaTheme="minorEastAsia"/>
          <w:lang w:eastAsia="zh-CN"/>
        </w:rPr>
      </w:pPr>
    </w:p>
    <w:p w14:paraId="3CC19AEE">
      <w:pPr>
        <w:jc w:val="both"/>
        <w:rPr>
          <w:rFonts w:hint="default" w:eastAsiaTheme="minorEastAsia"/>
          <w:lang w:eastAsia="zh-CN"/>
        </w:rPr>
      </w:pPr>
    </w:p>
    <w:p w14:paraId="3FC14343">
      <w:pPr>
        <w:jc w:val="both"/>
        <w:rPr>
          <w:rFonts w:hint="default" w:eastAsiaTheme="minorEastAsia"/>
          <w:lang w:eastAsia="zh-CN"/>
        </w:rPr>
      </w:pPr>
    </w:p>
    <w:p w14:paraId="27C041CF">
      <w:pPr>
        <w:jc w:val="both"/>
        <w:rPr>
          <w:rFonts w:hint="default" w:eastAsiaTheme="minorEastAsia"/>
          <w:lang w:eastAsia="zh-CN"/>
        </w:rPr>
      </w:pPr>
    </w:p>
    <w:p w14:paraId="34C89463">
      <w:pPr>
        <w:jc w:val="both"/>
        <w:rPr>
          <w:rFonts w:hint="default" w:eastAsiaTheme="minorEastAsia"/>
          <w:lang w:eastAsia="zh-CN"/>
        </w:rPr>
      </w:pPr>
    </w:p>
    <w:p w14:paraId="10D96343">
      <w:pPr>
        <w:jc w:val="both"/>
        <w:rPr>
          <w:rFonts w:hint="default" w:eastAsiaTheme="minorEastAsia"/>
          <w:lang w:eastAsia="zh-CN"/>
        </w:rPr>
      </w:pPr>
    </w:p>
    <w:p w14:paraId="013A2D4D">
      <w:pPr>
        <w:jc w:val="both"/>
        <w:rPr>
          <w:rFonts w:hint="default" w:eastAsiaTheme="minorEastAsia"/>
          <w:lang w:eastAsia="zh-CN"/>
        </w:rPr>
      </w:pPr>
    </w:p>
    <w:p w14:paraId="445549C7">
      <w:pPr>
        <w:jc w:val="both"/>
        <w:rPr>
          <w:rFonts w:hint="default" w:eastAsiaTheme="minorEastAsia"/>
          <w:lang w:eastAsia="zh-CN"/>
        </w:rPr>
      </w:pPr>
    </w:p>
    <w:p w14:paraId="376A1602">
      <w:pPr>
        <w:jc w:val="both"/>
        <w:rPr>
          <w:rFonts w:hint="default" w:eastAsiaTheme="minorEastAsia"/>
          <w:lang w:eastAsia="zh-CN"/>
        </w:rPr>
      </w:pPr>
    </w:p>
    <w:p w14:paraId="17012E18">
      <w:pPr>
        <w:jc w:val="both"/>
        <w:rPr>
          <w:rFonts w:hint="default" w:eastAsiaTheme="minorEastAsia"/>
          <w:lang w:eastAsia="zh-CN"/>
        </w:rPr>
      </w:pPr>
    </w:p>
    <w:p w14:paraId="651BDC93">
      <w:pPr>
        <w:jc w:val="both"/>
        <w:rPr>
          <w:rFonts w:hint="default" w:eastAsiaTheme="minorEastAsia"/>
          <w:lang w:eastAsia="zh-CN"/>
        </w:rPr>
      </w:pPr>
    </w:p>
    <w:p w14:paraId="6A9A22CC">
      <w:pPr>
        <w:jc w:val="both"/>
        <w:rPr>
          <w:rFonts w:hint="default" w:eastAsiaTheme="minorEastAsia"/>
          <w:lang w:eastAsia="zh-CN"/>
        </w:rPr>
      </w:pPr>
    </w:p>
    <w:p w14:paraId="056D876C">
      <w:pPr>
        <w:jc w:val="both"/>
        <w:rPr>
          <w:rFonts w:hint="default" w:eastAsiaTheme="minorEastAsia"/>
          <w:lang w:eastAsia="zh-CN"/>
        </w:rPr>
      </w:pPr>
    </w:p>
    <w:p w14:paraId="3DAF950F">
      <w:pPr>
        <w:jc w:val="both"/>
        <w:rPr>
          <w:rFonts w:hint="default" w:eastAsiaTheme="minorEastAsia"/>
          <w:lang w:eastAsia="zh-CN"/>
        </w:rPr>
      </w:pPr>
    </w:p>
    <w:p w14:paraId="036A9DE6">
      <w:pPr>
        <w:jc w:val="both"/>
        <w:rPr>
          <w:rFonts w:hint="default" w:eastAsiaTheme="minorEastAsia"/>
          <w:lang w:eastAsia="zh-CN"/>
        </w:rPr>
      </w:pPr>
    </w:p>
    <w:p w14:paraId="611EEDF9">
      <w:pPr>
        <w:jc w:val="both"/>
        <w:rPr>
          <w:rFonts w:hint="default" w:eastAsiaTheme="minorEastAsia"/>
          <w:lang w:eastAsia="zh-CN"/>
        </w:rPr>
      </w:pPr>
    </w:p>
    <w:p w14:paraId="12D0B0C3">
      <w:pPr>
        <w:jc w:val="both"/>
        <w:rPr>
          <w:rFonts w:hint="default" w:eastAsiaTheme="minorEastAsia"/>
          <w:lang w:eastAsia="zh-CN"/>
        </w:rPr>
      </w:pPr>
    </w:p>
    <w:p w14:paraId="76FA9FCC">
      <w:pPr>
        <w:jc w:val="both"/>
        <w:rPr>
          <w:rFonts w:hint="default" w:eastAsiaTheme="minorEastAsia"/>
          <w:lang w:eastAsia="zh-CN"/>
        </w:rPr>
      </w:pPr>
    </w:p>
    <w:p w14:paraId="3364165D">
      <w:pPr>
        <w:jc w:val="both"/>
        <w:rPr>
          <w:rFonts w:hint="default" w:eastAsiaTheme="minorEastAsia"/>
          <w:lang w:eastAsia="zh-CN"/>
        </w:rPr>
      </w:pPr>
    </w:p>
    <w:p w14:paraId="7B8BB2F8">
      <w:pPr>
        <w:jc w:val="both"/>
        <w:rPr>
          <w:rFonts w:hint="default" w:eastAsiaTheme="minorEastAsia"/>
          <w:lang w:eastAsia="zh-CN"/>
        </w:rPr>
      </w:pPr>
    </w:p>
    <w:p w14:paraId="3CECAF1C">
      <w:pPr>
        <w:jc w:val="both"/>
        <w:rPr>
          <w:rFonts w:hint="default" w:eastAsiaTheme="minorEastAsia"/>
          <w:lang w:eastAsia="zh-CN"/>
        </w:rPr>
      </w:pPr>
    </w:p>
    <w:p w14:paraId="6341514A">
      <w:pPr>
        <w:jc w:val="both"/>
        <w:rPr>
          <w:rFonts w:hint="default" w:eastAsiaTheme="minorEastAsia"/>
          <w:lang w:eastAsia="zh-CN"/>
        </w:rPr>
      </w:pPr>
    </w:p>
    <w:p w14:paraId="2AE1962D">
      <w:pPr>
        <w:jc w:val="both"/>
        <w:rPr>
          <w:rFonts w:hint="default" w:eastAsiaTheme="minorEastAsia"/>
          <w:lang w:eastAsia="zh-CN"/>
        </w:rPr>
      </w:pPr>
    </w:p>
    <w:p w14:paraId="526CE9C9">
      <w:pPr>
        <w:jc w:val="both"/>
        <w:rPr>
          <w:rFonts w:hint="default" w:eastAsiaTheme="minorEastAsia"/>
          <w:lang w:eastAsia="zh-CN"/>
        </w:rPr>
      </w:pPr>
    </w:p>
    <w:p w14:paraId="664B4A25">
      <w:pPr>
        <w:jc w:val="both"/>
        <w:rPr>
          <w:rFonts w:hint="default" w:eastAsiaTheme="minorEastAsia"/>
          <w:lang w:eastAsia="zh-CN"/>
        </w:rPr>
      </w:pPr>
    </w:p>
    <w:p w14:paraId="513727E8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hint="eastAsia" w:ascii="Calibri" w:hAnsi="Calibri" w:cs="Calibri"/>
          <w:b/>
          <w:bCs/>
          <w:sz w:val="20"/>
          <w:szCs w:val="20"/>
        </w:rPr>
        <w:t xml:space="preserve">Table 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>2.</w:t>
      </w:r>
      <w:r>
        <w:rPr>
          <w:rFonts w:hint="eastAsia" w:ascii="Calibri" w:hAnsi="Calibri" w:cs="Calibri"/>
          <w:b/>
          <w:bCs/>
          <w:sz w:val="20"/>
          <w:szCs w:val="20"/>
        </w:rPr>
        <w:t xml:space="preserve"> </w:t>
      </w:r>
      <w:r>
        <w:rPr>
          <w:rFonts w:hint="eastAsia" w:ascii="Calibri" w:hAnsi="Calibri" w:cs="Calibri"/>
          <w:sz w:val="20"/>
          <w:szCs w:val="20"/>
        </w:rPr>
        <w:t>Comparison of Hotspot Regions in This Study with Those in AutoPVS1, Including critical Functional Areas and disease-specific expert-curated functional areas</w:t>
      </w:r>
    </w:p>
    <w:tbl>
      <w:tblPr>
        <w:tblStyle w:val="3"/>
        <w:tblW w:w="9031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835"/>
        <w:gridCol w:w="1136"/>
        <w:gridCol w:w="965"/>
        <w:gridCol w:w="934"/>
        <w:gridCol w:w="944"/>
      </w:tblGrid>
      <w:tr w14:paraId="66119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17" w:type="dxa"/>
            <w:tcBorders>
              <w:left w:val="nil"/>
              <w:right w:val="nil"/>
            </w:tcBorders>
          </w:tcPr>
          <w:p w14:paraId="64CBC8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Comparis on Category</w:t>
            </w: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6E08BB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>describe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07DB73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>Number of all variants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8ECFC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>Number of PLPs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C1BF7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>Number of BLBs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3BECF1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PLP/(PLP+BLB)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>(%)</w:t>
            </w:r>
          </w:p>
        </w:tc>
      </w:tr>
      <w:tr w14:paraId="1412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tcBorders>
              <w:left w:val="nil"/>
              <w:right w:val="nil"/>
            </w:tcBorders>
          </w:tcPr>
          <w:p w14:paraId="3D5F01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7200B9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523E40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31345C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Compared with the AutoPVS1 hot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>spot in</w:t>
            </w: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terval</w:t>
            </w: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2D9851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all mutations in all genes within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 xml:space="preserve"> this</w:t>
            </w: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 xml:space="preserve"> regions (18,605 genes)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7C921D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5676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71BDD9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1299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38895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237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381023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84.57%</w:t>
            </w:r>
          </w:p>
        </w:tc>
      </w:tr>
      <w:tr w14:paraId="665EA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50185E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7FA58A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on genes that have PLP and are located within this region（2476 genes）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1362F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5643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DD89B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1299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F8DCA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237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1A9E80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84.57%</w:t>
            </w:r>
          </w:p>
        </w:tc>
      </w:tr>
      <w:tr w14:paraId="6AEA3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7AF86E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1119EA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on genes that have hotspots in this study and are located within this region（186 genes）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197F3F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3907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A3185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979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6ED349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0EF48B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87.61%</w:t>
            </w:r>
          </w:p>
        </w:tc>
      </w:tr>
      <w:tr w14:paraId="35C3A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14DE39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0FB918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located both in the hotspot areas of this study and within this region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1232A7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1888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6B4E5E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640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FCB6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41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6143B6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93.94%</w:t>
            </w:r>
          </w:p>
        </w:tc>
      </w:tr>
      <w:tr w14:paraId="474B7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3DE8FF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407B4E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in the hotspot intervals calculated in this study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07A9A3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16226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21C2D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3455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12E6B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281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4DF3AF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92.38%</w:t>
            </w:r>
          </w:p>
        </w:tc>
      </w:tr>
      <w:tr w14:paraId="2DA76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tcBorders>
              <w:left w:val="nil"/>
              <w:right w:val="nil"/>
            </w:tcBorders>
          </w:tcPr>
          <w:p w14:paraId="1B1514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328F80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24978F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20E4E6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i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Compared with the AutoPVS1 critical functional areas</w:t>
            </w: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203E84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all mutations in all genes within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 xml:space="preserve"> this</w:t>
            </w: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 xml:space="preserve"> regions (18,605 genes)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7F2F81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53772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B7EB4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3992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28E69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4032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2F9C24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49.62%</w:t>
            </w:r>
          </w:p>
        </w:tc>
      </w:tr>
      <w:tr w14:paraId="78F1A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21E3F8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2E5BA0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on genes that have PLP and are located within this region（2476 genes）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0E8144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51037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498E8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3992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7A409A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4032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519480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50.61%</w:t>
            </w:r>
          </w:p>
        </w:tc>
      </w:tr>
      <w:tr w14:paraId="0EA12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2BE77E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042E74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on genes that have hotspots in this study and are located within this region（186 genes）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2D8B90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24556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B9D67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2823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B2CCD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1633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12119F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63.21%</w:t>
            </w:r>
          </w:p>
        </w:tc>
      </w:tr>
      <w:tr w14:paraId="5E7B5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4719E1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55B6D9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located both in the hotspot areas of this study and within this region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6B385D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3164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89879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871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F4772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2034F6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94.44%</w:t>
            </w:r>
          </w:p>
        </w:tc>
      </w:tr>
      <w:tr w14:paraId="074C3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2A843A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207F3A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in the hotspot intervals calculated in this study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5FFD9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16226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F4039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3455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FFEAF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281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0559D6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92.38%</w:t>
            </w:r>
          </w:p>
        </w:tc>
      </w:tr>
      <w:tr w14:paraId="4E1A7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tcBorders>
              <w:left w:val="nil"/>
              <w:right w:val="nil"/>
            </w:tcBorders>
          </w:tcPr>
          <w:p w14:paraId="01477F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2D1CBC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  <w:p w14:paraId="62EF01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Compared with the AutoPVS1 functional areas curated by disease-specific experts</w:t>
            </w: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3FCC1D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all mutations in all genes within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eastAsia="zh-CN"/>
              </w:rPr>
              <w:t xml:space="preserve"> this</w:t>
            </w: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 xml:space="preserve"> regions (18,605 genes)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34D5B8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2072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BC76A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05021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200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491F66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59.85%</w:t>
            </w:r>
          </w:p>
        </w:tc>
      </w:tr>
      <w:tr w14:paraId="1CC98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0563E3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6D8E13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on genes that have PLP and are located within this region（2476 genes）</w:t>
            </w:r>
          </w:p>
        </w:tc>
        <w:tc>
          <w:tcPr>
            <w:tcW w:w="1136" w:type="dxa"/>
            <w:tcBorders>
              <w:left w:val="nil"/>
              <w:right w:val="nil"/>
            </w:tcBorders>
            <w:vAlign w:val="top"/>
          </w:tcPr>
          <w:p w14:paraId="66B3B6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2072</w:t>
            </w:r>
          </w:p>
        </w:tc>
        <w:tc>
          <w:tcPr>
            <w:tcW w:w="965" w:type="dxa"/>
            <w:tcBorders>
              <w:left w:val="nil"/>
              <w:right w:val="nil"/>
            </w:tcBorders>
            <w:vAlign w:val="top"/>
          </w:tcPr>
          <w:p w14:paraId="4F9322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top"/>
          </w:tcPr>
          <w:p w14:paraId="0499B2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200</w:t>
            </w:r>
          </w:p>
        </w:tc>
        <w:tc>
          <w:tcPr>
            <w:tcW w:w="944" w:type="dxa"/>
            <w:tcBorders>
              <w:left w:val="nil"/>
              <w:right w:val="nil"/>
            </w:tcBorders>
            <w:vAlign w:val="top"/>
          </w:tcPr>
          <w:p w14:paraId="70AE94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59.85%</w:t>
            </w:r>
          </w:p>
        </w:tc>
      </w:tr>
      <w:tr w14:paraId="17269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44997D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0B4CE3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on genes that have hotspots in this study and are located within this region（186 genes）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26AA87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1689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F01C3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62141A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157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2C34A5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59.59%</w:t>
            </w:r>
          </w:p>
        </w:tc>
      </w:tr>
      <w:tr w14:paraId="2B706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7B3116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30C127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located both in the hotspot areas of this study and within this region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741631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06906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88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41A01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 w14:paraId="6217C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94.58%</w:t>
            </w:r>
          </w:p>
        </w:tc>
      </w:tr>
      <w:tr w14:paraId="53B26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  <w:right w:val="nil"/>
            </w:tcBorders>
          </w:tcPr>
          <w:p w14:paraId="7C661F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835" w:type="dxa"/>
            <w:tcBorders>
              <w:left w:val="nil"/>
              <w:right w:val="nil"/>
            </w:tcBorders>
          </w:tcPr>
          <w:p w14:paraId="1C8D93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The number of variants in the hotspot intervals calculated in this study</w:t>
            </w:r>
          </w:p>
        </w:tc>
        <w:tc>
          <w:tcPr>
            <w:tcW w:w="1136" w:type="dxa"/>
            <w:tcBorders>
              <w:left w:val="nil"/>
              <w:right w:val="nil"/>
            </w:tcBorders>
            <w:vAlign w:val="top"/>
          </w:tcPr>
          <w:p w14:paraId="44E717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16226</w:t>
            </w:r>
          </w:p>
        </w:tc>
        <w:tc>
          <w:tcPr>
            <w:tcW w:w="965" w:type="dxa"/>
            <w:tcBorders>
              <w:left w:val="nil"/>
              <w:right w:val="nil"/>
            </w:tcBorders>
            <w:vAlign w:val="top"/>
          </w:tcPr>
          <w:p w14:paraId="62DFDA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3455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top"/>
          </w:tcPr>
          <w:p w14:paraId="68B4A7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281</w:t>
            </w:r>
          </w:p>
        </w:tc>
        <w:tc>
          <w:tcPr>
            <w:tcW w:w="944" w:type="dxa"/>
            <w:tcBorders>
              <w:left w:val="nil"/>
              <w:right w:val="nil"/>
            </w:tcBorders>
            <w:vAlign w:val="top"/>
          </w:tcPr>
          <w:p w14:paraId="7329FF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0"/>
                <w:szCs w:val="20"/>
                <w:vertAlign w:val="baseline"/>
                <w:lang w:val="en-US" w:eastAsia="zh-CN"/>
              </w:rPr>
              <w:t>92.38%</w:t>
            </w:r>
          </w:p>
        </w:tc>
      </w:tr>
    </w:tbl>
    <w:p w14:paraId="43CE7E18">
      <w:pPr>
        <w:jc w:val="both"/>
        <w:rPr>
          <w:rFonts w:hint="default" w:eastAsiaTheme="minorEastAsia"/>
          <w:lang w:eastAsia="zh-CN"/>
        </w:rPr>
      </w:pPr>
    </w:p>
    <w:p w14:paraId="11B9D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 xml:space="preserve">Table </w:t>
      </w:r>
      <w:r>
        <w:rPr>
          <w:rFonts w:hint="eastAsia" w:asciiTheme="minorAscii" w:hAnsiTheme="minorAscii"/>
          <w:b/>
          <w:bCs/>
          <w:lang w:val="en-US" w:eastAsia="zh-CN"/>
        </w:rPr>
        <w:t>3</w:t>
      </w:r>
      <w:r>
        <w:rPr>
          <w:rFonts w:hint="default" w:asciiTheme="minorAscii" w:hAnsiTheme="minorAscii"/>
          <w:b/>
          <w:bCs/>
          <w:lang w:val="en-US" w:eastAsia="zh-CN"/>
        </w:rPr>
        <w:t>.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 w:val="0"/>
          <w:bCs w:val="0"/>
          <w:lang w:val="en-US" w:eastAsia="zh-CN"/>
        </w:rPr>
        <w:t xml:space="preserve">Summary of integrated data sources in </w:t>
      </w:r>
      <w:r>
        <w:rPr>
          <w:rFonts w:hint="eastAsia" w:asciiTheme="minorAscii" w:hAnsiTheme="minorAscii"/>
          <w:b w:val="0"/>
          <w:bCs w:val="0"/>
          <w:lang w:val="en-US" w:eastAsia="zh-CN"/>
        </w:rPr>
        <w:t>HCSeer.</w:t>
      </w:r>
    </w:p>
    <w:tbl>
      <w:tblPr>
        <w:tblStyle w:val="4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7489"/>
      </w:tblGrid>
      <w:tr w14:paraId="1C3B7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308665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Category</w:t>
            </w:r>
          </w:p>
        </w:tc>
        <w:tc>
          <w:tcPr>
            <w:tcW w:w="7489" w:type="dxa"/>
          </w:tcPr>
          <w:p w14:paraId="478F5B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b w:val="0"/>
                <w:bCs w:val="0"/>
                <w:vertAlign w:val="baseline"/>
                <w:lang w:val="en-US" w:eastAsia="zh-CN"/>
              </w:rPr>
              <w:t>Data sources</w:t>
            </w:r>
          </w:p>
        </w:tc>
      </w:tr>
      <w:tr w14:paraId="14F9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2" w:type="dxa"/>
            <w:gridSpan w:val="2"/>
          </w:tcPr>
          <w:p w14:paraId="22BCC2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vertAlign w:val="baseline"/>
                <w:lang w:val="en-US" w:eastAsia="zh-CN"/>
              </w:rPr>
              <w:t>Part one: variation-level implication</w:t>
            </w:r>
          </w:p>
        </w:tc>
      </w:tr>
      <w:tr w14:paraId="0ABB8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21C58B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Allele frequency</w:t>
            </w:r>
          </w:p>
        </w:tc>
        <w:tc>
          <w:tcPr>
            <w:tcW w:w="7489" w:type="dxa"/>
          </w:tcPr>
          <w:p w14:paraId="54E4F3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gnomAD, ExAC, 1000 Genomes, ESP, Kaviar, HRC, Mitomap</w:t>
            </w:r>
          </w:p>
        </w:tc>
      </w:tr>
      <w:tr w14:paraId="263FA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005A6B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In silico function and pathogenicity prediction</w:t>
            </w:r>
          </w:p>
        </w:tc>
        <w:tc>
          <w:tcPr>
            <w:tcW w:w="7489" w:type="dxa"/>
          </w:tcPr>
          <w:p w14:paraId="758335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ReVe, CADD, DANN, Eigen, Fathmm-MKL, FATHMM, FitCons, GenoCanyon, REVEL, SIFT, PolyPhen2-HDIV, PolyPhen2-HVAR, LRT, MutationTaster, Muta</w:t>
            </w:r>
            <w:bookmarkStart w:id="0" w:name="_GoBack"/>
            <w:bookmarkEnd w:id="0"/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tionAssessor, PROVEAN, VEST4, MetaSVM, MetaLR, M-CAP, GERP++, phyloP100way-vertebrate, phastCons100way-vertebrate, SiPhy, Eigen-PC, Fathmm-XF, SIFT4G, LINSIGHT, MutPred2,MVP,MPC,PrimateAI,DEOGEN2,BayesDel-addAF,BayesDel-noAF,ClinPred,LIST-S2,ALoFT,bStatistic,phyloP470way-mammal, phyloP17way-primate, phastCons470way-mammal, phastCons17way-primate, gMVP, VARITY-R, VARITY-ER, VARITY-R-LOO, VARITY-ER-LOO, AlphaMissense, FitCons2, Funseq2, ReMM, CScape, Orion, FIRE, PAFA, CDTS, DVAR, ncER, regBase-REG, regBase-CAN, regBase-PAT, Divan-TSS, Divan-Region, CADD-splice, SCAP, spliceAI, dpsi-max-tissue, dpsi-zscore, dbscSNV-ADA-SCORE, dbscSNV-RF-SCORE, MaxEntScan, GeneSplicer, ESRseq, Spliceogen, Squirl, RegSNPs-intron, MMSplice, KipoiSplice, Synvep, SPiCE-MES, SPiCE-SSF, SPiCE, FatHmmW, EFIN-SP, EFIN-HD, PANTHER, PhD-SNP, SNAP, Mitoclass1, SNPDryad, Meta-SNP, CAROL, Condel, COVEC-WMV, MtoolBox, APOGEE, MitoTIP, PON-Classification</w:t>
            </w:r>
          </w:p>
        </w:tc>
      </w:tr>
      <w:tr w14:paraId="6921A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5BD070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Disease-related</w:t>
            </w:r>
          </w:p>
        </w:tc>
        <w:tc>
          <w:tcPr>
            <w:tcW w:w="7489" w:type="dxa"/>
          </w:tcPr>
          <w:p w14:paraId="0E947C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ClinVar, InterVar, ICGC, COSMIC, GWAS Catalog</w:t>
            </w:r>
          </w:p>
        </w:tc>
      </w:tr>
      <w:tr w14:paraId="159C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6C7C29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Variant information</w:t>
            </w:r>
          </w:p>
        </w:tc>
        <w:tc>
          <w:tcPr>
            <w:tcW w:w="7489" w:type="dxa"/>
          </w:tcPr>
          <w:p w14:paraId="751DAD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Gene4Denovo, SPCards</w:t>
            </w:r>
          </w:p>
        </w:tc>
      </w:tr>
      <w:tr w14:paraId="161A3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15DE71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Regulatory information</w:t>
            </w:r>
          </w:p>
        </w:tc>
        <w:tc>
          <w:tcPr>
            <w:tcW w:w="7489" w:type="dxa"/>
          </w:tcPr>
          <w:p w14:paraId="5F847E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GTEx, VARAdb, GREEN-DB, EPimap EPigenomics</w:t>
            </w:r>
          </w:p>
        </w:tc>
      </w:tr>
      <w:tr w14:paraId="6CF53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2" w:type="dxa"/>
            <w:gridSpan w:val="2"/>
          </w:tcPr>
          <w:p w14:paraId="2EAE5F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vertAlign w:val="baseline"/>
                <w:lang w:val="en-US" w:eastAsia="zh-CN"/>
              </w:rPr>
              <w:t>Part two: gene-level implication</w:t>
            </w:r>
          </w:p>
        </w:tc>
      </w:tr>
      <w:tr w14:paraId="5E589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58E018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Basic information</w:t>
            </w:r>
          </w:p>
        </w:tc>
        <w:tc>
          <w:tcPr>
            <w:tcW w:w="7489" w:type="dxa"/>
          </w:tcPr>
          <w:p w14:paraId="3FB78F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NCBI Gene, Entrez, OMIM, HGNC, Ensembl, GeneCards, UniProtKB</w:t>
            </w:r>
          </w:p>
        </w:tc>
      </w:tr>
      <w:tr w14:paraId="2A4E5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0B4775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Genic intolerance</w:t>
            </w:r>
          </w:p>
        </w:tc>
        <w:tc>
          <w:tcPr>
            <w:tcW w:w="7489" w:type="dxa"/>
          </w:tcPr>
          <w:p w14:paraId="4E8532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RVIS, LoFtool, GDI, Episcore, heptanucleotide context intolerance score, pLI score</w:t>
            </w:r>
          </w:p>
        </w:tc>
      </w:tr>
      <w:tr w14:paraId="1974D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0F762A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Gene function</w:t>
            </w: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ab/>
            </w:r>
          </w:p>
        </w:tc>
        <w:tc>
          <w:tcPr>
            <w:tcW w:w="7489" w:type="dxa"/>
          </w:tcPr>
          <w:p w14:paraId="52A42A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Gene Ontology, UniProtKB, InterPro, NCBI BioSystems, InBio Map™</w:t>
            </w:r>
          </w:p>
        </w:tc>
      </w:tr>
      <w:tr w14:paraId="6897B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784B8D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Disease-related</w:t>
            </w:r>
          </w:p>
        </w:tc>
        <w:tc>
          <w:tcPr>
            <w:tcW w:w="7489" w:type="dxa"/>
          </w:tcPr>
          <w:p w14:paraId="760905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OMIM, ClinVar, GeneReviews, ClinGen, Human Phenotype Ontology, GenCC, DECIPHER, Orpha data, DisGeNET, GTR, Noncode, MGI, Gene4Denovo</w:t>
            </w:r>
          </w:p>
        </w:tc>
      </w:tr>
      <w:tr w14:paraId="60C1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037630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Gene expression</w:t>
            </w:r>
          </w:p>
        </w:tc>
        <w:tc>
          <w:tcPr>
            <w:tcW w:w="7489" w:type="dxa"/>
          </w:tcPr>
          <w:p w14:paraId="6339C1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BrainSpan, GTEx, Allen Brain Atlases, The Human Protein Atlas</w:t>
            </w:r>
          </w:p>
        </w:tc>
      </w:tr>
      <w:tr w14:paraId="1EF39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3851F4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Target drug</w:t>
            </w:r>
          </w:p>
        </w:tc>
        <w:tc>
          <w:tcPr>
            <w:tcW w:w="7489" w:type="dxa"/>
          </w:tcPr>
          <w:p w14:paraId="29E8D0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vertAlign w:val="baseline"/>
                <w:lang w:val="en-US" w:eastAsia="zh-CN"/>
              </w:rPr>
              <w:t>DGIdb, PharmGKB, CTD, Drug Central, Drug Target Commons</w:t>
            </w:r>
          </w:p>
        </w:tc>
      </w:tr>
    </w:tbl>
    <w:p w14:paraId="005F1645">
      <w:pPr>
        <w:jc w:val="both"/>
        <w:rPr>
          <w:rFonts w:hint="default" w:eastAsiaTheme="minorEastAsia"/>
          <w:lang w:eastAsia="zh-CN"/>
        </w:rPr>
      </w:pPr>
    </w:p>
    <w:sectPr>
      <w:pgSz w:w="11906" w:h="16838"/>
      <w:pgMar w:top="1440" w:right="1440" w:bottom="144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480DB"/>
    <w:multiLevelType w:val="singleLevel"/>
    <w:tmpl w:val="82F480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4F156"/>
    <w:multiLevelType w:val="singleLevel"/>
    <w:tmpl w:val="FFE4F15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MGRmZjk5MDA2ZGU1NWFjOGQ0N2M5N2ViMWE2OTMifQ=="/>
  </w:docVars>
  <w:rsids>
    <w:rsidRoot w:val="00000000"/>
    <w:rsid w:val="135A02D0"/>
    <w:rsid w:val="17E17C4C"/>
    <w:rsid w:val="1F3A7F2D"/>
    <w:rsid w:val="2F046024"/>
    <w:rsid w:val="38707A07"/>
    <w:rsid w:val="42CC3AF2"/>
    <w:rsid w:val="456E394A"/>
    <w:rsid w:val="49DE18DD"/>
    <w:rsid w:val="5FD41BCB"/>
    <w:rsid w:val="63B30BE0"/>
    <w:rsid w:val="66300ED9"/>
    <w:rsid w:val="69763B96"/>
    <w:rsid w:val="6DE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867</Words>
  <Characters>3344</Characters>
  <Lines>0</Lines>
  <Paragraphs>0</Paragraphs>
  <TotalTime>1</TotalTime>
  <ScaleCrop>false</ScaleCrop>
  <LinksUpToDate>false</LinksUpToDate>
  <CharactersWithSpaces>3862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2024-09-07T09:55:00Z</dcterms:created>
  <dc:creator>xiaxq</dc:creator>
  <cp:lastModifiedBy>阿茶</cp:lastModifiedBy>
  <dcterms:modified xsi:type="dcterms:W3CDTF">2025-02-28T02:46:06Z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64AF5D44C39F4CAE8CC4498AACDCC988_13</vt:lpwstr>
  </property>
  <property fmtid="{D5CDD505-2E9C-101B-9397-08002B2CF9AE}" pid="4" name="KSOTemplateDocerSaveRecord">
    <vt:lpwstr>eyJoZGlkIjoiYjQ2MGRmZjk5MDA2ZGU1NWFjOGQ0N2M5N2ViMWE2OTMiLCJ1c2VySWQiOiI2NzgxMDg3MjQifQ==</vt:lpwstr>
  </property>
</Properties>
</file>