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b/>
          <w:bCs/>
          <w:color w:val="000000"/>
          <w:kern w:val="0"/>
          <w:sz w:val="23"/>
          <w:szCs w:val="23"/>
        </w:rPr>
        <w:t>1.1</w:t>
      </w:r>
      <w:r w:rsidRPr="008C13FC">
        <w:rPr>
          <w:rFonts w:ascii="Garamond" w:eastAsia="宋体" w:hAnsi="Garamond" w:cs="宋体"/>
          <w:b/>
          <w:bCs/>
          <w:color w:val="000000"/>
          <w:kern w:val="0"/>
          <w:sz w:val="23"/>
          <w:szCs w:val="23"/>
        </w:rPr>
        <w:t>我们的哲学</w:t>
      </w:r>
      <w:r w:rsidRPr="008C13FC">
        <w:rPr>
          <w:rFonts w:ascii="Garamond" w:eastAsia="宋体" w:hAnsi="Garamond" w:cs="宋体"/>
          <w:b/>
          <w:bCs/>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color w:val="000000"/>
          <w:kern w:val="0"/>
          <w:sz w:val="23"/>
          <w:szCs w:val="23"/>
        </w:rPr>
        <w:t>很多人会认为这是两本书合二为一。</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有一本书是编程入门，教你组织数据的基本概念和对数据进行操作的程序，最后是对普遍有用的算法的研究。</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另一本书是编程语言入门</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从一个层面上研究我们用来构建这些数据和程序的媒体。</w:t>
      </w:r>
      <w:r w:rsidRPr="008C13FC">
        <w:rPr>
          <w:rFonts w:ascii="Garamond" w:eastAsia="宋体" w:hAnsi="Garamond" w:cs="宋体"/>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color w:val="000000"/>
          <w:kern w:val="0"/>
          <w:sz w:val="23"/>
          <w:szCs w:val="23"/>
        </w:rPr>
        <w:t>显然，这些都不是不相干的话题。</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我们通过一种或多种语言来学习编程，然后我们编写的程序就会自然而然地成为学习的对象，从而更全面地理解语言。</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尽管如此，这些被认为是完全不同的主题，因此将分别讨论。</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我们也是这样接近他们的。</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唯一高贵的例外是有史以来最好的计算机科学书籍《计算机程序的结构与解释》。</w:t>
      </w:r>
      <w:r w:rsidRPr="008C13FC">
        <w:rPr>
          <w:rFonts w:ascii="Garamond" w:eastAsia="宋体" w:hAnsi="Garamond" w:cs="宋体"/>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color w:val="000000"/>
          <w:kern w:val="0"/>
          <w:sz w:val="23"/>
          <w:szCs w:val="23"/>
        </w:rPr>
        <w:t>我们已经认识到，这种分离既没有意义，也没有帮助。</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这些主题是紧密交织在一起的，通过接受这种交织，结果很可能是一本好得多的书。</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这是我对这种格式的实验。</w:t>
      </w:r>
      <w:r w:rsidRPr="008C13FC">
        <w:rPr>
          <w:rFonts w:ascii="Garamond" w:eastAsia="宋体" w:hAnsi="Garamond" w:cs="宋体"/>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b/>
          <w:bCs/>
          <w:color w:val="000000"/>
          <w:kern w:val="0"/>
          <w:sz w:val="23"/>
          <w:szCs w:val="23"/>
        </w:rPr>
        <w:t>1.2</w:t>
      </w:r>
      <w:r w:rsidRPr="008C13FC">
        <w:rPr>
          <w:rFonts w:ascii="Garamond" w:eastAsia="宋体" w:hAnsi="Garamond" w:cs="宋体"/>
          <w:b/>
          <w:bCs/>
          <w:color w:val="000000"/>
          <w:kern w:val="0"/>
          <w:sz w:val="23"/>
          <w:szCs w:val="23"/>
        </w:rPr>
        <w:t>可预测性作为主题</w:t>
      </w:r>
      <w:r w:rsidRPr="008C13FC">
        <w:rPr>
          <w:rFonts w:ascii="Garamond" w:eastAsia="宋体" w:hAnsi="Garamond" w:cs="宋体"/>
          <w:b/>
          <w:bCs/>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color w:val="000000"/>
          <w:kern w:val="0"/>
          <w:sz w:val="23"/>
          <w:szCs w:val="23"/>
        </w:rPr>
        <w:t>组织学习编程和编程语言的方法有很多。</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我的中心主题是可预测性的概念。</w:t>
      </w:r>
      <w:r w:rsidRPr="008C13FC">
        <w:rPr>
          <w:rFonts w:ascii="Garamond" w:eastAsia="宋体" w:hAnsi="Garamond" w:cs="宋体"/>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color w:val="000000"/>
          <w:kern w:val="0"/>
          <w:sz w:val="23"/>
          <w:szCs w:val="23"/>
        </w:rPr>
        <w:t>程序通常是静态的</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它们生活在道德上，就像一张纸，一成不变。</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但是，当我们运行一个程序时，它会产生一个复杂的、动态的行为，从而产生效用、乐趣和</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有时</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挫折。</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每个编写程序的人最终都会关心</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不管他们意识到与否</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从前者预测后者。</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有时我们甚至编写程序来帮助我们完成这项任务</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我们将在示例、测试、程序检查、预测增长、关于程序的推理</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第一次查看类型，以及其他地方看到</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 xml:space="preserve"> </w:t>
      </w:r>
      <w:r w:rsidRPr="008C13FC">
        <w:rPr>
          <w:rFonts w:ascii="宋体" w:eastAsia="宋体" w:hAnsi="宋体" w:cs="宋体"/>
          <w:kern w:val="0"/>
          <w:szCs w:val="21"/>
        </w:rPr>
        <w:t>(本段包含链接：</w:t>
      </w:r>
      <w:r w:rsidRPr="008C13FC">
        <w:rPr>
          <w:rFonts w:ascii="宋体" w:eastAsia="宋体" w:hAnsi="宋体" w:cs="宋体"/>
          <w:kern w:val="0"/>
          <w:szCs w:val="21"/>
        </w:rPr>
        <w:fldChar w:fldCharType="begin"/>
      </w:r>
      <w:r w:rsidRPr="008C13FC">
        <w:rPr>
          <w:rFonts w:ascii="宋体" w:eastAsia="宋体" w:hAnsi="宋体" w:cs="宋体"/>
          <w:kern w:val="0"/>
          <w:szCs w:val="21"/>
        </w:rPr>
        <w:instrText xml:space="preserve"> HYPERLINK "https://papl.cs.brown.edu/2018/testing.html" \t "_blank" </w:instrText>
      </w:r>
      <w:r w:rsidRPr="008C13FC">
        <w:rPr>
          <w:rFonts w:ascii="宋体" w:eastAsia="宋体" w:hAnsi="宋体" w:cs="宋体"/>
          <w:kern w:val="0"/>
          <w:szCs w:val="21"/>
        </w:rPr>
        <w:fldChar w:fldCharType="separate"/>
      </w:r>
      <w:r w:rsidRPr="008C13FC">
        <w:rPr>
          <w:rFonts w:ascii="宋体" w:eastAsia="宋体" w:hAnsi="宋体" w:cs="宋体"/>
          <w:color w:val="0000FF"/>
          <w:kern w:val="0"/>
          <w:szCs w:val="21"/>
          <w:u w:val="single"/>
        </w:rPr>
        <w:t>Examples, Testing, and Program Checking</w:t>
      </w:r>
      <w:r w:rsidRPr="008C13FC">
        <w:rPr>
          <w:rFonts w:ascii="宋体" w:eastAsia="宋体" w:hAnsi="宋体" w:cs="宋体"/>
          <w:kern w:val="0"/>
          <w:szCs w:val="21"/>
        </w:rPr>
        <w:fldChar w:fldCharType="end"/>
      </w:r>
      <w:r w:rsidRPr="008C13FC">
        <w:rPr>
          <w:rFonts w:ascii="宋体" w:eastAsia="宋体" w:hAnsi="宋体" w:cs="宋体"/>
          <w:kern w:val="0"/>
          <w:szCs w:val="21"/>
        </w:rPr>
        <w:t>  </w:t>
      </w:r>
      <w:hyperlink r:id="rId4" w:tgtFrame="_blank" w:history="1">
        <w:r w:rsidRPr="008C13FC">
          <w:rPr>
            <w:rFonts w:ascii="宋体" w:eastAsia="宋体" w:hAnsi="宋体" w:cs="宋体"/>
            <w:color w:val="0000FF"/>
            <w:kern w:val="0"/>
            <w:szCs w:val="21"/>
            <w:u w:val="single"/>
          </w:rPr>
          <w:t>Reasoning about Programs: A First Look at Types</w:t>
        </w:r>
      </w:hyperlink>
      <w:r w:rsidRPr="008C13FC">
        <w:rPr>
          <w:rFonts w:ascii="宋体" w:eastAsia="宋体" w:hAnsi="宋体" w:cs="宋体"/>
          <w:kern w:val="0"/>
          <w:szCs w:val="21"/>
        </w:rPr>
        <w:t>  </w:t>
      </w:r>
      <w:hyperlink r:id="rId5" w:tgtFrame="_blank" w:history="1">
        <w:r w:rsidRPr="008C13FC">
          <w:rPr>
            <w:rFonts w:ascii="宋体" w:eastAsia="宋体" w:hAnsi="宋体" w:cs="宋体"/>
            <w:color w:val="0000FF"/>
            <w:kern w:val="0"/>
            <w:szCs w:val="21"/>
            <w:u w:val="single"/>
          </w:rPr>
          <w:t>Predicting Growth</w:t>
        </w:r>
      </w:hyperlink>
      <w:r w:rsidRPr="008C13FC">
        <w:rPr>
          <w:rFonts w:ascii="宋体" w:eastAsia="宋体" w:hAnsi="宋体" w:cs="宋体"/>
          <w:kern w:val="0"/>
          <w:szCs w:val="21"/>
        </w:rPr>
        <w:t>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color w:val="000000"/>
          <w:kern w:val="0"/>
          <w:sz w:val="23"/>
          <w:szCs w:val="23"/>
        </w:rPr>
        <w:t>可预测性名声不好。</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在</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程序推理</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的伪装下，它开始被同时视为高尚和令人麻木的无聊。</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它当然是高尚的，但我们将尝试以一种希望看起来完全自然、确实完全显而易见的方式来呈现它</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因为我们相信它是如此</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希望您在完成这项研究后，能够合理地确信可预测性在您自己的工作中的中心地位，并将其作为编程语言设计的一个度量标准。</w:t>
      </w:r>
      <w:r w:rsidRPr="008C13FC">
        <w:rPr>
          <w:rFonts w:ascii="Garamond" w:eastAsia="宋体" w:hAnsi="Garamond" w:cs="宋体"/>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b/>
          <w:bCs/>
          <w:color w:val="000000"/>
          <w:kern w:val="0"/>
          <w:sz w:val="23"/>
          <w:szCs w:val="23"/>
        </w:rPr>
        <w:t>1.3</w:t>
      </w:r>
      <w:r w:rsidRPr="008C13FC">
        <w:rPr>
          <w:rFonts w:ascii="Garamond" w:eastAsia="宋体" w:hAnsi="Garamond" w:cs="宋体"/>
          <w:b/>
          <w:bCs/>
          <w:color w:val="000000"/>
          <w:kern w:val="0"/>
          <w:sz w:val="23"/>
          <w:szCs w:val="23"/>
        </w:rPr>
        <w:t>本书的结构</w:t>
      </w:r>
      <w:r w:rsidRPr="008C13FC">
        <w:rPr>
          <w:rFonts w:ascii="Garamond" w:eastAsia="宋体" w:hAnsi="Garamond" w:cs="宋体"/>
          <w:b/>
          <w:bCs/>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color w:val="000000"/>
          <w:kern w:val="0"/>
          <w:sz w:val="23"/>
          <w:szCs w:val="23"/>
        </w:rPr>
        <w:t>与其他一些教科书不同，这本书没有遵循自上而下的叙述。</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相反，它有对话的流程，带有回溯。</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我们经常会增量地构建程序，就像一对程序员那样。</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我们会犯错误，不是因为我们不知道更好，而是因为这是你学习的最好方法。</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包括错误使你不可能被动地阅读</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你必须转而投入阅读材料，因为你永远无法确定你所读内容的准确性。</w:t>
      </w:r>
      <w:r w:rsidRPr="008C13FC">
        <w:rPr>
          <w:rFonts w:ascii="Garamond" w:eastAsia="宋体" w:hAnsi="Garamond" w:cs="宋体"/>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color w:val="000000"/>
          <w:kern w:val="0"/>
          <w:sz w:val="23"/>
          <w:szCs w:val="23"/>
        </w:rPr>
        <w:lastRenderedPageBreak/>
        <w:t>最后，你总会得到正确的答案。</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然而，这种非线性的路径在短期内更令人沮丧</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你经常会忍不住说，</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现在就告诉我答案吧</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，这使得这本书成为一个糟糕的参考指南</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你不能打开任意一页，然后确定它说的是正确的</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然而，这种挫折感就是学习的感觉。</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我们不知道有什么办法。</w:t>
      </w:r>
      <w:r w:rsidRPr="008C13FC">
        <w:rPr>
          <w:rFonts w:ascii="Garamond" w:eastAsia="宋体" w:hAnsi="Garamond" w:cs="宋体"/>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color w:val="000000"/>
          <w:kern w:val="0"/>
          <w:sz w:val="23"/>
          <w:szCs w:val="23"/>
        </w:rPr>
        <w:t>在不同的地方你会遇到这样的情况</w:t>
      </w:r>
      <w:r w:rsidRPr="008C13FC">
        <w:rPr>
          <w:rFonts w:ascii="Garamond" w:eastAsia="宋体" w:hAnsi="Garamond" w:cs="宋体"/>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b/>
          <w:bCs/>
          <w:color w:val="000000"/>
          <w:kern w:val="0"/>
          <w:sz w:val="23"/>
          <w:szCs w:val="23"/>
        </w:rPr>
        <w:t>锻炼</w:t>
      </w:r>
      <w:r w:rsidRPr="008C13FC">
        <w:rPr>
          <w:rFonts w:ascii="Garamond" w:eastAsia="宋体" w:hAnsi="Garamond" w:cs="宋体"/>
          <w:b/>
          <w:bCs/>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color w:val="000000"/>
          <w:kern w:val="0"/>
          <w:sz w:val="23"/>
          <w:szCs w:val="23"/>
        </w:rPr>
        <w:t>这是一个练习。</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做试一试。</w:t>
      </w:r>
      <w:r w:rsidRPr="008C13FC">
        <w:rPr>
          <w:rFonts w:ascii="Garamond" w:eastAsia="宋体" w:hAnsi="Garamond" w:cs="宋体"/>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color w:val="000000"/>
          <w:kern w:val="0"/>
          <w:sz w:val="23"/>
          <w:szCs w:val="23"/>
        </w:rPr>
        <w:t>这是传统教科书上的练习。</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这是你需要自己做的事情。</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如果你正在使用这本书作为课程的一部分，这很可能已经作为家庭作业。</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相反，你也会发现类似练习的问题是这样的</w:t>
      </w:r>
      <w:r w:rsidRPr="008C13FC">
        <w:rPr>
          <w:rFonts w:ascii="Garamond" w:eastAsia="宋体" w:hAnsi="Garamond" w:cs="宋体"/>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b/>
          <w:bCs/>
          <w:i/>
          <w:iCs/>
          <w:color w:val="000000"/>
          <w:kern w:val="0"/>
          <w:sz w:val="23"/>
          <w:szCs w:val="23"/>
        </w:rPr>
        <w:t>现在做</w:t>
      </w:r>
      <w:r w:rsidRPr="008C13FC">
        <w:rPr>
          <w:rFonts w:ascii="Garamond" w:eastAsia="宋体" w:hAnsi="Garamond" w:cs="宋体"/>
          <w:b/>
          <w:bCs/>
          <w:i/>
          <w:iCs/>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color w:val="000000"/>
          <w:kern w:val="0"/>
          <w:sz w:val="23"/>
          <w:szCs w:val="23"/>
        </w:rPr>
        <w:t>这里有一个活动</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你看到了吗</w:t>
      </w:r>
      <w:r w:rsidRPr="008C13FC">
        <w:rPr>
          <w:rFonts w:ascii="Garamond" w:eastAsia="宋体" w:hAnsi="Garamond" w:cs="宋体"/>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color w:val="000000"/>
          <w:kern w:val="0"/>
          <w:sz w:val="23"/>
          <w:szCs w:val="23"/>
        </w:rPr>
        <w:t>当你遇到这种情况时，停下来。</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在你继续之前，阅读、思考并形成一个答案。</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你必须这样做，因为这实际上是一个练习，但答案已经在书中</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最常见的是在紧接着的文本中</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即</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或者你可以通过运行一个程序来自己决定。</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如果你只是继续读下去，你会在没有思考的情况下看到答案</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或者根本没有看到，如果指令是运行一个程序的话</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，所以你既不会测试你的知识，也不会提高你的直觉。</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换句话说，这些都是鼓励积极学习的额外的、明确的尝试。</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然而，最终我们只能鼓励它</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由你来练习。</w:t>
      </w:r>
      <w:r w:rsidRPr="008C13FC">
        <w:rPr>
          <w:rFonts w:ascii="Garamond" w:eastAsia="宋体" w:hAnsi="Garamond" w:cs="宋体"/>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b/>
          <w:bCs/>
          <w:color w:val="000000"/>
          <w:kern w:val="0"/>
          <w:sz w:val="23"/>
          <w:szCs w:val="23"/>
        </w:rPr>
        <w:t>1.4</w:t>
      </w:r>
      <w:r w:rsidRPr="008C13FC">
        <w:rPr>
          <w:rFonts w:ascii="Garamond" w:eastAsia="宋体" w:hAnsi="Garamond" w:cs="宋体"/>
          <w:b/>
          <w:bCs/>
          <w:color w:val="000000"/>
          <w:kern w:val="0"/>
          <w:sz w:val="23"/>
          <w:szCs w:val="23"/>
        </w:rPr>
        <w:t>本书的语言</w:t>
      </w:r>
      <w:r w:rsidRPr="008C13FC">
        <w:rPr>
          <w:rFonts w:ascii="Garamond" w:eastAsia="宋体" w:hAnsi="Garamond" w:cs="宋体"/>
          <w:b/>
          <w:bCs/>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color w:val="000000"/>
          <w:kern w:val="0"/>
          <w:sz w:val="23"/>
          <w:szCs w:val="23"/>
        </w:rPr>
        <w:t>本书使用了一种新的编程语言</w:t>
      </w:r>
      <w:proofErr w:type="spellStart"/>
      <w:r w:rsidRPr="008C13FC">
        <w:rPr>
          <w:rFonts w:ascii="Garamond" w:eastAsia="宋体" w:hAnsi="Garamond" w:cs="宋体"/>
          <w:color w:val="000000"/>
          <w:kern w:val="0"/>
          <w:sz w:val="23"/>
          <w:szCs w:val="23"/>
        </w:rPr>
        <w:t>Pyret</w:t>
      </w:r>
      <w:proofErr w:type="spellEnd"/>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 xml:space="preserve"> </w:t>
      </w:r>
      <w:proofErr w:type="spellStart"/>
      <w:r w:rsidRPr="008C13FC">
        <w:rPr>
          <w:rFonts w:ascii="Garamond" w:eastAsia="宋体" w:hAnsi="Garamond" w:cs="宋体"/>
          <w:color w:val="000000"/>
          <w:kern w:val="0"/>
          <w:sz w:val="23"/>
          <w:szCs w:val="23"/>
        </w:rPr>
        <w:t>Pyret</w:t>
      </w:r>
      <w:proofErr w:type="spellEnd"/>
      <w:r w:rsidRPr="008C13FC">
        <w:rPr>
          <w:rFonts w:ascii="Garamond" w:eastAsia="宋体" w:hAnsi="Garamond" w:cs="宋体"/>
          <w:color w:val="000000"/>
          <w:kern w:val="0"/>
          <w:sz w:val="23"/>
          <w:szCs w:val="23"/>
        </w:rPr>
        <w:t>是我们在函数式、面向对象和脚本语言以及它们的类型系统、程序分析和开发环境的编程和设计方面的丰富经验的产物。</w:t>
      </w:r>
      <w:r w:rsidRPr="008C13FC">
        <w:rPr>
          <w:rFonts w:ascii="Garamond" w:eastAsia="宋体" w:hAnsi="Garamond" w:cs="宋体"/>
          <w:color w:val="000000"/>
          <w:kern w:val="0"/>
          <w:sz w:val="23"/>
          <w:szCs w:val="23"/>
        </w:rPr>
        <w:t xml:space="preserve"> </w:t>
      </w:r>
    </w:p>
    <w:p w:rsidR="008C13FC" w:rsidRPr="008C13FC" w:rsidRDefault="008C13FC" w:rsidP="008C13FC">
      <w:pPr>
        <w:spacing w:before="100" w:beforeAutospacing="1" w:after="360"/>
        <w:jc w:val="left"/>
        <w:rPr>
          <w:rFonts w:ascii="宋体" w:eastAsia="宋体" w:hAnsi="宋体" w:cs="宋体"/>
          <w:kern w:val="0"/>
          <w:szCs w:val="21"/>
        </w:rPr>
      </w:pPr>
      <w:r w:rsidRPr="008C13FC">
        <w:rPr>
          <w:rFonts w:ascii="Garamond" w:eastAsia="宋体" w:hAnsi="Garamond" w:cs="宋体"/>
          <w:color w:val="000000"/>
          <w:kern w:val="0"/>
          <w:sz w:val="23"/>
          <w:szCs w:val="23"/>
        </w:rPr>
        <w:t>该语言的语法受到</w:t>
      </w:r>
      <w:r w:rsidRPr="008C13FC">
        <w:rPr>
          <w:rFonts w:ascii="Garamond" w:eastAsia="宋体" w:hAnsi="Garamond" w:cs="宋体"/>
          <w:color w:val="000000"/>
          <w:kern w:val="0"/>
          <w:sz w:val="23"/>
          <w:szCs w:val="23"/>
        </w:rPr>
        <w:t>Python</w:t>
      </w:r>
      <w:r w:rsidRPr="008C13FC">
        <w:rPr>
          <w:rFonts w:ascii="Garamond" w:eastAsia="宋体" w:hAnsi="Garamond" w:cs="宋体"/>
          <w:color w:val="000000"/>
          <w:kern w:val="0"/>
          <w:sz w:val="23"/>
          <w:szCs w:val="23"/>
        </w:rPr>
        <w:t>的启发。</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与</w:t>
      </w:r>
      <w:r w:rsidRPr="008C13FC">
        <w:rPr>
          <w:rFonts w:ascii="Garamond" w:eastAsia="宋体" w:hAnsi="Garamond" w:cs="宋体"/>
          <w:color w:val="000000"/>
          <w:kern w:val="0"/>
          <w:sz w:val="23"/>
          <w:szCs w:val="23"/>
        </w:rPr>
        <w:t>Python</w:t>
      </w:r>
      <w:r w:rsidRPr="008C13FC">
        <w:rPr>
          <w:rFonts w:ascii="Garamond" w:eastAsia="宋体" w:hAnsi="Garamond" w:cs="宋体"/>
          <w:color w:val="000000"/>
          <w:kern w:val="0"/>
          <w:sz w:val="23"/>
          <w:szCs w:val="23"/>
        </w:rPr>
        <w:t>不同，</w:t>
      </w:r>
      <w:proofErr w:type="spellStart"/>
      <w:r w:rsidRPr="008C13FC">
        <w:rPr>
          <w:rFonts w:ascii="Garamond" w:eastAsia="宋体" w:hAnsi="Garamond" w:cs="宋体"/>
          <w:color w:val="000000"/>
          <w:kern w:val="0"/>
          <w:sz w:val="23"/>
          <w:szCs w:val="23"/>
        </w:rPr>
        <w:t>Pyret</w:t>
      </w:r>
      <w:proofErr w:type="spellEnd"/>
      <w:r w:rsidRPr="008C13FC">
        <w:rPr>
          <w:rFonts w:ascii="Garamond" w:eastAsia="宋体" w:hAnsi="Garamond" w:cs="宋体"/>
          <w:color w:val="000000"/>
          <w:kern w:val="0"/>
          <w:sz w:val="23"/>
          <w:szCs w:val="23"/>
        </w:rPr>
        <w:t>将强制缩进而不是解释缩进</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也就是说，缩进将成为另一个语法格式良好的标准。</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但这还没有实现。</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它适合计算机科学教育的利基失踪了两个奇怪的问题简单的语言</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有很多</w:t>
      </w:r>
      <w:r w:rsidRPr="008C13FC">
        <w:rPr>
          <w:rFonts w:ascii="Garamond" w:eastAsia="宋体" w:hAnsi="Garamond" w:cs="宋体"/>
          <w:color w:val="000000"/>
          <w:kern w:val="0"/>
          <w:sz w:val="23"/>
          <w:szCs w:val="23"/>
        </w:rPr>
        <w:t>)Python</w:t>
      </w:r>
      <w:r w:rsidRPr="008C13FC">
        <w:rPr>
          <w:rFonts w:ascii="Garamond" w:eastAsia="宋体" w:hAnsi="Garamond" w:cs="宋体"/>
          <w:color w:val="000000"/>
          <w:kern w:val="0"/>
          <w:sz w:val="23"/>
          <w:szCs w:val="23"/>
        </w:rPr>
        <w:t>的</w:t>
      </w:r>
      <w:r w:rsidRPr="008C13FC">
        <w:rPr>
          <w:rFonts w:ascii="Garamond" w:eastAsia="宋体" w:hAnsi="Garamond" w:cs="宋体"/>
          <w:color w:val="000000"/>
          <w:kern w:val="0"/>
          <w:sz w:val="23"/>
          <w:szCs w:val="23"/>
        </w:rPr>
        <w:t>Python</w:t>
      </w:r>
      <w:r w:rsidRPr="008C13FC">
        <w:rPr>
          <w:rFonts w:ascii="Garamond" w:eastAsia="宋体" w:hAnsi="Garamond" w:cs="宋体"/>
          <w:color w:val="000000"/>
          <w:kern w:val="0"/>
          <w:sz w:val="23"/>
          <w:szCs w:val="23"/>
        </w:rPr>
        <w:t>添加重要特性</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缺乏对学习编程</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如代数数据类型</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可选注释变量</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设计决策</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更好地使开发环境建设</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并大力支持测试</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w:t>
      </w:r>
      <w:r w:rsidRPr="008C13FC">
        <w:rPr>
          <w:rFonts w:ascii="Garamond" w:eastAsia="宋体" w:hAnsi="Garamond" w:cs="宋体"/>
          <w:color w:val="000000"/>
          <w:kern w:val="0"/>
          <w:sz w:val="23"/>
          <w:szCs w:val="23"/>
        </w:rPr>
        <w:t xml:space="preserve"> </w:t>
      </w:r>
      <w:r w:rsidRPr="008C13FC">
        <w:rPr>
          <w:rFonts w:ascii="Garamond" w:eastAsia="宋体" w:hAnsi="Garamond" w:cs="宋体"/>
          <w:color w:val="000000"/>
          <w:kern w:val="0"/>
          <w:sz w:val="23"/>
          <w:szCs w:val="23"/>
        </w:rPr>
        <w:t>初学者可以在他们被照顾的知识中休息，而过去熟悉语言动物园的程序员，从蛇到单峰骆驼，应该发现</w:t>
      </w:r>
      <w:proofErr w:type="spellStart"/>
      <w:r w:rsidRPr="008C13FC">
        <w:rPr>
          <w:rFonts w:ascii="Garamond" w:eastAsia="宋体" w:hAnsi="Garamond" w:cs="宋体"/>
          <w:color w:val="000000"/>
          <w:kern w:val="0"/>
          <w:sz w:val="23"/>
          <w:szCs w:val="23"/>
        </w:rPr>
        <w:t>Pyret</w:t>
      </w:r>
      <w:proofErr w:type="spellEnd"/>
      <w:r w:rsidRPr="008C13FC">
        <w:rPr>
          <w:rFonts w:ascii="Garamond" w:eastAsia="宋体" w:hAnsi="Garamond" w:cs="宋体"/>
          <w:color w:val="000000"/>
          <w:kern w:val="0"/>
          <w:sz w:val="23"/>
          <w:szCs w:val="23"/>
        </w:rPr>
        <w:t>熟悉和舒适。</w:t>
      </w:r>
      <w:r w:rsidRPr="008C13FC">
        <w:rPr>
          <w:rFonts w:ascii="Garamond" w:eastAsia="宋体" w:hAnsi="Garamond" w:cs="宋体"/>
          <w:color w:val="000000"/>
          <w:kern w:val="0"/>
          <w:sz w:val="23"/>
          <w:szCs w:val="23"/>
        </w:rPr>
        <w:t xml:space="preserve"> </w:t>
      </w:r>
      <w:r w:rsidRPr="008C13FC">
        <w:rPr>
          <w:rFonts w:ascii="宋体" w:eastAsia="宋体" w:hAnsi="宋体" w:cs="宋体"/>
          <w:kern w:val="0"/>
          <w:szCs w:val="21"/>
        </w:rPr>
        <w:t>(本段包含链接：</w:t>
      </w:r>
      <w:hyperlink r:id="rId6" w:tgtFrame="_blank" w:history="1">
        <w:r w:rsidRPr="008C13FC">
          <w:rPr>
            <w:rFonts w:ascii="宋体" w:eastAsia="宋体" w:hAnsi="宋体" w:cs="宋体"/>
            <w:color w:val="0000FF"/>
            <w:kern w:val="0"/>
            <w:szCs w:val="21"/>
            <w:u w:val="single"/>
          </w:rPr>
          <w:t>of which there are many</w:t>
        </w:r>
      </w:hyperlink>
      <w:r w:rsidRPr="008C13FC">
        <w:rPr>
          <w:rFonts w:ascii="宋体" w:eastAsia="宋体" w:hAnsi="宋体" w:cs="宋体"/>
          <w:kern w:val="0"/>
          <w:szCs w:val="21"/>
        </w:rPr>
        <w:t>  )</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b/>
          <w:bCs/>
          <w:vanish/>
          <w:color w:val="000000"/>
          <w:kern w:val="0"/>
          <w:sz w:val="23"/>
          <w:szCs w:val="23"/>
        </w:rPr>
        <w:t>1.1</w:t>
      </w:r>
      <w:r w:rsidRPr="008C13FC">
        <w:rPr>
          <w:rFonts w:ascii="宋体" w:eastAsia="宋体" w:hAnsi="宋体" w:cs="宋体" w:hint="eastAsia"/>
          <w:b/>
          <w:bCs/>
          <w:vanish/>
          <w:color w:val="000000"/>
          <w:kern w:val="0"/>
          <w:sz w:val="23"/>
          <w:szCs w:val="23"/>
        </w:rPr>
        <w:t> </w:t>
      </w:r>
      <w:r w:rsidRPr="008C13FC">
        <w:rPr>
          <w:rFonts w:ascii="Garamond" w:eastAsia="宋体" w:hAnsi="Garamond" w:cs="宋体"/>
          <w:b/>
          <w:bCs/>
          <w:vanish/>
          <w:color w:val="000000"/>
          <w:kern w:val="0"/>
          <w:sz w:val="23"/>
          <w:szCs w:val="23"/>
        </w:rPr>
        <w:t>Our Philosophy</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vanish/>
          <w:color w:val="000000"/>
          <w:kern w:val="0"/>
          <w:sz w:val="23"/>
          <w:szCs w:val="23"/>
        </w:rPr>
        <w:t>Many people would regard this as being two books in one. One book is an introduction to </w:t>
      </w:r>
      <w:r w:rsidRPr="008C13FC">
        <w:rPr>
          <w:rFonts w:ascii="Garamond" w:eastAsia="宋体" w:hAnsi="Garamond" w:cs="宋体"/>
          <w:i/>
          <w:iCs/>
          <w:vanish/>
          <w:color w:val="000000"/>
          <w:kern w:val="0"/>
          <w:sz w:val="23"/>
          <w:szCs w:val="23"/>
        </w:rPr>
        <w:t>programming</w:t>
      </w:r>
      <w:r w:rsidRPr="008C13FC">
        <w:rPr>
          <w:rFonts w:ascii="Garamond" w:eastAsia="宋体" w:hAnsi="Garamond" w:cs="宋体"/>
          <w:vanish/>
          <w:color w:val="000000"/>
          <w:kern w:val="0"/>
          <w:sz w:val="23"/>
          <w:szCs w:val="23"/>
        </w:rPr>
        <w:t>, teaching you basic concepts of organizing data and the programs that operate over them, ending in the investigation of universally useful algorithms. The other book is an introduction to </w:t>
      </w:r>
      <w:r w:rsidRPr="008C13FC">
        <w:rPr>
          <w:rFonts w:ascii="Garamond" w:eastAsia="宋体" w:hAnsi="Garamond" w:cs="宋体"/>
          <w:i/>
          <w:iCs/>
          <w:vanish/>
          <w:color w:val="000000"/>
          <w:kern w:val="0"/>
          <w:sz w:val="23"/>
          <w:szCs w:val="23"/>
        </w:rPr>
        <w:t>programming languages</w:t>
      </w:r>
      <w:r w:rsidRPr="008C13FC">
        <w:rPr>
          <w:rFonts w:ascii="Garamond" w:eastAsia="宋体" w:hAnsi="Garamond" w:cs="宋体"/>
          <w:vanish/>
          <w:color w:val="000000"/>
          <w:kern w:val="0"/>
          <w:sz w:val="23"/>
          <w:szCs w:val="23"/>
        </w:rPr>
        <w:t>: a study, from one level up, of the media by which we structure these data and programs.</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vanish/>
          <w:color w:val="000000"/>
          <w:kern w:val="0"/>
          <w:sz w:val="23"/>
          <w:szCs w:val="23"/>
        </w:rPr>
        <w:t>Obviously, these are not unrelated topics. We learn programming through one or more languages, and the programs we write then become natural subjects of study to understand languages at large. Nevertheless, these are considered sufficiently different topics that they are approached separately. This is how we approached them, too.The one noble exception to this separation is the best computer science book ever written, </w:t>
      </w:r>
      <w:r w:rsidRPr="008C13FC">
        <w:rPr>
          <w:rFonts w:ascii="Garamond" w:eastAsia="宋体" w:hAnsi="Garamond" w:cs="宋体"/>
          <w:i/>
          <w:iCs/>
          <w:vanish/>
          <w:color w:val="000000"/>
          <w:kern w:val="0"/>
          <w:sz w:val="23"/>
          <w:szCs w:val="23"/>
        </w:rPr>
        <w:t>The Structure and Interpretation of Computer Programs</w:t>
      </w:r>
      <w:r w:rsidRPr="008C13FC">
        <w:rPr>
          <w:rFonts w:ascii="Garamond" w:eastAsia="宋体" w:hAnsi="Garamond" w:cs="宋体"/>
          <w:vanish/>
          <w:color w:val="000000"/>
          <w:kern w:val="0"/>
          <w:sz w:val="23"/>
          <w:szCs w:val="23"/>
        </w:rPr>
        <w:t>.</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vanish/>
          <w:color w:val="000000"/>
          <w:kern w:val="0"/>
          <w:sz w:val="23"/>
          <w:szCs w:val="23"/>
        </w:rPr>
        <w:t>We have come to realize that this separation is neither meaningful nor helpful. The topics are deeply intertwined and, by accepting that interleaving, the result is likely to be a much better book. This is my experiment with that format.</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b/>
          <w:bCs/>
          <w:vanish/>
          <w:color w:val="000000"/>
          <w:kern w:val="0"/>
          <w:sz w:val="23"/>
          <w:szCs w:val="23"/>
        </w:rPr>
        <w:t>1.2</w:t>
      </w:r>
      <w:r w:rsidRPr="008C13FC">
        <w:rPr>
          <w:rFonts w:ascii="宋体" w:eastAsia="宋体" w:hAnsi="宋体" w:cs="宋体" w:hint="eastAsia"/>
          <w:b/>
          <w:bCs/>
          <w:vanish/>
          <w:color w:val="000000"/>
          <w:kern w:val="0"/>
          <w:sz w:val="23"/>
          <w:szCs w:val="23"/>
        </w:rPr>
        <w:t> </w:t>
      </w:r>
      <w:r w:rsidRPr="008C13FC">
        <w:rPr>
          <w:rFonts w:ascii="Garamond" w:eastAsia="宋体" w:hAnsi="Garamond" w:cs="宋体"/>
          <w:b/>
          <w:bCs/>
          <w:vanish/>
          <w:color w:val="000000"/>
          <w:kern w:val="0"/>
          <w:sz w:val="23"/>
          <w:szCs w:val="23"/>
        </w:rPr>
        <w:t>Predictability as a Theme</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vanish/>
          <w:color w:val="000000"/>
          <w:kern w:val="0"/>
          <w:sz w:val="23"/>
          <w:szCs w:val="23"/>
        </w:rPr>
        <w:t>There are many ways to organize the study of programming and programming languages. My central theme is the concept of </w:t>
      </w:r>
      <w:r w:rsidRPr="008C13FC">
        <w:rPr>
          <w:rFonts w:ascii="Garamond" w:eastAsia="宋体" w:hAnsi="Garamond" w:cs="宋体"/>
          <w:i/>
          <w:iCs/>
          <w:vanish/>
          <w:color w:val="000000"/>
          <w:kern w:val="0"/>
          <w:sz w:val="23"/>
          <w:szCs w:val="23"/>
        </w:rPr>
        <w:t>predictability</w:t>
      </w:r>
      <w:r w:rsidRPr="008C13FC">
        <w:rPr>
          <w:rFonts w:ascii="Garamond" w:eastAsia="宋体" w:hAnsi="Garamond" w:cs="宋体"/>
          <w:vanish/>
          <w:color w:val="000000"/>
          <w:kern w:val="0"/>
          <w:sz w:val="23"/>
          <w:szCs w:val="23"/>
        </w:rPr>
        <w:t>.</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vanish/>
          <w:color w:val="000000"/>
          <w:kern w:val="0"/>
          <w:sz w:val="23"/>
          <w:szCs w:val="23"/>
        </w:rPr>
        <w:t>Programs are typically static: they live on the moral equivalent of a paper, unmoving and unchanging. But when we run a program, it produces a complex, dynamic behavior that yields utility, pleasure, and (sometimes) frustration. Everyone who writes programs ultimately cares—whether they realize it or not—in </w:t>
      </w:r>
      <w:r w:rsidRPr="008C13FC">
        <w:rPr>
          <w:rFonts w:ascii="Garamond" w:eastAsia="宋体" w:hAnsi="Garamond" w:cs="宋体"/>
          <w:i/>
          <w:iCs/>
          <w:vanish/>
          <w:color w:val="000000"/>
          <w:kern w:val="0"/>
          <w:sz w:val="23"/>
          <w:szCs w:val="23"/>
        </w:rPr>
        <w:t>predicting</w:t>
      </w:r>
      <w:r w:rsidRPr="008C13FC">
        <w:rPr>
          <w:rFonts w:ascii="Garamond" w:eastAsia="宋体" w:hAnsi="Garamond" w:cs="宋体"/>
          <w:vanish/>
          <w:color w:val="000000"/>
          <w:kern w:val="0"/>
          <w:sz w:val="23"/>
          <w:szCs w:val="23"/>
        </w:rPr>
        <w:t> the latter from the former. Sometimes we even write programs to help us with this task (as we’ll see in </w:t>
      </w:r>
      <w:r w:rsidRPr="008C13FC">
        <w:rPr>
          <w:rFonts w:ascii="Garamond" w:eastAsia="宋体" w:hAnsi="Garamond" w:cs="宋体"/>
          <w:vanish/>
          <w:color w:val="111111"/>
          <w:kern w:val="0"/>
          <w:sz w:val="23"/>
          <w:szCs w:val="23"/>
          <w:u w:val="single"/>
        </w:rPr>
        <w:t>Examples, Testing, and Program Checking</w:t>
      </w:r>
      <w:r w:rsidRPr="008C13FC">
        <w:rPr>
          <w:rFonts w:ascii="Garamond" w:eastAsia="宋体" w:hAnsi="Garamond" w:cs="宋体"/>
          <w:vanish/>
          <w:color w:val="000000"/>
          <w:kern w:val="0"/>
          <w:sz w:val="23"/>
          <w:szCs w:val="23"/>
        </w:rPr>
        <w:t>, </w:t>
      </w:r>
      <w:r w:rsidRPr="008C13FC">
        <w:rPr>
          <w:rFonts w:ascii="Garamond" w:eastAsia="宋体" w:hAnsi="Garamond" w:cs="宋体"/>
          <w:vanish/>
          <w:color w:val="111111"/>
          <w:kern w:val="0"/>
          <w:sz w:val="23"/>
          <w:szCs w:val="23"/>
          <w:u w:val="single"/>
        </w:rPr>
        <w:t>Predicting Growth</w:t>
      </w:r>
      <w:r w:rsidRPr="008C13FC">
        <w:rPr>
          <w:rFonts w:ascii="Garamond" w:eastAsia="宋体" w:hAnsi="Garamond" w:cs="宋体"/>
          <w:vanish/>
          <w:color w:val="000000"/>
          <w:kern w:val="0"/>
          <w:sz w:val="23"/>
          <w:szCs w:val="23"/>
        </w:rPr>
        <w:t>, </w:t>
      </w:r>
      <w:r w:rsidRPr="008C13FC">
        <w:rPr>
          <w:rFonts w:ascii="Garamond" w:eastAsia="宋体" w:hAnsi="Garamond" w:cs="宋体"/>
          <w:vanish/>
          <w:color w:val="111111"/>
          <w:kern w:val="0"/>
          <w:sz w:val="23"/>
          <w:szCs w:val="23"/>
          <w:u w:val="single"/>
        </w:rPr>
        <w:t>Reasoning about Programs: A First Look at Types</w:t>
      </w:r>
      <w:r w:rsidRPr="008C13FC">
        <w:rPr>
          <w:rFonts w:ascii="Garamond" w:eastAsia="宋体" w:hAnsi="Garamond" w:cs="宋体"/>
          <w:vanish/>
          <w:color w:val="000000"/>
          <w:kern w:val="0"/>
          <w:sz w:val="23"/>
          <w:szCs w:val="23"/>
        </w:rPr>
        <w:t>, and elsewhere).</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vanish/>
          <w:color w:val="000000"/>
          <w:kern w:val="0"/>
          <w:sz w:val="23"/>
          <w:szCs w:val="23"/>
        </w:rPr>
        <w:t>Predictability has a bad rap. Under the guise of “program reasoning”, it came to be viewed simultaneously as both noble and mind-numbingly boring. It is certainly noble, but we will try to present it a way that will hopefully seem utterly natural, indeed entirely obvious (because we believe it is). Hopefully you’ll come away from this study reasonably convinced about the central place of predictability in your own work, and as a metric for programming language design.</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b/>
          <w:bCs/>
          <w:vanish/>
          <w:color w:val="000000"/>
          <w:kern w:val="0"/>
          <w:sz w:val="23"/>
          <w:szCs w:val="23"/>
        </w:rPr>
        <w:t>1.3</w:t>
      </w:r>
      <w:r w:rsidRPr="008C13FC">
        <w:rPr>
          <w:rFonts w:ascii="宋体" w:eastAsia="宋体" w:hAnsi="宋体" w:cs="宋体" w:hint="eastAsia"/>
          <w:b/>
          <w:bCs/>
          <w:vanish/>
          <w:color w:val="000000"/>
          <w:kern w:val="0"/>
          <w:sz w:val="23"/>
          <w:szCs w:val="23"/>
        </w:rPr>
        <w:t> </w:t>
      </w:r>
      <w:r w:rsidRPr="008C13FC">
        <w:rPr>
          <w:rFonts w:ascii="Garamond" w:eastAsia="宋体" w:hAnsi="Garamond" w:cs="宋体"/>
          <w:b/>
          <w:bCs/>
          <w:vanish/>
          <w:color w:val="000000"/>
          <w:kern w:val="0"/>
          <w:sz w:val="23"/>
          <w:szCs w:val="23"/>
        </w:rPr>
        <w:t>The Structure of This Book</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vanish/>
          <w:color w:val="000000"/>
          <w:kern w:val="0"/>
          <w:sz w:val="23"/>
          <w:szCs w:val="23"/>
        </w:rPr>
        <w:t>Unlike some other textbooks, this one does not follow a top-down narrative. Rather it has the flow of a conversation, with backtracking. We will often build up programs incrementally, just as a pair of programmers would. We will include mistakes, not because we don’t know better, but because </w:t>
      </w:r>
      <w:r w:rsidRPr="008C13FC">
        <w:rPr>
          <w:rFonts w:ascii="Garamond" w:eastAsia="宋体" w:hAnsi="Garamond" w:cs="宋体"/>
          <w:i/>
          <w:iCs/>
          <w:vanish/>
          <w:color w:val="000000"/>
          <w:kern w:val="0"/>
          <w:sz w:val="23"/>
          <w:szCs w:val="23"/>
        </w:rPr>
        <w:t>this is the best way for you to learn</w:t>
      </w:r>
      <w:r w:rsidRPr="008C13FC">
        <w:rPr>
          <w:rFonts w:ascii="Garamond" w:eastAsia="宋体" w:hAnsi="Garamond" w:cs="宋体"/>
          <w:vanish/>
          <w:color w:val="000000"/>
          <w:kern w:val="0"/>
          <w:sz w:val="23"/>
          <w:szCs w:val="23"/>
        </w:rPr>
        <w:t>. Including mistakes makes it impossible for you to read passively: you must instead engage with the material, because you can never be sure of the veracity of what you’re reading.</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vanish/>
          <w:color w:val="000000"/>
          <w:kern w:val="0"/>
          <w:sz w:val="23"/>
          <w:szCs w:val="23"/>
        </w:rPr>
        <w:t>At the end, you’ll always get to the right answer. However, this non-linear path is more frustrating in the short term (you will often be tempted to say, “Just tell me the answer, already!”), and it makes the book a poor reference guide (you can’t open up to a random page and be sure what it says is correct). However, that feeling of frustration is the sensation of learning. We don’t know of a way around it.</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vanish/>
          <w:color w:val="000000"/>
          <w:kern w:val="0"/>
          <w:sz w:val="23"/>
          <w:szCs w:val="23"/>
        </w:rPr>
        <w:t>At various points you will encounter this:</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b/>
          <w:bCs/>
          <w:vanish/>
          <w:color w:val="000000"/>
          <w:kern w:val="0"/>
          <w:sz w:val="23"/>
          <w:szCs w:val="23"/>
        </w:rPr>
        <w:t>Exercise</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vanish/>
          <w:color w:val="000000"/>
          <w:kern w:val="0"/>
          <w:sz w:val="23"/>
          <w:szCs w:val="23"/>
        </w:rPr>
        <w:t>This is an exercise. Do try it.</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vanish/>
          <w:color w:val="000000"/>
          <w:kern w:val="0"/>
          <w:sz w:val="23"/>
          <w:szCs w:val="23"/>
        </w:rPr>
        <w:t>This is a traditional textbook exercise. It’s something you need to do on your own. If you’re using this book as part of a course, this may very well have been assigned as homework. In contrast, you will also find exercise-like questions that look like this:</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b/>
          <w:bCs/>
          <w:i/>
          <w:iCs/>
          <w:vanish/>
          <w:color w:val="000000"/>
          <w:kern w:val="0"/>
          <w:sz w:val="23"/>
          <w:szCs w:val="23"/>
        </w:rPr>
        <w:t>Do Now!</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vanish/>
          <w:color w:val="000000"/>
          <w:kern w:val="0"/>
          <w:sz w:val="23"/>
          <w:szCs w:val="23"/>
        </w:rPr>
        <w:t>There’s an activity here! Do you see it?</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vanish/>
          <w:color w:val="000000"/>
          <w:kern w:val="0"/>
          <w:sz w:val="23"/>
          <w:szCs w:val="23"/>
        </w:rPr>
        <w:t>When you get to one of these, </w:t>
      </w:r>
      <w:r w:rsidRPr="008C13FC">
        <w:rPr>
          <w:rFonts w:ascii="Garamond" w:eastAsia="宋体" w:hAnsi="Garamond" w:cs="宋体"/>
          <w:b/>
          <w:bCs/>
          <w:vanish/>
          <w:color w:val="000000"/>
          <w:kern w:val="0"/>
          <w:sz w:val="23"/>
          <w:szCs w:val="23"/>
        </w:rPr>
        <w:t>stop</w:t>
      </w:r>
      <w:r w:rsidRPr="008C13FC">
        <w:rPr>
          <w:rFonts w:ascii="Garamond" w:eastAsia="宋体" w:hAnsi="Garamond" w:cs="宋体"/>
          <w:vanish/>
          <w:color w:val="000000"/>
          <w:kern w:val="0"/>
          <w:sz w:val="23"/>
          <w:szCs w:val="23"/>
        </w:rPr>
        <w:t>. Read, think, and formulate an answer before you proceed. You must do this because this is actually an </w:t>
      </w:r>
      <w:r w:rsidRPr="008C13FC">
        <w:rPr>
          <w:rFonts w:ascii="Garamond" w:eastAsia="宋体" w:hAnsi="Garamond" w:cs="宋体"/>
          <w:i/>
          <w:iCs/>
          <w:vanish/>
          <w:color w:val="000000"/>
          <w:kern w:val="0"/>
          <w:sz w:val="23"/>
          <w:szCs w:val="23"/>
        </w:rPr>
        <w:t>exercise</w:t>
      </w:r>
      <w:r w:rsidRPr="008C13FC">
        <w:rPr>
          <w:rFonts w:ascii="Garamond" w:eastAsia="宋体" w:hAnsi="Garamond" w:cs="宋体"/>
          <w:vanish/>
          <w:color w:val="000000"/>
          <w:kern w:val="0"/>
          <w:sz w:val="23"/>
          <w:szCs w:val="23"/>
        </w:rPr>
        <w:t>, but the answer is already in the book—most often in the text immediately following (i.e., in the part you’re reading right now)—or is something you can determine for yourself by running a program. If you just read on, you’ll see the answer without having thought about it (or not see it at all, if the instructions are to run a program), so you will get to neither (a) test your knowledge, nor (b) improve your intuitions. In other words, these are additional, explicit attempts to encourage active learning. Ultimately, however, we can only encourage it; it’s up to you to practice it.</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b/>
          <w:bCs/>
          <w:vanish/>
          <w:color w:val="000000"/>
          <w:kern w:val="0"/>
          <w:sz w:val="23"/>
          <w:szCs w:val="23"/>
        </w:rPr>
        <w:t>1.4</w:t>
      </w:r>
      <w:r w:rsidRPr="008C13FC">
        <w:rPr>
          <w:rFonts w:ascii="宋体" w:eastAsia="宋体" w:hAnsi="宋体" w:cs="宋体" w:hint="eastAsia"/>
          <w:b/>
          <w:bCs/>
          <w:vanish/>
          <w:color w:val="000000"/>
          <w:kern w:val="0"/>
          <w:sz w:val="23"/>
          <w:szCs w:val="23"/>
        </w:rPr>
        <w:t> </w:t>
      </w:r>
      <w:r w:rsidRPr="008C13FC">
        <w:rPr>
          <w:rFonts w:ascii="Garamond" w:eastAsia="宋体" w:hAnsi="Garamond" w:cs="宋体"/>
          <w:b/>
          <w:bCs/>
          <w:vanish/>
          <w:color w:val="000000"/>
          <w:kern w:val="0"/>
          <w:sz w:val="23"/>
          <w:szCs w:val="23"/>
        </w:rPr>
        <w:t>The Language of This Book</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vanish/>
          <w:color w:val="000000"/>
          <w:kern w:val="0"/>
          <w:sz w:val="23"/>
          <w:szCs w:val="23"/>
        </w:rPr>
        <w:t>This book uses a new programming language called </w:t>
      </w:r>
      <w:r w:rsidRPr="008C13FC">
        <w:rPr>
          <w:rFonts w:ascii="Garamond" w:eastAsia="宋体" w:hAnsi="Garamond" w:cs="宋体"/>
          <w:vanish/>
          <w:color w:val="111111"/>
          <w:kern w:val="0"/>
          <w:sz w:val="23"/>
          <w:szCs w:val="23"/>
          <w:u w:val="single"/>
        </w:rPr>
        <w:t>Pyret</w:t>
      </w:r>
      <w:r w:rsidRPr="008C13FC">
        <w:rPr>
          <w:rFonts w:ascii="Garamond" w:eastAsia="宋体" w:hAnsi="Garamond" w:cs="宋体"/>
          <w:vanish/>
          <w:color w:val="000000"/>
          <w:kern w:val="0"/>
          <w:sz w:val="23"/>
          <w:szCs w:val="23"/>
        </w:rPr>
        <w:t>. Pyret is the outgrowth of our deep experience programming in and designing functional, object-oriented, and scripting languages, as well as their type systems, program analyses, and development environments.</w:t>
      </w:r>
    </w:p>
    <w:p w:rsidR="008C13FC" w:rsidRPr="008C13FC" w:rsidRDefault="008C13FC" w:rsidP="008C13FC">
      <w:pPr>
        <w:spacing w:before="100" w:beforeAutospacing="1" w:after="360"/>
        <w:jc w:val="left"/>
        <w:rPr>
          <w:rFonts w:ascii="宋体" w:eastAsia="宋体" w:hAnsi="宋体" w:cs="宋体"/>
          <w:vanish/>
          <w:kern w:val="0"/>
          <w:szCs w:val="21"/>
        </w:rPr>
      </w:pPr>
      <w:r w:rsidRPr="008C13FC">
        <w:rPr>
          <w:rFonts w:ascii="Garamond" w:eastAsia="宋体" w:hAnsi="Garamond" w:cs="宋体"/>
          <w:vanish/>
          <w:color w:val="000000"/>
          <w:kern w:val="0"/>
          <w:sz w:val="23"/>
          <w:szCs w:val="23"/>
        </w:rPr>
        <w:t>The language’s syntax is inspired by Python.Unlike Python, Pyret will enforce indentation rather than interpret it: that is, indentation will simply become another syntax well-formedness criterion. But that hasn’t been implemented yet. It fits the niche missing in computer science education of a simple language that sheds both the strange corner-cases (</w:t>
      </w:r>
      <w:r w:rsidRPr="008C13FC">
        <w:rPr>
          <w:rFonts w:ascii="Garamond" w:eastAsia="宋体" w:hAnsi="Garamond" w:cs="宋体"/>
          <w:vanish/>
          <w:color w:val="111111"/>
          <w:kern w:val="0"/>
          <w:sz w:val="23"/>
          <w:szCs w:val="23"/>
          <w:u w:val="single"/>
        </w:rPr>
        <w:t>of which there are many</w:t>
      </w:r>
      <w:r w:rsidRPr="008C13FC">
        <w:rPr>
          <w:rFonts w:ascii="Garamond" w:eastAsia="宋体" w:hAnsi="Garamond" w:cs="宋体"/>
          <w:vanish/>
          <w:color w:val="000000"/>
          <w:kern w:val="0"/>
          <w:sz w:val="23"/>
          <w:szCs w:val="23"/>
        </w:rPr>
        <w:t>) of Python while adding important features that Python lacks for learning programming (such as algebraic datatypes, optional annotations on variables, design decisions that better enable the construction of development environments, and strong support for testing). Beginning programmers can rest in the knowledge they are being cared for, while programmers with past acquaintance of the language menagerie, from serpents to dromedaries, should find Pyret familiar and comfortable.</w:t>
      </w:r>
    </w:p>
    <w:p w:rsidR="008C13FC" w:rsidRPr="008C13FC" w:rsidRDefault="008C13FC" w:rsidP="008C13FC">
      <w:pPr>
        <w:shd w:val="clear" w:color="auto" w:fill="F7F7F7"/>
        <w:spacing w:line="900" w:lineRule="atLeast"/>
        <w:jc w:val="center"/>
        <w:rPr>
          <w:rFonts w:ascii="PingFangSC-Regular" w:eastAsia="宋体" w:hAnsi="PingFangSC-Regular" w:cs="宋体"/>
          <w:vanish/>
          <w:color w:val="666666"/>
          <w:kern w:val="0"/>
          <w:szCs w:val="21"/>
        </w:rPr>
      </w:pPr>
      <w:r w:rsidRPr="008C13FC">
        <w:rPr>
          <w:rFonts w:ascii="PingFangSC-Regular" w:eastAsia="宋体" w:hAnsi="PingFangSC-Regular" w:cs="宋体"/>
          <w:vanish/>
          <w:color w:val="666666"/>
          <w:kern w:val="0"/>
          <w:szCs w:val="21"/>
        </w:rPr>
        <w:t>文档中第</w:t>
      </w:r>
      <w:r w:rsidRPr="008C13FC">
        <w:rPr>
          <w:rFonts w:ascii="PingFangSC-Regular" w:eastAsia="宋体" w:hAnsi="PingFangSC-Regular" w:cs="宋体"/>
          <w:vanish/>
          <w:color w:val="666666"/>
          <w:kern w:val="0"/>
          <w:szCs w:val="21"/>
        </w:rPr>
        <w:t xml:space="preserve"> 1 </w:t>
      </w:r>
      <w:r w:rsidRPr="008C13FC">
        <w:rPr>
          <w:rFonts w:ascii="PingFangSC-Regular" w:eastAsia="宋体" w:hAnsi="PingFangSC-Regular" w:cs="宋体"/>
          <w:vanish/>
          <w:color w:val="666666"/>
          <w:kern w:val="0"/>
          <w:szCs w:val="21"/>
        </w:rPr>
        <w:t>至</w:t>
      </w:r>
      <w:r w:rsidRPr="008C13FC">
        <w:rPr>
          <w:rFonts w:ascii="PingFangSC-Regular" w:eastAsia="宋体" w:hAnsi="PingFangSC-Regular" w:cs="宋体"/>
          <w:vanish/>
          <w:color w:val="666666"/>
          <w:kern w:val="0"/>
          <w:szCs w:val="21"/>
        </w:rPr>
        <w:t xml:space="preserve"> 1000 </w:t>
      </w:r>
      <w:r w:rsidRPr="008C13FC">
        <w:rPr>
          <w:rFonts w:ascii="PingFangSC-Regular" w:eastAsia="宋体" w:hAnsi="PingFangSC-Regular" w:cs="宋体"/>
          <w:vanish/>
          <w:color w:val="666666"/>
          <w:kern w:val="0"/>
          <w:szCs w:val="21"/>
        </w:rPr>
        <w:t>字的翻译内容正在加载</w:t>
      </w:r>
      <w:r w:rsidRPr="008C13FC">
        <w:rPr>
          <w:rFonts w:ascii="PingFangSC-Regular" w:eastAsia="宋体" w:hAnsi="PingFangSC-Regular" w:cs="宋体"/>
          <w:vanish/>
          <w:color w:val="666666"/>
          <w:kern w:val="0"/>
          <w:szCs w:val="21"/>
        </w:rPr>
        <w:t xml:space="preserve">... </w:t>
      </w:r>
    </w:p>
    <w:p w:rsidR="008C13FC" w:rsidRPr="008C13FC" w:rsidRDefault="008C13FC" w:rsidP="008C13FC">
      <w:pPr>
        <w:shd w:val="clear" w:color="auto" w:fill="FFFFFF"/>
        <w:jc w:val="right"/>
        <w:rPr>
          <w:rFonts w:ascii="宋体" w:eastAsia="宋体" w:hAnsi="宋体" w:cs="宋体"/>
          <w:vanish/>
          <w:kern w:val="0"/>
          <w:sz w:val="20"/>
          <w:szCs w:val="20"/>
        </w:rPr>
      </w:pPr>
      <w:r w:rsidRPr="008C13FC">
        <w:rPr>
          <w:rFonts w:ascii="宋体" w:eastAsia="宋体" w:hAnsi="宋体" w:cs="宋体"/>
          <w:vanish/>
          <w:kern w:val="0"/>
          <w:sz w:val="20"/>
          <w:szCs w:val="20"/>
        </w:rPr>
        <w:t xml:space="preserve">确定 </w:t>
      </w:r>
    </w:p>
    <w:p w:rsidR="003F1EAE" w:rsidRPr="008C13FC" w:rsidRDefault="008C13FC" w:rsidP="008C13FC">
      <w:r w:rsidRPr="008C13FC">
        <w:rPr>
          <w:rFonts w:ascii="宋体" w:eastAsia="宋体" w:hAnsi="宋体" w:cs="宋体"/>
          <w:vanish/>
          <w:kern w:val="0"/>
          <w:sz w:val="20"/>
          <w:szCs w:val="20"/>
        </w:rPr>
        <w:pict/>
      </w:r>
      <w:r w:rsidRPr="008C13FC">
        <w:rPr>
          <w:rFonts w:ascii="宋体" w:eastAsia="宋体" w:hAnsi="宋体" w:cs="宋体"/>
          <w:vanish/>
          <w:kern w:val="0"/>
          <w:sz w:val="20"/>
          <w:szCs w:val="20"/>
        </w:rPr>
        <w:pict/>
      </w:r>
      <w:r w:rsidRPr="008C13FC">
        <w:rPr>
          <w:rFonts w:ascii="宋体" w:eastAsia="宋体" w:hAnsi="宋体" w:cs="宋体"/>
          <w:vanish/>
          <w:kern w:val="0"/>
          <w:sz w:val="20"/>
          <w:szCs w:val="20"/>
        </w:rPr>
        <w:pict/>
      </w:r>
      <w:bookmarkStart w:id="0" w:name="_GoBack"/>
      <w:bookmarkEnd w:id="0"/>
    </w:p>
    <w:sectPr w:rsidR="003F1EAE" w:rsidRPr="008C13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PingFangSC-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D65"/>
    <w:rsid w:val="003F1EAE"/>
    <w:rsid w:val="008C13FC"/>
    <w:rsid w:val="00920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C3173-FA82-4E7B-BC8D-047820F0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920D65"/>
    <w:pPr>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920D65"/>
    <w:rPr>
      <w:rFonts w:ascii="宋体" w:eastAsia="宋体" w:hAnsi="宋体" w:cs="宋体"/>
      <w:b/>
      <w:bCs/>
      <w:kern w:val="0"/>
      <w:sz w:val="24"/>
      <w:szCs w:val="24"/>
    </w:rPr>
  </w:style>
  <w:style w:type="character" w:styleId="HTML">
    <w:name w:val="HTML Typewriter"/>
    <w:basedOn w:val="a0"/>
    <w:uiPriority w:val="99"/>
    <w:semiHidden/>
    <w:unhideWhenUsed/>
    <w:rsid w:val="00920D65"/>
    <w:rPr>
      <w:rFonts w:ascii="宋体" w:eastAsia="宋体" w:hAnsi="宋体" w:cs="宋体"/>
      <w:sz w:val="24"/>
      <w:szCs w:val="24"/>
    </w:rPr>
  </w:style>
  <w:style w:type="paragraph" w:styleId="a3">
    <w:name w:val="Normal (Web)"/>
    <w:basedOn w:val="a"/>
    <w:uiPriority w:val="99"/>
    <w:semiHidden/>
    <w:unhideWhenUsed/>
    <w:rsid w:val="00920D65"/>
    <w:pPr>
      <w:spacing w:before="100" w:beforeAutospacing="1" w:after="100" w:afterAutospacing="1"/>
      <w:jc w:val="left"/>
    </w:pPr>
    <w:rPr>
      <w:rFonts w:ascii="宋体" w:eastAsia="宋体" w:hAnsi="宋体" w:cs="宋体"/>
      <w:kern w:val="0"/>
      <w:sz w:val="24"/>
      <w:szCs w:val="24"/>
    </w:rPr>
  </w:style>
  <w:style w:type="character" w:customStyle="1" w:styleId="refcontent">
    <w:name w:val="refcontent"/>
    <w:basedOn w:val="a0"/>
    <w:rsid w:val="00920D65"/>
  </w:style>
  <w:style w:type="character" w:styleId="a4">
    <w:name w:val="Hyperlink"/>
    <w:basedOn w:val="a0"/>
    <w:uiPriority w:val="99"/>
    <w:semiHidden/>
    <w:unhideWhenUsed/>
    <w:rsid w:val="00920D65"/>
    <w:rPr>
      <w:color w:val="0000FF"/>
      <w:u w:val="single"/>
    </w:rPr>
  </w:style>
  <w:style w:type="paragraph" w:customStyle="1" w:styleId="exerciseheader">
    <w:name w:val="exerciseheader"/>
    <w:basedOn w:val="a"/>
    <w:rsid w:val="00920D65"/>
    <w:pPr>
      <w:spacing w:before="100" w:beforeAutospacing="1" w:after="100" w:afterAutospacing="1"/>
      <w:jc w:val="left"/>
    </w:pPr>
    <w:rPr>
      <w:rFonts w:ascii="宋体" w:eastAsia="宋体" w:hAnsi="宋体" w:cs="宋体"/>
      <w:kern w:val="0"/>
      <w:sz w:val="24"/>
      <w:szCs w:val="24"/>
    </w:rPr>
  </w:style>
  <w:style w:type="paragraph" w:customStyle="1" w:styleId="incerciseheader">
    <w:name w:val="incerciseheader"/>
    <w:basedOn w:val="a"/>
    <w:rsid w:val="00920D65"/>
    <w:pPr>
      <w:spacing w:before="100" w:beforeAutospacing="1" w:after="100" w:afterAutospacing="1"/>
      <w:jc w:val="left"/>
    </w:pPr>
    <w:rPr>
      <w:rFonts w:ascii="宋体" w:eastAsia="宋体" w:hAnsi="宋体" w:cs="宋体"/>
      <w:kern w:val="0"/>
      <w:sz w:val="24"/>
      <w:szCs w:val="24"/>
    </w:rPr>
  </w:style>
  <w:style w:type="paragraph" w:customStyle="1" w:styleId="paragraph">
    <w:name w:val="paragraph"/>
    <w:basedOn w:val="a"/>
    <w:rsid w:val="008C13FC"/>
    <w:pPr>
      <w:spacing w:before="100" w:beforeAutospacing="1" w:after="360"/>
      <w:jc w:val="left"/>
    </w:pPr>
    <w:rPr>
      <w:rFonts w:ascii="宋体" w:eastAsia="宋体" w:hAnsi="宋体" w:cs="宋体"/>
      <w:kern w:val="0"/>
      <w:szCs w:val="21"/>
    </w:rPr>
  </w:style>
  <w:style w:type="character" w:customStyle="1" w:styleId="runcon">
    <w:name w:val="run__con"/>
    <w:basedOn w:val="a0"/>
    <w:rsid w:val="008C13FC"/>
  </w:style>
  <w:style w:type="character" w:customStyle="1" w:styleId="run">
    <w:name w:val="run"/>
    <w:basedOn w:val="a0"/>
    <w:rsid w:val="008C1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3676">
      <w:marLeft w:val="0"/>
      <w:marRight w:val="0"/>
      <w:marTop w:val="0"/>
      <w:marBottom w:val="0"/>
      <w:divBdr>
        <w:top w:val="none" w:sz="0" w:space="0" w:color="auto"/>
        <w:left w:val="none" w:sz="0" w:space="0" w:color="auto"/>
        <w:bottom w:val="none" w:sz="0" w:space="0" w:color="auto"/>
        <w:right w:val="none" w:sz="0" w:space="0" w:color="auto"/>
      </w:divBdr>
    </w:div>
    <w:div w:id="418527337">
      <w:marLeft w:val="-2025"/>
      <w:marRight w:val="0"/>
      <w:marTop w:val="0"/>
      <w:marBottom w:val="0"/>
      <w:divBdr>
        <w:top w:val="single" w:sz="6" w:space="0" w:color="E6E6E6"/>
        <w:left w:val="single" w:sz="6" w:space="0" w:color="E6E6E6"/>
        <w:bottom w:val="single" w:sz="6" w:space="0" w:color="E6E6E6"/>
        <w:right w:val="single" w:sz="6" w:space="0" w:color="E6E6E6"/>
      </w:divBdr>
    </w:div>
    <w:div w:id="564681200">
      <w:marLeft w:val="0"/>
      <w:marRight w:val="0"/>
      <w:marTop w:val="0"/>
      <w:marBottom w:val="0"/>
      <w:divBdr>
        <w:top w:val="none" w:sz="0" w:space="0" w:color="auto"/>
        <w:left w:val="none" w:sz="0" w:space="0" w:color="auto"/>
        <w:bottom w:val="none" w:sz="0" w:space="0" w:color="auto"/>
        <w:right w:val="none" w:sz="0" w:space="0" w:color="auto"/>
      </w:divBdr>
    </w:div>
    <w:div w:id="969243504">
      <w:marLeft w:val="0"/>
      <w:marRight w:val="0"/>
      <w:marTop w:val="0"/>
      <w:marBottom w:val="0"/>
      <w:divBdr>
        <w:top w:val="none" w:sz="0" w:space="0" w:color="auto"/>
        <w:left w:val="none" w:sz="0" w:space="0" w:color="auto"/>
        <w:bottom w:val="none" w:sz="0" w:space="0" w:color="auto"/>
        <w:right w:val="none" w:sz="0" w:space="0" w:color="auto"/>
      </w:divBdr>
    </w:div>
    <w:div w:id="1346513763">
      <w:marLeft w:val="-2025"/>
      <w:marRight w:val="0"/>
      <w:marTop w:val="0"/>
      <w:marBottom w:val="0"/>
      <w:divBdr>
        <w:top w:val="single" w:sz="6" w:space="0" w:color="E6E6E6"/>
        <w:left w:val="single" w:sz="6" w:space="0" w:color="E6E6E6"/>
        <w:bottom w:val="single" w:sz="6" w:space="0" w:color="E6E6E6"/>
        <w:right w:val="single" w:sz="6" w:space="0" w:color="E6E6E6"/>
      </w:divBdr>
    </w:div>
    <w:div w:id="1391343261">
      <w:bodyDiv w:val="1"/>
      <w:marLeft w:val="0"/>
      <w:marRight w:val="0"/>
      <w:marTop w:val="0"/>
      <w:marBottom w:val="0"/>
      <w:divBdr>
        <w:top w:val="none" w:sz="0" w:space="0" w:color="auto"/>
        <w:left w:val="none" w:sz="0" w:space="0" w:color="auto"/>
        <w:bottom w:val="none" w:sz="0" w:space="0" w:color="auto"/>
        <w:right w:val="none" w:sz="0" w:space="0" w:color="auto"/>
      </w:divBdr>
      <w:divsChild>
        <w:div w:id="609897749">
          <w:blockQuote w:val="1"/>
          <w:marLeft w:val="480"/>
          <w:marRight w:val="720"/>
          <w:marTop w:val="100"/>
          <w:marBottom w:val="100"/>
          <w:divBdr>
            <w:top w:val="none" w:sz="0" w:space="0" w:color="FFA500"/>
            <w:left w:val="single" w:sz="36" w:space="8" w:color="FFA500"/>
            <w:bottom w:val="none" w:sz="0" w:space="6" w:color="FFA500"/>
            <w:right w:val="none" w:sz="0" w:space="0" w:color="FFA500"/>
          </w:divBdr>
          <w:divsChild>
            <w:div w:id="1526092282">
              <w:marLeft w:val="0"/>
              <w:marRight w:val="0"/>
              <w:marTop w:val="240"/>
              <w:marBottom w:val="240"/>
              <w:divBdr>
                <w:top w:val="none" w:sz="0" w:space="0" w:color="auto"/>
                <w:left w:val="none" w:sz="0" w:space="0" w:color="auto"/>
                <w:bottom w:val="none" w:sz="0" w:space="0" w:color="auto"/>
                <w:right w:val="none" w:sz="0" w:space="0" w:color="auto"/>
              </w:divBdr>
            </w:div>
            <w:div w:id="1983121496">
              <w:marLeft w:val="0"/>
              <w:marRight w:val="0"/>
              <w:marTop w:val="240"/>
              <w:marBottom w:val="240"/>
              <w:divBdr>
                <w:top w:val="none" w:sz="0" w:space="0" w:color="auto"/>
                <w:left w:val="none" w:sz="0" w:space="0" w:color="auto"/>
                <w:bottom w:val="none" w:sz="0" w:space="0" w:color="auto"/>
                <w:right w:val="none" w:sz="0" w:space="0" w:color="auto"/>
              </w:divBdr>
              <w:divsChild>
                <w:div w:id="62990162">
                  <w:blockQuote w:val="1"/>
                  <w:marLeft w:val="0"/>
                  <w:marRight w:val="150"/>
                  <w:marTop w:val="100"/>
                  <w:marBottom w:val="100"/>
                  <w:divBdr>
                    <w:top w:val="none" w:sz="0" w:space="0" w:color="auto"/>
                    <w:left w:val="none" w:sz="0" w:space="0" w:color="auto"/>
                    <w:bottom w:val="none" w:sz="0" w:space="0" w:color="auto"/>
                    <w:right w:val="none" w:sz="0" w:space="0" w:color="auto"/>
                  </w:divBdr>
                </w:div>
              </w:divsChild>
            </w:div>
          </w:divsChild>
        </w:div>
        <w:div w:id="664169738">
          <w:blockQuote w:val="1"/>
          <w:marLeft w:val="480"/>
          <w:marRight w:val="720"/>
          <w:marTop w:val="100"/>
          <w:marBottom w:val="100"/>
          <w:divBdr>
            <w:top w:val="none" w:sz="0" w:space="0" w:color="FF0000"/>
            <w:left w:val="single" w:sz="36" w:space="8" w:color="FF0000"/>
            <w:bottom w:val="none" w:sz="0" w:space="6" w:color="FF0000"/>
            <w:right w:val="none" w:sz="0" w:space="0" w:color="FF0000"/>
          </w:divBdr>
          <w:divsChild>
            <w:div w:id="1112748908">
              <w:marLeft w:val="0"/>
              <w:marRight w:val="0"/>
              <w:marTop w:val="240"/>
              <w:marBottom w:val="240"/>
              <w:divBdr>
                <w:top w:val="none" w:sz="0" w:space="0" w:color="auto"/>
                <w:left w:val="none" w:sz="0" w:space="0" w:color="auto"/>
                <w:bottom w:val="none" w:sz="0" w:space="0" w:color="auto"/>
                <w:right w:val="none" w:sz="0" w:space="0" w:color="auto"/>
              </w:divBdr>
            </w:div>
            <w:div w:id="251860427">
              <w:marLeft w:val="0"/>
              <w:marRight w:val="0"/>
              <w:marTop w:val="240"/>
              <w:marBottom w:val="240"/>
              <w:divBdr>
                <w:top w:val="none" w:sz="0" w:space="0" w:color="auto"/>
                <w:left w:val="none" w:sz="0" w:space="0" w:color="auto"/>
                <w:bottom w:val="none" w:sz="0" w:space="0" w:color="auto"/>
                <w:right w:val="none" w:sz="0" w:space="0" w:color="auto"/>
              </w:divBdr>
              <w:divsChild>
                <w:div w:id="1142229990">
                  <w:blockQuote w:val="1"/>
                  <w:marLeft w:val="0"/>
                  <w:marRight w:val="150"/>
                  <w:marTop w:val="100"/>
                  <w:marBottom w:val="100"/>
                  <w:divBdr>
                    <w:top w:val="none" w:sz="0" w:space="0" w:color="auto"/>
                    <w:left w:val="none" w:sz="0" w:space="0" w:color="auto"/>
                    <w:bottom w:val="none" w:sz="0" w:space="0" w:color="auto"/>
                    <w:right w:val="none" w:sz="0" w:space="0" w:color="auto"/>
                  </w:divBdr>
                </w:div>
              </w:divsChild>
            </w:div>
          </w:divsChild>
        </w:div>
      </w:divsChild>
    </w:div>
    <w:div w:id="1468862577">
      <w:marLeft w:val="0"/>
      <w:marRight w:val="0"/>
      <w:marTop w:val="0"/>
      <w:marBottom w:val="0"/>
      <w:divBdr>
        <w:top w:val="none" w:sz="0" w:space="0" w:color="auto"/>
        <w:left w:val="none" w:sz="0" w:space="0" w:color="auto"/>
        <w:bottom w:val="none" w:sz="0" w:space="0" w:color="auto"/>
        <w:right w:val="none" w:sz="0" w:space="0" w:color="auto"/>
      </w:divBdr>
    </w:div>
    <w:div w:id="1698122949">
      <w:marLeft w:val="0"/>
      <w:marRight w:val="0"/>
      <w:marTop w:val="0"/>
      <w:marBottom w:val="0"/>
      <w:divBdr>
        <w:top w:val="none" w:sz="0" w:space="0" w:color="auto"/>
        <w:left w:val="none" w:sz="0" w:space="0" w:color="auto"/>
        <w:bottom w:val="none" w:sz="0" w:space="0" w:color="auto"/>
        <w:right w:val="none" w:sz="0" w:space="0" w:color="auto"/>
      </w:divBdr>
    </w:div>
    <w:div w:id="187703484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brown.edu/~sk/Publications/Papers/Published/pmmwplck-python-full-monty/" TargetMode="External"/><Relationship Id="rId5" Type="http://schemas.openxmlformats.org/officeDocument/2006/relationships/hyperlink" Target="https://papl.cs.brown.edu/2018/predicting-growth.html" TargetMode="External"/><Relationship Id="rId4" Type="http://schemas.openxmlformats.org/officeDocument/2006/relationships/hyperlink" Target="https://papl.cs.brown.edu/2018/typ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1163</Words>
  <Characters>6633</Characters>
  <Application>Microsoft Office Word</Application>
  <DocSecurity>0</DocSecurity>
  <Lines>55</Lines>
  <Paragraphs>15</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dc:creator>
  <cp:keywords/>
  <dc:description/>
  <cp:lastModifiedBy>search</cp:lastModifiedBy>
  <cp:revision>2</cp:revision>
  <dcterms:created xsi:type="dcterms:W3CDTF">2019-04-14T17:14:00Z</dcterms:created>
  <dcterms:modified xsi:type="dcterms:W3CDTF">2019-04-14T17:16:00Z</dcterms:modified>
</cp:coreProperties>
</file>