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ind w:firstLine="422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b/>
          <w:bCs/>
          <w:color w:val="3F3F3F"/>
          <w:sz w:val="21"/>
          <w:szCs w:val="21"/>
        </w:rPr>
        <w:t>一、单选题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default" w:cs="Calibri"/>
          <w:color w:val="3F3F3F"/>
          <w:sz w:val="21"/>
          <w:szCs w:val="21"/>
        </w:rPr>
        <w:t>1.</w:t>
      </w:r>
      <w:r>
        <w:rPr>
          <w:rFonts w:hint="eastAsia" w:cs="Calibri"/>
          <w:color w:val="3F3F3F"/>
          <w:sz w:val="21"/>
          <w:szCs w:val="21"/>
        </w:rPr>
        <w:t>企业发生的下列支出中，按照企业所得税法的规定可在税前扣除的是（    ）。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A.税收滞纳金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B.非广告性赞助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C.企业所得税税款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D.按规定缴纳的财产保险费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default" w:cs="Calibri"/>
          <w:color w:val="3F3F3F"/>
          <w:sz w:val="21"/>
          <w:szCs w:val="21"/>
        </w:rPr>
        <w:t>2.</w:t>
      </w:r>
      <w:r>
        <w:rPr>
          <w:rFonts w:hint="eastAsia" w:cs="Calibri"/>
          <w:color w:val="3F3F3F"/>
          <w:sz w:val="21"/>
          <w:szCs w:val="21"/>
        </w:rPr>
        <w:t>企业发生的下列支出中，可在发生当期直接在企业所得税税前扣除的是（    ）。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A.固定资产改良支出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B.租入固定资产的改建支出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C.固定资产的日常修理支出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D.已足额提取折旧的固定资产的改建支出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default" w:cs="Calibri"/>
          <w:color w:val="3F3F3F"/>
          <w:sz w:val="21"/>
          <w:szCs w:val="21"/>
        </w:rPr>
        <w:t>3.</w:t>
      </w:r>
      <w:r>
        <w:rPr>
          <w:rFonts w:hint="eastAsia" w:cs="Calibri"/>
          <w:color w:val="3F3F3F"/>
          <w:sz w:val="21"/>
          <w:szCs w:val="21"/>
        </w:rPr>
        <w:t>企业从事下列项目取得的所得中，免征企业所得税的是（    ）。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A.花卉种植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B.蔬菜种植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C.海水养殖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D.内陆养殖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default" w:cs="Calibri"/>
          <w:color w:val="3F3F3F"/>
          <w:sz w:val="21"/>
          <w:szCs w:val="21"/>
        </w:rPr>
        <w:t>4.</w:t>
      </w:r>
      <w:r>
        <w:rPr>
          <w:rFonts w:hint="eastAsia" w:cs="Calibri"/>
          <w:color w:val="3F3F3F"/>
          <w:sz w:val="21"/>
          <w:szCs w:val="21"/>
        </w:rPr>
        <w:t>下列各项支出中，可以在计算企业所得税应纳税所得额时扣除的是（    ）。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A.向投资者支付的股息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B.合理的劳动保护支出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C.为投资者支付的商业保险费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D.内设营业机构之间支付的租金</w:t>
      </w:r>
    </w:p>
    <w:p>
      <w:pPr>
        <w:pStyle w:val="4"/>
        <w:shd w:val="clear" w:color="auto" w:fill="FFFFFF"/>
        <w:spacing w:before="0" w:beforeAutospacing="0" w:after="0" w:afterAutospacing="0"/>
        <w:ind w:firstLine="422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b/>
          <w:bCs/>
          <w:color w:val="3F3F3F"/>
          <w:sz w:val="21"/>
          <w:szCs w:val="21"/>
        </w:rPr>
        <w:t>二、多选题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default" w:cs="Calibri"/>
          <w:color w:val="3F3F3F"/>
          <w:sz w:val="21"/>
          <w:szCs w:val="21"/>
        </w:rPr>
        <w:t>1.</w:t>
      </w:r>
      <w:r>
        <w:rPr>
          <w:rFonts w:hint="eastAsia" w:cs="Calibri"/>
          <w:color w:val="3F3F3F"/>
          <w:sz w:val="21"/>
          <w:szCs w:val="21"/>
        </w:rPr>
        <w:t>居民企业发生的下列支出中，可在企业所得税税前扣除的有（    ）。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A.逾期归还银行贷款的罚息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B.企业内营业机构之间支付的租金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C.未能形成无形资产的研究开发费用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D.以经营租赁方式租入固定资产的租金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default" w:cs="Calibri"/>
          <w:color w:val="3F3F3F"/>
          <w:sz w:val="21"/>
          <w:szCs w:val="21"/>
        </w:rPr>
        <w:t>2.</w:t>
      </w:r>
      <w:r>
        <w:rPr>
          <w:rFonts w:hint="eastAsia" w:cs="Calibri"/>
          <w:color w:val="3F3F3F"/>
          <w:sz w:val="21"/>
          <w:szCs w:val="21"/>
        </w:rPr>
        <w:t>下列利息所得中，免征企业所得税的有（    ）。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A.外国政府向中国政府提供贷款取得的利息所得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B.国际金融组织向中国政府提供优惠贷款取得的利息所得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C.国际金融组织向中国居民企业提供优惠贷款取得的利息所得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D.外国银行的中国分行向中国居民企业提供贷款取得的利息所得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default" w:cs="Calibri"/>
          <w:color w:val="3F3F3F"/>
          <w:sz w:val="21"/>
          <w:szCs w:val="21"/>
        </w:rPr>
        <w:t>3.</w:t>
      </w:r>
      <w:r>
        <w:rPr>
          <w:rFonts w:hint="eastAsia" w:cs="Calibri"/>
          <w:color w:val="3F3F3F"/>
          <w:sz w:val="21"/>
          <w:szCs w:val="21"/>
        </w:rPr>
        <w:t>下列企业于2018年1月1日后购进的固定资产，在计算企业所得税应纳税所得额时，可以一次性计入成本费用扣除的有（    ）。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A.商场购进价值为4500元的二维码打码器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B.小型微利饮料厂购进价值为20万元生产用的榨汁机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C.集成电路生产企业购进价值为1200万元的办公楼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D.小型微利信息技术服务公司购进价值为800万元研发用的服务器群组</w:t>
      </w:r>
    </w:p>
    <w:p>
      <w:pPr>
        <w:shd w:val="clear" w:color="auto" w:fill="FFFFFF"/>
        <w:rPr>
          <w:rFonts w:ascii="微软雅黑" w:hAnsi="微软雅黑" w:eastAsia="微软雅黑" w:cs="宋体"/>
          <w:color w:val="3F3F3F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/>
        <w:ind w:firstLine="420"/>
        <w:rPr>
          <w:rFonts w:hint="eastAsia" w:ascii="宋体" w:hAnsi="宋体" w:cs="Calibri"/>
          <w:color w:val="3F3F3F"/>
          <w:sz w:val="21"/>
          <w:szCs w:val="21"/>
        </w:rPr>
      </w:pPr>
      <w:r>
        <w:rPr>
          <w:rFonts w:hint="default" w:ascii="宋体" w:hAnsi="宋体" w:cs="Calibri"/>
          <w:color w:val="3F3F3F"/>
          <w:sz w:val="21"/>
          <w:szCs w:val="21"/>
        </w:rPr>
        <w:t>三、综合题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420" w:firstLineChars="200"/>
        <w:rPr>
          <w:rFonts w:ascii="Calibri" w:hAnsi="Calibri" w:eastAsia="微软雅黑" w:cs="Calibri"/>
          <w:color w:val="3F3F3F"/>
          <w:sz w:val="21"/>
          <w:szCs w:val="21"/>
        </w:rPr>
      </w:pPr>
      <w:bookmarkStart w:id="0" w:name="_GoBack"/>
      <w:bookmarkEnd w:id="0"/>
      <w:r>
        <w:rPr>
          <w:rFonts w:hint="eastAsia" w:cs="Calibri"/>
          <w:color w:val="3F3F3F"/>
          <w:sz w:val="21"/>
          <w:szCs w:val="21"/>
        </w:rPr>
        <w:t>某制造企业为增值税一般纳税人，自2016年起被认定为高新技术企业。其2018年度的生产经营情况如下：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（1）当年销售货物实现销售收入8000万元，对应的成本为5100万元。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（2）12月购入专门用于研发的新设备，取得增值税普通发票上注明的金额为500万元，当月投入使用。会计上作为固定资产核算并按照5年计提折旧。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（3）通过其他业务收入核算转让5年以上非独占许可使用权收入700万元，与之相应的成本及税费为100万元。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（4）当年发生管理费用800万元，其中含新产品研究开发费用100万元（已独立核算管理）、业务招待费80万元。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（5）当年发生销售费用1800万元，其中含广告费1500万元。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（6）当年发生财务费用200万元。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（7）取得国债利息收入150万元，企业债券利息收入180万元。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（8）全年计入成本、费用的实发合理工资总额400万元（含残疾职工工资50万元），实际发生职工福利费120万元，职工教育经费33万元，拨缴工会经费18万元。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（9）当年发生营业外支出共计130万元，其中违约金5万元，税收滞纳金7万元，补缴高管个人所得税15万元。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（10）当年税金及附加科目共列支200万元。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（其他相关资料：各扣除项目均已取得有效凭证，相关优惠已办理必要手续。）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要求：根据上述资料，按照下列顺序计算回答问题，如有计算需计算出合计数。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（1）判断12月份购进新设备的成本能否一次性税前列支并说明理由。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（2）计算当年的会计利润。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（3）计算业务（3）中转让非独占许可使用权应纳税所得额调整金额。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（4）计算业务（4）中研究开发费及业务招待费应纳税所得额调整金额。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（5）计算业务（5）中广告费应纳税所得额调整金额。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（6）计算业务（7）涉及的应纳税所得额调整金额。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（7）计算业务（8）中工资、职工福利费、工会经费、职工教育经费应纳税所得额调整金额。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（8）计算业务（9）涉及的应纳税所得额调整金额。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（9）计算当年该企业的企业所得税应纳税所得额。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rPr>
          <w:rFonts w:ascii="Calibri" w:hAnsi="Calibri" w:eastAsia="微软雅黑" w:cs="Calibri"/>
          <w:color w:val="3F3F3F"/>
          <w:sz w:val="21"/>
          <w:szCs w:val="21"/>
        </w:rPr>
      </w:pPr>
      <w:r>
        <w:rPr>
          <w:rFonts w:hint="eastAsia" w:cs="Calibri"/>
          <w:color w:val="3F3F3F"/>
          <w:sz w:val="21"/>
          <w:szCs w:val="21"/>
        </w:rPr>
        <w:t>（10）计算当年该企业应缴纳的企业所得税。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EBACBC"/>
    <w:rsid w:val="B5EBA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2020-04-17T18:22:00Z</dcterms:created>
  <dc:creator>sheqianying</dc:creator>
  <cp:lastModifiedBy>sheqianying</cp:lastModifiedBy>
  <dcterms:modified xsi:type="dcterms:W3CDTF">2020-04-17T18:24:51Z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