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Honorar-Rahmenvertrag — Lehrtätigkeit Druckgrafik</w:t>
      </w:r>
    </w:p>
    <w:p>
      <w:pPr>
        <w:jc w:val="center"/>
      </w:pPr>
      <w:r>
        <w:rPr>
          <w:i/>
          <w:color w:val="213452"/>
          <w:sz w:val="20"/>
        </w:rPr>
        <w:t>Rheintal Akademie gemeinnützige GmbH — Prof. Anita Gruber (KL-01) | Datum: 14.02.2025 (EV-02) | Ort: Freiburg im Breisgau</w:t>
      </w:r>
    </w:p>
    <w:p>
      <w:pPr>
        <w:pStyle w:val="Heading1"/>
      </w:pPr>
      <w:r>
        <w:t>Präambel</w:t>
      </w:r>
    </w:p>
    <w:p>
      <w:r>
        <w:t>Die Rheintal Akademie gemeinnützige GmbH (nachfolgend „Akademie”), vertreten durch ihre Geschäftsführerin Dr. Margit Feuerbach (PER-002), Gerberau 12, 79098 Freiburg im Breisgau, und Frau Prof. Anita Gruber (KL-01), freischaffende Druckgrafikerin und Hochschullehrerin (nachfolgend „Kursleiterin”), schließen den nachfolgenden Honorar-Rahmenvertrag über die Lehrtätigkeit im Bereich Druckgrafik sowie über die damit verbundene Nutzung der Infrastruktur der Akademie. Dieser Vertrag tritt am 14. Februar 2025 (EV-02) in Kraft und ersetzt alle vorherigen mündlichen oder schriftlichen Absprachen zwischen den Parteien.</w:t>
      </w:r>
    </w:p>
    <w:p>
      <w:pPr>
        <w:pStyle w:val="Heading2"/>
      </w:pPr>
      <w:r>
        <w:t>§1 Vertragsgegenstand</w:t>
      </w:r>
    </w:p>
    <w:p>
      <w:r>
        <w:t>Gegenstand dieses Vertrages ist die selbstständige Lehrtätigkeit der Kursleiterin im Fachbereich Druckgrafik (Kürzel DRU) an der Kunstakademie Rheintal e. V. und der Rheintal Akademie gGmbH. Die Kursleiterin übernimmt die eigenverantwortliche Planung, Vorbereitung und Durchführung der ihr zugewiesenen Kurse gemäß dem jeweils gültigen Trimesterprogramm der Akademie.</w:t>
      </w:r>
    </w:p>
    <w:p>
      <w:r>
        <w:t>Die Kursleiterin ist im Rahmen dieses Vertrages nicht als Arbeitnehmerin tätig. Sie ist in der Gestaltung ihrer Unterrichtsmethoden frei, soweit sie den inhaltlichen Rahmen der Kursausschreibung einhält. Die Akademie stellt die Kursräume und die erforderliche Grundausstattung zur Verfügung; Spezialmaterial kann nach Absprache aus dem Akademiebestand entnommen oder auf Kosten der Akademie beschafft werden.</w:t>
      </w:r>
    </w:p>
    <w:p>
      <w:pPr>
        <w:pStyle w:val="Heading2"/>
      </w:pPr>
      <w:r>
        <w:t>§2 Vergütung</w:t>
      </w:r>
    </w:p>
    <w:p>
      <w:r>
        <w:t>Die Kursleiterin erhält für ihre Lehrtätigkeit ein Honorar gemäß der nachfolgenden Stundensatztabelle. Grundlage der Abrechnung ist die tatsächlich geleistete Unterrichtszeit inklusive unmittelbarer Vor- und Nachbereitung (max. 15 % Pauschale). Die Abrechnung erfolgt monatlich auf Basis einer von der Kursleiterin eingereichten Honorarnote.</w:t>
      </w:r>
    </w:p>
    <w:tbl>
      <w:tblPr>
        <w:tblStyle w:val="TableGrid"/>
        <w:tblW w:type="auto" w:w="0"/>
        <w:tblLook w:firstColumn="1" w:firstRow="1" w:lastColumn="0" w:lastRow="0" w:noHBand="0" w:noVBand="1" w:val="04A0"/>
      </w:tblPr>
      <w:tblGrid>
        <w:gridCol w:w="3041"/>
        <w:gridCol w:w="3041"/>
        <w:gridCol w:w="3041"/>
      </w:tblGrid>
      <w:tr>
        <w:tc>
          <w:tcPr>
            <w:tcW w:type="dxa" w:w="3041"/>
            <w:shd w:fill="213452" w:color="auto" w:val="clear"/>
          </w:tcPr>
          <w:p>
            <w:r>
              <w:rPr>
                <w:b/>
                <w:color w:val="FFFFFF"/>
              </w:rPr>
              <w:t>Kurstyp</w:t>
            </w:r>
          </w:p>
        </w:tc>
        <w:tc>
          <w:tcPr>
            <w:tcW w:type="dxa" w:w="3041"/>
            <w:shd w:fill="213452" w:color="auto" w:val="clear"/>
          </w:tcPr>
          <w:p>
            <w:r>
              <w:rPr>
                <w:b/>
                <w:color w:val="FFFFFF"/>
              </w:rPr>
              <w:t>Stundensatz (€)</w:t>
            </w:r>
          </w:p>
        </w:tc>
        <w:tc>
          <w:tcPr>
            <w:tcW w:type="dxa" w:w="3041"/>
            <w:shd w:fill="213452" w:color="auto" w:val="clear"/>
          </w:tcPr>
          <w:p>
            <w:r>
              <w:rPr>
                <w:b/>
                <w:color w:val="FFFFFF"/>
              </w:rPr>
              <w:t>Anmerkung</w:t>
            </w:r>
          </w:p>
        </w:tc>
      </w:tr>
      <w:tr>
        <w:tc>
          <w:tcPr>
            <w:tcW w:type="dxa" w:w="3041"/>
          </w:tcPr>
          <w:p>
            <w:r>
              <w:t>Einführungskurs Druckgrafik</w:t>
            </w:r>
          </w:p>
        </w:tc>
        <w:tc>
          <w:tcPr>
            <w:tcW w:type="dxa" w:w="3041"/>
          </w:tcPr>
          <w:p>
            <w:r>
              <w:t>85 €</w:t>
            </w:r>
          </w:p>
        </w:tc>
        <w:tc>
          <w:tcPr>
            <w:tcW w:type="dxa" w:w="3041"/>
          </w:tcPr>
          <w:p>
            <w:r>
              <w:t>Standardsatz gemäß Honorarordnung</w:t>
            </w:r>
          </w:p>
        </w:tc>
      </w:tr>
      <w:tr>
        <w:tc>
          <w:tcPr>
            <w:tcW w:type="dxa" w:w="3041"/>
          </w:tcPr>
          <w:p>
            <w:r>
              <w:t>Vertiefungskurs Druckgrafik</w:t>
            </w:r>
          </w:p>
        </w:tc>
        <w:tc>
          <w:tcPr>
            <w:tcW w:type="dxa" w:w="3041"/>
          </w:tcPr>
          <w:p>
            <w:r>
              <w:t>90 €</w:t>
            </w:r>
          </w:p>
        </w:tc>
        <w:tc>
          <w:tcPr>
            <w:tcW w:type="dxa" w:w="3041"/>
          </w:tcPr>
          <w:p>
            <w:r>
              <w:t>Erhöhter Satz bei ≥ 8 Std./Kurs</w:t>
            </w:r>
          </w:p>
        </w:tc>
      </w:tr>
      <w:tr>
        <w:tc>
          <w:tcPr>
            <w:tcW w:type="dxa" w:w="3041"/>
          </w:tcPr>
          <w:p>
            <w:r>
              <w:t>Intensivworkshop (Sommeratelier / Residenz)</w:t>
            </w:r>
          </w:p>
        </w:tc>
        <w:tc>
          <w:tcPr>
            <w:tcW w:type="dxa" w:w="3041"/>
          </w:tcPr>
          <w:p>
            <w:r>
              <w:t>95 €</w:t>
            </w:r>
          </w:p>
        </w:tc>
        <w:tc>
          <w:tcPr>
            <w:tcW w:type="dxa" w:w="3041"/>
          </w:tcPr>
          <w:p>
            <w:r>
              <w:t>Residenz- und Workshopformate</w:t>
            </w:r>
          </w:p>
        </w:tc>
      </w:tr>
      <w:tr>
        <w:tc>
          <w:tcPr>
            <w:tcW w:type="dxa" w:w="3041"/>
          </w:tcPr>
          <w:p>
            <w:r>
              <w:t>Gastvorlesung / Einzelveranstaltung</w:t>
            </w:r>
          </w:p>
        </w:tc>
        <w:tc>
          <w:tcPr>
            <w:tcW w:type="dxa" w:w="3041"/>
          </w:tcPr>
          <w:p>
            <w:r>
              <w:t>85 €</w:t>
            </w:r>
          </w:p>
        </w:tc>
        <w:tc>
          <w:tcPr>
            <w:tcW w:type="dxa" w:w="3041"/>
          </w:tcPr>
          <w:p>
            <w:r>
              <w:t>Gleichgestellt mit Einführungskurs</w:t>
            </w:r>
          </w:p>
        </w:tc>
      </w:tr>
    </w:tbl>
    <w:p/>
    <w:p>
      <w:r>
        <w:t>Reisekosten werden nur erstattet, soweit sie vorab schriftlich durch die Geschäftsführerin Dr. Margit Feuerbach (PER-002) genehmigt wurden. Alle Honorare sind zuzüglich der gesetzlichen Umsatzsteuer, sofern die Kursleiterin zur Umsatzsteuer optiert.</w:t>
      </w:r>
    </w:p>
    <w:p>
      <w:pPr>
        <w:pStyle w:val="Heading2"/>
      </w:pPr>
      <w:r>
        <w:t>§3 Laufzeit</w:t>
      </w:r>
    </w:p>
    <w:p>
      <w:r>
        <w:t>Dieser Vertrag gilt ab dem 14. Februar 2025 (EV-02) und hat eine Grundlaufzeit bis zum 31. Dezember 2025. Er verlängert sich automatisch um jeweils ein Kalenderjahr, sofern keine der Parteien ihn bis spätestens drei Monate vor Ablauf schriftlich kündigt.</w:t>
      </w:r>
    </w:p>
    <w:p>
      <w:r>
        <w:t>Für das Trimester 3 (September bis Dezember 2025) wurde das Residenzstipendium der Kursleiterin im Rahmen des T3-Kickoffs (EV-07, 12.09.2025) verlängert. Die Kursleiterin betreut im laufenden Programmjahr 2025 vier aktive Kurse (KU-001, KU-002, KU-003 sowie einen weiteren Druckgrafikkurs).</w:t>
      </w:r>
    </w:p>
    <w:p>
      <w:r>
        <w:t>Anpassungen der Honorarsätze werden im gegenseitigen Einvernehmen schriftlich vereinbart und gelten ab dem nächsten vollen Trimesterbeginn. Bereits laufende Kurse werden zu den bei Kursbeginn vereinbarten Sätzen abgerechnet.</w:t>
      </w:r>
    </w:p>
    <w:p>
      <w:pPr>
        <w:pStyle w:val="Heading2"/>
      </w:pPr>
      <w:r>
        <w:t>§4 Atelierüberlassung</w:t>
      </w:r>
    </w:p>
    <w:p>
      <w:r>
        <w:t>Die Atelierüberlassung regelt das Recht der Kursleiterin, die Druckwerkstatt im Hauptgebäude Gerberau (GER) außerhalb der regulären Kurszeiten für ihre eigene künstlerische Arbeit unentgeltlich zu nutzen. Die Atelierüberlassung ist auf maximal 8 Stunden pro Woche begrenzt und muss mindestens 48 Stunden im Voraus schriftlich bei Gundula Heth (PER-007, Atelierleitung Gerberau) angemeldet werden.</w:t>
      </w:r>
    </w:p>
    <w:p>
      <w:r>
        <w:t>Die Atelierüberlassung umfasst die Nutzung aller fest installierten Druckpressen, Walzen und Säurewannen der Druckwerkstatt. Verbrauchsmaterialien (Farben, Papier, Ätzchemikalien) sind von der Kursleiterin auf eigene Kosten zu beschaffen oder gegen ein pauschales Materialentgelt von 15 € pro Nutzungstag aus dem Akademiebestand zu entnehmen. Die Kursleiterin hat die Pflicht, den Arbeitsbereich nach jeder Nutzung ordnungsgemäß zu reinigen und den Zustand gemäß dem Übergabeprotokoll zu dokumentieren.</w:t>
      </w:r>
    </w:p>
    <w:p>
      <w:r>
        <w:t>Im Falle einer Verletzung der Pflichten aus der Atelierüberlassung — insbesondere bei wiederholter Überschreitung der Wochenstundengrenze oder schuldhafter Beschädigung von Geräten — kann die Akademie die Atelierüberlassung mit sofortiger Wirkung aussetzen. Eine Wiederherstellung des Rechts auf Atelierüberlassung ist erst nach schriftlicher Abstimmung mit der Geschäftsführerin Dr. Margit Feuerbach (PER-002) möglich.</w:t>
      </w:r>
    </w:p>
    <w:p>
      <w:r>
        <w:t>Werke, die im Rahmen der Atelierüberlassung entstehen, sind ausschließlich Eigentum der Kursleiterin. Die Akademie erwirbt durch die Atelierüberlassung keinerlei Nutzungs-, Verwertungs- oder Ausstellungsrechte an den entstehenden Werken, sofern nicht gesondert schriftlich vereinbart.</w:t>
      </w:r>
    </w:p>
    <w:p>
      <w:pPr>
        <w:pStyle w:val="Heading2"/>
      </w:pPr>
      <w:r>
        <w:t>§5 Urheberrecht und Verwertung</w:t>
      </w:r>
    </w:p>
    <w:p>
      <w:r>
        <w:t>Sämtliche im Rahmen der Lehrtätigkeit erstellten Kursmaterialien (Handouts, Arbeitsblätter, digitale Präsentationen) verbleiben im Eigentum der Kursleiterin. Die Akademie erhält ein nicht-exklusives, nicht übertragbares Nutzungsrecht für die interne Verwendung in den vereinbarten Kursen.</w:t>
      </w:r>
    </w:p>
    <w:p>
      <w:r>
        <w:t>Die Kursleiterin stimmt zu, dass die Akademie Fotos und kurze Videoaufnahmen des Kursbetriebs für Öffentlichkeitsarbeit und Programmwerbung verwenden darf, sofern die Kursleiterin persönlich abgebildet ist und der Verwendung im Einzelfall zugestimmt hat. Eine kommerzielle Verwertung außerhalb der Akademiekommunikation ist ausgeschlossen.</w:t>
      </w:r>
    </w:p>
    <w:p>
      <w:pPr>
        <w:pStyle w:val="Heading2"/>
      </w:pPr>
      <w:r>
        <w:t>§6 Kündigung und Schlussbestimmungen</w:t>
      </w:r>
    </w:p>
    <w:p>
      <w:r>
        <w:t>Dieser Vertrag kann von beiden Parteien mit einer Frist von drei Monaten zum Trimesterende schriftlich gekündigt werden. Eine außerordentliche Kündigung aus wichtigem Grund ist jederzeit möglich. Als wichtiger Grund gilt insbesondere die wiederholte und schuldhafte Verletzung vertraglicher Pflichten oder die dauerhaft mangelnde Eignung für die vereinbarten Lehrleistungen.</w:t>
      </w:r>
    </w:p>
    <w:p>
      <w:r>
        <w:t>Änderungen und Ergänzungen dieses Vertrages bedürfen der Schriftform. Mündliche Nebenabreden bestehen nicht. Sollte eine Bestimmung dieses Vertrages unwirksam sein, bleibt der übrige Vertrag davon unberührt; die unwirksame Bestimmung ist durch eine wirksame zu ersetzen, die dem wirtschaftlichen Zweck der ursprünglichen Regelung möglichst nahekommt.</w:t>
      </w:r>
    </w:p>
    <w:p>
      <w:r>
        <w:t>Erfüllungsort und Gerichtsstand ist Freiburg im Breisgau. Es gilt das Recht der Bundesrepublik Deutschland. Beide Parteien erhalten ein Original dieses Vertrages.</w:t>
      </w:r>
    </w:p>
    <w:p/>
    <w:p>
      <w:pPr>
        <w:pStyle w:val="Heading1"/>
      </w:pPr>
      <w:r>
        <w:t>Unterschriften</w:t>
      </w:r>
    </w:p>
    <w:tbl>
      <w:tblPr>
        <w:tblStyle w:val="TableGrid"/>
        <w:tblW w:type="auto" w:w="0"/>
        <w:tblLook w:firstColumn="1" w:firstRow="1" w:lastColumn="0" w:lastRow="0" w:noHBand="0" w:noVBand="1" w:val="04A0"/>
      </w:tblPr>
      <w:tblGrid>
        <w:gridCol w:w="4561"/>
        <w:gridCol w:w="4561"/>
      </w:tblGrid>
      <w:tr>
        <w:tc>
          <w:tcPr>
            <w:tcW w:type="dxa" w:w="4561"/>
          </w:tcPr>
          <w:p>
            <w:r>
              <w:rPr>
                <w:b/>
              </w:rPr>
              <w:t>Datum:</w:t>
            </w:r>
          </w:p>
        </w:tc>
        <w:tc>
          <w:tcPr>
            <w:tcW w:type="dxa" w:w="4561"/>
          </w:tcPr>
          <w:p>
            <w:r>
              <w:t>14.02.2025 (EV-02)</w:t>
            </w:r>
          </w:p>
        </w:tc>
      </w:tr>
      <w:tr>
        <w:tc>
          <w:tcPr>
            <w:tcW w:type="dxa" w:w="4561"/>
          </w:tcPr>
          <w:p>
            <w:r>
              <w:rPr>
                <w:b/>
              </w:rPr>
              <w:t>Ort:</w:t>
            </w:r>
          </w:p>
        </w:tc>
        <w:tc>
          <w:tcPr>
            <w:tcW w:type="dxa" w:w="4561"/>
          </w:tcPr>
          <w:p>
            <w:r>
              <w:t>Freiburg im Breisgau</w:t>
            </w:r>
          </w:p>
        </w:tc>
      </w:tr>
      <w:tr>
        <w:tc>
          <w:tcPr>
            <w:tcW w:type="dxa" w:w="4561"/>
          </w:tcPr>
          <w:p>
            <w:r>
              <w:rPr>
                <w:b/>
              </w:rPr>
              <w:t>Für die Rheintal Akademie gGmbH:</w:t>
            </w:r>
          </w:p>
        </w:tc>
        <w:tc>
          <w:tcPr>
            <w:tcW w:type="dxa" w:w="4561"/>
          </w:tcPr>
          <w:p>
            <w:r>
              <w:t>Dr. Margit Feuerbach (PER-002), Geschäftsführerin</w:t>
            </w:r>
          </w:p>
        </w:tc>
      </w:tr>
      <w:tr>
        <w:tc>
          <w:tcPr>
            <w:tcW w:type="dxa" w:w="4561"/>
          </w:tcPr>
          <w:p>
            <w:r>
              <w:rPr>
                <w:b/>
              </w:rPr>
              <w:t>Kursleiterin:</w:t>
            </w:r>
          </w:p>
        </w:tc>
        <w:tc>
          <w:tcPr>
            <w:tcW w:type="dxa" w:w="4561"/>
          </w:tcPr>
          <w:p>
            <w:r>
              <w:t>Prof. Anita Gruber (KL-01)</w:t>
            </w:r>
          </w:p>
        </w:tc>
      </w:tr>
    </w:tbl>
    <w:p/>
    <w:p>
      <w:r>
        <w:t>_________________________                    _________________________</w:t>
      </w:r>
    </w:p>
    <w:p>
      <w:r>
        <w:rPr>
          <w:i/>
        </w:rPr>
        <w:t>Dr. Margit Feuerbach (PER-002)               Prof. Anita Gruber (KL-01)</w:t>
      </w:r>
    </w:p>
    <w:p/>
    <w:p>
      <w:pPr>
        <w:pStyle w:val="Heading1"/>
      </w:pPr>
      <w:r>
        <w:t>Anhang: Lehrplan Druckgrafik-Kurse</w:t>
      </w:r>
    </w:p>
    <w:p>
      <w:r>
        <w:t>Nachfolgend sind die Semesterinhalte aufgeführt, die Prof. Anita Gruber (KL-01) in den ihr zugewiesenen Kursen zu vermitteln hat. Die Inhalte sind als Rahmenplan zu verstehen; die methodische Umsetzung liegt im Ermessen der Kursleiterin.</w:t>
      </w:r>
    </w:p>
    <w:p>
      <w:pPr>
        <w:pStyle w:val="ListBullet"/>
      </w:pPr>
      <w:r>
        <w:t>Einführung in die Geschichte und Technik der Druckgrafik: Hochdruck, Tiefdruck, Flachdruck, Siebdruck</w:t>
      </w:r>
    </w:p>
    <w:p>
      <w:pPr>
        <w:pStyle w:val="ListBullet"/>
      </w:pPr>
      <w:r>
        <w:t>Radierung: Vorbereitung der Druckplatte, Ätzverfahren, Drucktechnik, Reinigung und Lagerung</w:t>
      </w:r>
    </w:p>
    <w:p>
      <w:pPr>
        <w:pStyle w:val="ListBullet"/>
      </w:pPr>
      <w:r>
        <w:t>Holzschnitt und Linolschnitt: Werkzeugkunde, Schnitttechniken, Farbregisterdruck</w:t>
      </w:r>
    </w:p>
    <w:p>
      <w:pPr>
        <w:pStyle w:val="ListBullet"/>
      </w:pPr>
      <w:r>
        <w:t>Experimentelle Druckgrafik: Mixed-Media-Ansätze, Monotypie, Transferdrucktechniken</w:t>
      </w:r>
    </w:p>
    <w:p>
      <w:pPr>
        <w:pStyle w:val="ListBullet"/>
      </w:pPr>
      <w:r>
        <w:t>Druckwerkstatt-Management: Sicherheitsunterweisung, Gerätepflege, Umgang mit Druckchemikalien</w:t>
      </w:r>
    </w:p>
    <w:p>
      <w:pPr>
        <w:pStyle w:val="ListBullet"/>
      </w:pPr>
      <w:r>
        <w:t>Werkpräsentation und Portfolioaufbau: Dokumentation eigener Arbeiten, Ausstellungsvorbereitung</w:t>
      </w:r>
    </w:p>
    <w:p>
      <w:pPr>
        <w:pStyle w:val="ListBullet"/>
      </w:pPr>
      <w:r>
        <w:t>Einführung in digitale Druckverfahren und deren Kombination mit analogen Techniken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