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760" w:line="264" w:lineRule="auto"/>
        <w:jc w:val="left"/>
      </w:pPr>
      <w:r>
        <w:rPr>
          <w:rFonts w:ascii="Noto Sans CJK SC" w:hAnsi="Noto Sans CJK SC" w:eastAsia="Noto Sans CJK SC"/>
          <w:b/>
          <w:i w:val="0"/>
          <w:color w:val="13B8C4"/>
          <w:sz w:val="19"/>
        </w:rPr>
        <w:t>PRODUCT DEFINITION</w:t>
      </w:r>
    </w:p>
    <w:p>
      <w:pPr>
        <w:keepNext w:val="0"/>
        <w:spacing w:before="0" w:after="40" w:line="264" w:lineRule="auto"/>
        <w:jc w:val="left"/>
      </w:pPr>
      <w:r>
        <w:rPr>
          <w:rFonts w:ascii="Noto Sans CJK SC" w:hAnsi="Noto Sans CJK SC" w:eastAsia="Noto Sans CJK SC"/>
          <w:b/>
          <w:i w:val="0"/>
          <w:color w:val="102A43"/>
          <w:sz w:val="80"/>
        </w:rPr>
        <w:t>STAR</w:t>
      </w:r>
    </w:p>
    <w:p>
      <w:pPr>
        <w:keepNext w:val="0"/>
        <w:spacing w:before="0" w:after="120" w:line="264" w:lineRule="auto"/>
        <w:jc w:val="left"/>
      </w:pPr>
      <w:r>
        <w:rPr>
          <w:rFonts w:ascii="Noto Sans CJK SC" w:hAnsi="Noto Sans CJK SC" w:eastAsia="Noto Sans CJK SC"/>
          <w:b/>
          <w:i w:val="0"/>
          <w:color w:val="13B8C4"/>
          <w:sz w:val="32"/>
        </w:rPr>
        <w:t>Signal · Truth · Alpha · Risk</w:t>
      </w:r>
    </w:p>
    <w:p>
      <w:pPr>
        <w:keepNext w:val="0"/>
        <w:spacing w:before="0" w:after="360" w:line="264" w:lineRule="auto"/>
        <w:jc w:val="left"/>
      </w:pPr>
      <w:r>
        <w:rPr>
          <w:rFonts w:ascii="Noto Sans CJK SC" w:hAnsi="Noto Sans CJK SC" w:eastAsia="Noto Sans CJK SC"/>
          <w:b/>
          <w:i w:val="0"/>
          <w:color w:val="243B53"/>
          <w:sz w:val="38"/>
        </w:rPr>
        <w:t>链上早期机会情报与项目审计系统</w:t>
      </w:r>
    </w:p>
    <w:p>
      <w:pPr>
        <w:keepNext w:val="0"/>
        <w:spacing w:before="0" w:after="520" w:line="300" w:lineRule="auto"/>
        <w:jc w:val="left"/>
        <w:pBdr>
          <w:bottom w:val="single" w:sz="16" w:space="7" w:color="13B8C4"/>
        </w:pBdr>
      </w:pPr>
      <w:r>
        <w:rPr>
          <w:rFonts w:ascii="Noto Sans CJK SC" w:hAnsi="Noto Sans CJK SC" w:eastAsia="Noto Sans CJK SC"/>
          <w:b w:val="0"/>
          <w:i w:val="0"/>
          <w:color w:val="627D98"/>
          <w:sz w:val="25"/>
        </w:rPr>
        <w:t>在叙事成为共识之前发现机会，以可追溯事实排除骗局、拥挤与不可退出的交易。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500"/>
        <w:gridCol w:w="5060"/>
      </w:tblGrid>
      <w:tr>
        <w:trPr>
          <w:tblHeader w:val="true"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版本</w:t>
            </w:r>
          </w:p>
        </w:tc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日期</w:t>
            </w:r>
          </w:p>
        </w:tc>
        <w:tc>
          <w:tcPr>
            <w:tcW w:type="dxa" w:w="50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状态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v1.0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2026-09-02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产品定义 · 待评审</w:t>
            </w:r>
          </w:p>
        </w:tc>
      </w:tr>
    </w:tbl>
    <w:p>
      <w:pPr>
        <w:keepNext w:val="0"/>
        <w:spacing w:before="360" w:after="120" w:line="264" w:lineRule="auto"/>
        <w:jc w:val="left"/>
      </w:pPr>
      <w:r>
        <w:rPr>
          <w:rFonts w:ascii="Noto Sans CJK SC" w:hAnsi="Noto Sans CJK SC" w:eastAsia="Noto Sans CJK SC"/>
          <w:b/>
          <w:i w:val="0"/>
          <w:color w:val="102A43"/>
          <w:sz w:val="20"/>
        </w:rPr>
        <w:t>冻结决策</w:t>
      </w:r>
    </w:p>
    <w:p>
      <w:pPr>
        <w:keepNext w:val="0"/>
        <w:spacing w:before="0" w:after="360" w:line="264" w:lineRule="auto"/>
        <w:jc w:val="left"/>
      </w:pPr>
      <w:r>
        <w:rPr>
          <w:rFonts w:ascii="Noto Sans CJK SC" w:hAnsi="Noto Sans CJK SC" w:eastAsia="Noto Sans CJK SC"/>
          <w:b/>
          <w:i w:val="0"/>
          <w:color w:val="243B53"/>
          <w:sz w:val="21"/>
        </w:rPr>
        <w:t>独立项目  ·  Solana 优先  ·  BNB Chain 第二阶段  ·  只读  ·  不连接钱包  ·  不自动交易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5D6"/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7A5A00"/>
                <w:sz w:val="21"/>
              </w:rPr>
              <w:t>产品底线</w:t>
            </w:r>
          </w:p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20"/>
              </w:rPr>
              <w:t>STAR 不通过热度替代事实，不允许高收益潜力抵消关键安全失败。任何关键事实 UNKNOWN，项目不得进入可决策状态。</w:t>
            </w:r>
          </w:p>
        </w:tc>
      </w:tr>
    </w:tbl>
    <w:p>
      <w:pPr>
        <w:keepNext w:val="0"/>
        <w:spacing w:before="560" w:after="0" w:line="264" w:lineRule="auto"/>
        <w:jc w:val="left"/>
      </w:pPr>
      <w:r>
        <w:rPr>
          <w:rFonts w:ascii="Noto Sans CJK SC" w:hAnsi="Noto Sans CJK SC" w:eastAsia="Noto Sans CJK SC"/>
          <w:b w:val="0"/>
          <w:i/>
          <w:color w:val="627D98"/>
          <w:sz w:val="17"/>
        </w:rPr>
        <w:t>本文件定义 STAR 的产品合同、证据模型、评分边界、用户工作流、数据架构与分阶段验收。它不是投资建议，也不构成自动交易授权。</w:t>
      </w:r>
    </w:p>
    <w:p>
      <w:pPr>
        <w:keepNext/>
        <w:pageBreakBefore/>
        <w:spacing w:before="0" w:after="60" w:line="264" w:lineRule="auto"/>
        <w:jc w:val="left"/>
      </w:pPr>
      <w:r>
        <w:rPr>
          <w:rFonts w:ascii="Noto Sans CJK SC" w:hAnsi="Noto Sans CJK SC" w:eastAsia="Noto Sans CJK SC"/>
          <w:b/>
          <w:i w:val="0"/>
          <w:color w:val="13B8C4"/>
          <w:sz w:val="18"/>
        </w:rPr>
        <w:t>目录  /  PRODUCT DEFINITION</w:t>
      </w:r>
    </w:p>
    <w:p>
      <w:pPr>
        <w:keepNext/>
        <w:spacing w:before="0" w:after="100" w:line="264" w:lineRule="auto"/>
        <w:jc w:val="left"/>
        <w:pBdr>
          <w:bottom w:val="single" w:sz="14" w:space="4" w:color="13B8C4"/>
        </w:pBdr>
      </w:pPr>
      <w:r>
        <w:rPr>
          <w:rFonts w:ascii="Noto Sans CJK SC" w:hAnsi="Noto Sans CJK SC" w:eastAsia="Noto Sans CJK SC"/>
          <w:b/>
          <w:i w:val="0"/>
          <w:color w:val="102A43"/>
          <w:sz w:val="46"/>
        </w:rPr>
        <w:t>文档导航</w:t>
      </w:r>
    </w:p>
    <w:p>
      <w:pPr>
        <w:keepNext w:val="0"/>
        <w:spacing w:before="0" w:after="280" w:line="264" w:lineRule="auto"/>
        <w:jc w:val="left"/>
      </w:pPr>
      <w:r>
        <w:rPr>
          <w:rFonts w:ascii="Noto Sans CJK SC" w:hAnsi="Noto Sans CJK SC" w:eastAsia="Noto Sans CJK SC"/>
          <w:b w:val="0"/>
          <w:i w:val="0"/>
          <w:color w:val="627D98"/>
          <w:sz w:val="22"/>
        </w:rPr>
        <w:t>20 个产品定义章节，从边界、证据和门禁一路落到 MVP 与验收。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500"/>
        <w:gridCol w:w="4360"/>
      </w:tblGrid>
      <w:tr>
        <w:trPr>
          <w:tblHeader w:val="true"/>
        </w:trPr>
        <w:tc>
          <w:tcPr>
            <w:tcW w:type="dxa" w:w="1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02A43"/>
                <w:sz w:val="18"/>
              </w:rPr>
              <w:t>章节</w:t>
            </w:r>
          </w:p>
        </w:tc>
        <w:tc>
          <w:tcPr>
            <w:tcW w:type="dxa" w:w="3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02A43"/>
                <w:sz w:val="18"/>
              </w:rPr>
              <w:t>主题</w:t>
            </w:r>
          </w:p>
        </w:tc>
        <w:tc>
          <w:tcPr>
            <w:tcW w:type="dxa" w:w="4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02A43"/>
                <w:sz w:val="18"/>
              </w:rPr>
              <w:t>核心产出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8"/>
              </w:rPr>
              <w:t>00–03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8"/>
              </w:rPr>
              <w:t>执行摘要、边界、用户、工作流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8"/>
              </w:rPr>
              <w:t>产品合同与晋级流程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8"/>
              </w:rPr>
              <w:t>04–08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8"/>
              </w:rPr>
              <w:t>证据、叙事、门禁、评分、实体图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8"/>
              </w:rPr>
              <w:t>STAR 的判断内核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8"/>
              </w:rPr>
              <w:t>09–11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8"/>
              </w:rPr>
              <w:t>信息架构、关键页面、告警运营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8"/>
              </w:rPr>
              <w:t>第一版产品体验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8"/>
              </w:rPr>
              <w:t>12–14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8"/>
              </w:rPr>
              <w:t>系统架构、开源边界、回放与 Shadow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8"/>
              </w:rPr>
              <w:t>数据与验证闭环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8"/>
              </w:rPr>
              <w:t>15–19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8"/>
              </w:rPr>
              <w:t>指标、路线图、MVP、风险、下一步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8"/>
              </w:rPr>
              <w:t>GO / NO-GO 计划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/>
          <w:b/>
          <w:color w:val="2E74B5"/>
          <w:sz w:val="26"/>
        </w:rPr>
        <w:t>快速阅读路径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02A43"/>
                <w:sz w:val="18"/>
              </w:rPr>
              <w:t>读者</w:t>
            </w:r>
          </w:p>
        </w:tc>
        <w:tc>
          <w:tcPr>
            <w:tcW w:type="dxa" w:w="69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02A43"/>
                <w:sz w:val="18"/>
              </w:rPr>
              <w:t>建议章节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8"/>
              </w:rPr>
              <w:t>产品负责人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8"/>
              </w:rPr>
              <w:t>00 → 01 → 03 → 09 → 15 → 16 → 19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8"/>
              </w:rPr>
              <w:t>研究负责人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8"/>
              </w:rPr>
              <w:t>04 → 05 → 06 → 07 → 08 → 14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8"/>
              </w:rPr>
              <w:t>工程负责人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8"/>
              </w:rPr>
              <w:t>04 → 12 → 13 → 14 → 15 → 17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8"/>
              </w:rPr>
              <w:t>安全/合规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8"/>
              </w:rPr>
              <w:t>01 → 04 → 06 → 08 → 13 → 18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6F8"/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13B8C4"/>
                <w:sz w:val="21"/>
              </w:rPr>
              <w:t>阅读约定</w:t>
            </w:r>
          </w:p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20"/>
              </w:rPr>
              <w:t>文档中的“建议目标”需要由历史语料校准；“冻结决策”与硬安全门禁在下一版变更时必须经过正式评审。</w:t>
            </w:r>
          </w:p>
        </w:tc>
      </w:tr>
    </w:tbl>
    <w:p>
      <w:pPr>
        <w:keepNext/>
        <w:pageBreakBefore/>
        <w:spacing w:before="0" w:after="60" w:line="264" w:lineRule="auto"/>
        <w:jc w:val="left"/>
      </w:pPr>
      <w:r>
        <w:rPr>
          <w:rFonts w:ascii="Noto Sans CJK SC" w:hAnsi="Noto Sans CJK SC" w:eastAsia="Noto Sans CJK SC"/>
          <w:b/>
          <w:i w:val="0"/>
          <w:color w:val="13B8C4"/>
          <w:sz w:val="18"/>
        </w:rPr>
        <w:t>00  /  PRODUCT DEFINITION</w:t>
      </w:r>
    </w:p>
    <w:p>
      <w:pPr>
        <w:keepNext/>
        <w:spacing w:before="0" w:after="100" w:line="264" w:lineRule="auto"/>
        <w:jc w:val="left"/>
        <w:pBdr>
          <w:bottom w:val="single" w:sz="14" w:space="4" w:color="13B8C4"/>
        </w:pBdr>
      </w:pPr>
      <w:r>
        <w:rPr>
          <w:rFonts w:ascii="Noto Sans CJK SC" w:hAnsi="Noto Sans CJK SC" w:eastAsia="Noto Sans CJK SC"/>
          <w:b/>
          <w:i w:val="0"/>
          <w:color w:val="102A43"/>
          <w:sz w:val="46"/>
        </w:rPr>
        <w:t>执行摘要</w:t>
      </w:r>
    </w:p>
    <w:p>
      <w:pPr>
        <w:keepNext w:val="0"/>
        <w:spacing w:before="0" w:after="280" w:line="264" w:lineRule="auto"/>
        <w:jc w:val="left"/>
      </w:pPr>
      <w:r>
        <w:rPr>
          <w:rFonts w:ascii="Noto Sans CJK SC" w:hAnsi="Noto Sans CJK SC" w:eastAsia="Noto Sans CJK SC"/>
          <w:b w:val="0"/>
          <w:i w:val="0"/>
          <w:color w:val="627D98"/>
          <w:sz w:val="22"/>
        </w:rPr>
        <w:t>从周期热点中寻找早期机会，但把“可证明、可进入、可退出”置于热度之前。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E74B5"/>
          <w:sz w:val="26"/>
        </w:rPr>
        <w:t>一句话定义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6F8"/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13B8C4"/>
                <w:sz w:val="21"/>
              </w:rPr>
              <w:t>STAR 的北极星</w:t>
            </w:r>
          </w:p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20"/>
              </w:rPr>
              <w:t>持续发现少数值得研究的链上早期机会，并以时间一致、可追溯的证据排除大多数骗局、伪热度和拥挤交易。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/>
          <w:b/>
          <w:color w:val="2E74B5"/>
          <w:sz w:val="26"/>
        </w:rPr>
        <w:t>为什么现在需要 STAR</w:t>
      </w:r>
    </w:p>
    <w:p>
      <w:pPr>
        <w:keepNext w:val="0"/>
        <w:spacing w:before="0" w:after="120" w:line="264" w:lineRule="auto"/>
        <w:jc w:val="left"/>
      </w:pPr>
      <w:r>
        <w:rPr>
          <w:rFonts w:ascii="Noto Sans CJK SC" w:hAnsi="Noto Sans CJK SC" w:eastAsia="Noto Sans CJK SC"/>
          <w:b w:val="0"/>
          <w:i w:val="0"/>
          <w:color w:val="243B53"/>
          <w:sz w:val="22"/>
        </w:rPr>
        <w:t>每一轮加密周期都会出现具有强财富效应的新叙事：上一轮的铭文、Solana Meme、AI 代币只是案例。真正的优势通常不是杠杆，而是更早识别叙事、更快验证项目真实性、更准确判断筹码与退出条件，并在大众共识形成前完成研究。</w:t>
      </w:r>
    </w:p>
    <w:p>
      <w:pPr>
        <w:numPr>
          <w:ilvl w:val="0"/>
          <w:numId w:val="910"/>
        </w:numPr>
      </w:pPr>
      <w:r>
        <w:rPr>
          <w:rFonts w:ascii="Noto Sans CJK SC" w:hAnsi="Noto Sans CJK SC" w:eastAsia="Noto Sans CJK SC"/>
          <w:color w:val="243B53"/>
          <w:sz w:val="21"/>
        </w:rPr>
        <w:t>信息分散：链上、代码、团队、社交、融资、锁仓和流动性事实散落在不同平台。</w:t>
      </w:r>
    </w:p>
    <w:p>
      <w:pPr>
        <w:numPr>
          <w:ilvl w:val="0"/>
          <w:numId w:val="910"/>
        </w:numPr>
      </w:pPr>
      <w:r>
        <w:rPr>
          <w:rFonts w:ascii="Noto Sans CJK SC" w:hAnsi="Noto Sans CJK SC" w:eastAsia="Noto Sans CJK SC"/>
          <w:color w:val="243B53"/>
          <w:sz w:val="21"/>
        </w:rPr>
        <w:t>噪声与操纵：机器人放量、批量钱包、KOL 先买后喊、假社区和伪锁仓会制造错误信号。</w:t>
      </w:r>
    </w:p>
    <w:p>
      <w:pPr>
        <w:numPr>
          <w:ilvl w:val="0"/>
          <w:numId w:val="910"/>
        </w:numPr>
      </w:pPr>
      <w:r>
        <w:rPr>
          <w:rFonts w:ascii="Noto Sans CJK SC" w:hAnsi="Noto Sans CJK SC" w:eastAsia="Noto Sans CJK SC"/>
          <w:color w:val="243B53"/>
          <w:sz w:val="21"/>
        </w:rPr>
        <w:t>后见之明偏差：很多“成功案例”只在涨完后看起来合理，缺少当时可获得的证据快照。</w:t>
      </w:r>
    </w:p>
    <w:p>
      <w:pPr>
        <w:numPr>
          <w:ilvl w:val="0"/>
          <w:numId w:val="910"/>
        </w:numPr>
      </w:pPr>
      <w:r>
        <w:rPr>
          <w:rFonts w:ascii="Noto Sans CJK SC" w:hAnsi="Noto Sans CJK SC" w:eastAsia="Noto Sans CJK SC"/>
          <w:color w:val="243B53"/>
          <w:sz w:val="21"/>
        </w:rPr>
        <w:t>安全与机会混算：多数评分器让热度抵消合约或流动性风险，产生危险的高分项目。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E74B5"/>
          <w:sz w:val="26"/>
        </w:rPr>
        <w:t>产品承诺与非承诺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02A43"/>
                <w:sz w:val="18"/>
              </w:rPr>
              <w:t>STAR 承诺</w:t>
            </w:r>
          </w:p>
        </w:tc>
        <w:tc>
          <w:tcPr>
            <w:tcW w:type="dxa" w:w="46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02A43"/>
                <w:sz w:val="18"/>
              </w:rPr>
              <w:t>STAR 不承诺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8"/>
              </w:rPr>
              <w:t>更早发现、证据可追溯、风险先过滤、生命周期可解释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8"/>
              </w:rPr>
              <w:t>预测所有百倍币、保证收益、替代人工判断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8"/>
              </w:rPr>
              <w:t>给出事实、推断、未知项和置信度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8"/>
              </w:rPr>
              <w:t>把单一第三方安全分数当成事实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8"/>
              </w:rPr>
              <w:t>历史无前视回放与前向 Shadow 验证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8"/>
              </w:rPr>
              <w:t>在产品早期连接钱包或自动下单</w:t>
            </w:r>
          </w:p>
        </w:tc>
      </w:tr>
    </w:tbl>
    <w:p>
      <w:pPr>
        <w:keepNext/>
        <w:pageBreakBefore/>
        <w:spacing w:before="0" w:after="60" w:line="264" w:lineRule="auto"/>
        <w:jc w:val="left"/>
      </w:pPr>
      <w:r>
        <w:rPr>
          <w:rFonts w:ascii="Noto Sans CJK SC" w:hAnsi="Noto Sans CJK SC" w:eastAsia="Noto Sans CJK SC"/>
          <w:b/>
          <w:i w:val="0"/>
          <w:color w:val="13B8C4"/>
          <w:sz w:val="18"/>
        </w:rPr>
        <w:t>01  /  PRODUCT DEFINITION</w:t>
      </w:r>
    </w:p>
    <w:p>
      <w:pPr>
        <w:keepNext/>
        <w:spacing w:before="0" w:after="100" w:line="264" w:lineRule="auto"/>
        <w:jc w:val="left"/>
        <w:pBdr>
          <w:bottom w:val="single" w:sz="14" w:space="4" w:color="13B8C4"/>
        </w:pBdr>
      </w:pPr>
      <w:r>
        <w:rPr>
          <w:rFonts w:ascii="Noto Sans CJK SC" w:hAnsi="Noto Sans CJK SC" w:eastAsia="Noto Sans CJK SC"/>
          <w:b/>
          <w:i w:val="0"/>
          <w:color w:val="102A43"/>
          <w:sz w:val="46"/>
        </w:rPr>
        <w:t>产品合同与边界</w:t>
      </w:r>
    </w:p>
    <w:p>
      <w:pPr>
        <w:keepNext w:val="0"/>
        <w:spacing w:before="0" w:after="280" w:line="264" w:lineRule="auto"/>
        <w:jc w:val="left"/>
      </w:pPr>
      <w:r>
        <w:rPr>
          <w:rFonts w:ascii="Noto Sans CJK SC" w:hAnsi="Noto Sans CJK SC" w:eastAsia="Noto Sans CJK SC"/>
          <w:b w:val="0"/>
          <w:i w:val="0"/>
          <w:color w:val="627D98"/>
          <w:sz w:val="22"/>
        </w:rPr>
        <w:t>先定义不可跨越的边界，再讨论能力扩展。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E74B5"/>
          <w:sz w:val="26"/>
        </w:rPr>
        <w:t>产品身份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02A43"/>
                <w:sz w:val="18"/>
              </w:rPr>
              <w:t>维度</w:t>
            </w:r>
          </w:p>
        </w:tc>
        <w:tc>
          <w:tcPr>
            <w:tcW w:type="dxa" w:w="74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02A43"/>
                <w:sz w:val="18"/>
              </w:rPr>
              <w:t>定义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8"/>
              </w:rPr>
              <w:t>名称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8"/>
              </w:rPr>
              <w:t>STAR — Signal · Truth · Alpha · Risk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8"/>
              </w:rPr>
              <w:t>中文定位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8"/>
              </w:rPr>
              <w:t>链上早期机会情报与项目审计系统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8"/>
              </w:rPr>
              <w:t>第一目标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8"/>
              </w:rPr>
              <w:t>发现处于早期生命周期、具有可验证催化且具备真实退出条件的项目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8"/>
              </w:rPr>
              <w:t>首发链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8"/>
              </w:rPr>
              <w:t>Solana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8"/>
              </w:rPr>
              <w:t>第二链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8"/>
              </w:rPr>
              <w:t>BNB Chain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8"/>
              </w:rPr>
              <w:t>运行模式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8"/>
              </w:rPr>
              <w:t>只读研究；不连接钱包；不签名；不提交交易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8"/>
              </w:rPr>
              <w:t>部署关系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8"/>
              </w:rPr>
              <w:t>独立仓库、独立数据库、独立配置、独立 CI/CD；与 AURORA 零共享运行依赖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/>
          <w:b/>
          <w:color w:val="2E74B5"/>
          <w:sz w:val="26"/>
        </w:rPr>
        <w:t>明确排除</w:t>
      </w:r>
    </w:p>
    <w:p>
      <w:pPr>
        <w:numPr>
          <w:ilvl w:val="0"/>
          <w:numId w:val="910"/>
        </w:numPr>
      </w:pPr>
      <w:r>
        <w:rPr>
          <w:rFonts w:ascii="Noto Sans CJK SC" w:hAnsi="Noto Sans CJK SC" w:eastAsia="Noto Sans CJK SC"/>
          <w:color w:val="243B53"/>
          <w:sz w:val="21"/>
        </w:rPr>
        <w:t>不做狙击机器人、跟单机器人、MEV、自动交易或私钥托管。</w:t>
      </w:r>
    </w:p>
    <w:p>
      <w:pPr>
        <w:numPr>
          <w:ilvl w:val="0"/>
          <w:numId w:val="910"/>
        </w:numPr>
      </w:pPr>
      <w:r>
        <w:rPr>
          <w:rFonts w:ascii="Noto Sans CJK SC" w:hAnsi="Noto Sans CJK SC" w:eastAsia="Noto Sans CJK SC"/>
          <w:color w:val="243B53"/>
          <w:sz w:val="21"/>
        </w:rPr>
        <w:t>不把社交热度、名人提及或短时涨幅直接解释为正向价值。</w:t>
      </w:r>
    </w:p>
    <w:p>
      <w:pPr>
        <w:numPr>
          <w:ilvl w:val="0"/>
          <w:numId w:val="910"/>
        </w:numPr>
      </w:pPr>
      <w:r>
        <w:rPr>
          <w:rFonts w:ascii="Noto Sans CJK SC" w:hAnsi="Noto Sans CJK SC" w:eastAsia="Noto Sans CJK SC"/>
          <w:color w:val="243B53"/>
          <w:sz w:val="21"/>
        </w:rPr>
        <w:t>不承诺以“AI 黑箱”替代证据；模型输出必须能追溯到原始观察。</w:t>
      </w:r>
    </w:p>
    <w:p>
      <w:pPr>
        <w:numPr>
          <w:ilvl w:val="0"/>
          <w:numId w:val="910"/>
        </w:numPr>
      </w:pPr>
      <w:r>
        <w:rPr>
          <w:rFonts w:ascii="Noto Sans CJK SC" w:hAnsi="Noto Sans CJK SC" w:eastAsia="Noto Sans CJK SC"/>
          <w:color w:val="243B53"/>
          <w:sz w:val="21"/>
        </w:rPr>
        <w:t>不在 MVP 阶段铺设多链空壳；Solana 闭环通过后才进入 BNB Chain。</w:t>
      </w:r>
    </w:p>
    <w:p>
      <w:pPr>
        <w:numPr>
          <w:ilvl w:val="0"/>
          <w:numId w:val="910"/>
        </w:numPr>
      </w:pPr>
      <w:r>
        <w:rPr>
          <w:rFonts w:ascii="Noto Sans CJK SC" w:hAnsi="Noto Sans CJK SC" w:eastAsia="Noto Sans CJK SC"/>
          <w:color w:val="243B53"/>
          <w:sz w:val="21"/>
        </w:rPr>
        <w:t>不复用 AURORA 的执行、风控、配置、数据库或进程。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DECEC"/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9B1C1C"/>
                <w:sz w:val="21"/>
              </w:rPr>
              <w:t>架构隔离原则</w:t>
            </w:r>
          </w:p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20"/>
              </w:rPr>
              <w:t>STAR 与 AURORA 可以共享人的认知，但不能共享代码导入、密钥、账本、部署单元或运行状态。未来若产生研究信号，也只能经版本化、只读接口对外发布。</w:t>
            </w:r>
          </w:p>
        </w:tc>
      </w:tr>
    </w:tbl>
    <w:p>
      <w:pPr>
        <w:keepNext/>
        <w:pageBreakBefore w:val="0"/>
        <w:spacing w:before="0" w:after="60" w:line="264" w:lineRule="auto"/>
        <w:jc w:val="left"/>
      </w:pPr>
      <w:r>
        <w:rPr>
          <w:rFonts w:ascii="Noto Sans CJK SC" w:hAnsi="Noto Sans CJK SC" w:eastAsia="Noto Sans CJK SC"/>
          <w:b/>
          <w:i w:val="0"/>
          <w:color w:val="13B8C4"/>
          <w:sz w:val="18"/>
        </w:rPr>
        <w:t>02  /  PRODUCT DEFINITION</w:t>
      </w:r>
    </w:p>
    <w:p>
      <w:pPr>
        <w:keepNext/>
        <w:spacing w:before="0" w:after="100" w:line="264" w:lineRule="auto"/>
        <w:jc w:val="left"/>
        <w:pBdr>
          <w:bottom w:val="single" w:sz="14" w:space="4" w:color="13B8C4"/>
        </w:pBdr>
      </w:pPr>
      <w:r>
        <w:rPr>
          <w:rFonts w:ascii="Noto Sans CJK SC" w:hAnsi="Noto Sans CJK SC" w:eastAsia="Noto Sans CJK SC"/>
          <w:b/>
          <w:i w:val="0"/>
          <w:color w:val="102A43"/>
          <w:sz w:val="46"/>
        </w:rPr>
        <w:t>目标用户与核心任务</w:t>
      </w:r>
    </w:p>
    <w:p>
      <w:pPr>
        <w:keepNext w:val="0"/>
        <w:spacing w:before="0" w:after="280" w:line="264" w:lineRule="auto"/>
        <w:jc w:val="left"/>
      </w:pPr>
      <w:r>
        <w:rPr>
          <w:rFonts w:ascii="Noto Sans CJK SC" w:hAnsi="Noto Sans CJK SC" w:eastAsia="Noto Sans CJK SC"/>
          <w:b w:val="0"/>
          <w:i w:val="0"/>
          <w:color w:val="627D98"/>
          <w:sz w:val="22"/>
        </w:rPr>
        <w:t>首期面向一个小型研究团队，但把角色权限设计清楚。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3480"/>
        <w:gridCol w:w="4280"/>
      </w:tblGrid>
      <w:tr>
        <w:trPr>
          <w:tblHeader w:val="true"/>
        </w:trPr>
        <w:tc>
          <w:tcPr>
            <w:tcW w:type="dxa" w:w="1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角色</w:t>
            </w:r>
          </w:p>
        </w:tc>
        <w:tc>
          <w:tcPr>
            <w:tcW w:type="dxa" w:w="34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核心问题</w:t>
            </w:r>
          </w:p>
        </w:tc>
        <w:tc>
          <w:tcPr>
            <w:tcW w:type="dxa" w:w="42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需要的输出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投资决策者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现在值得投入研究精力的主题和项目是什么？</w:t>
            </w:r>
          </w:p>
        </w:tc>
        <w:tc>
          <w:tcPr>
            <w:tcW w:type="dxa" w:w="4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Top-K 候选、证据摘要、否决项、生命周期、退出风险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叙事研究员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新叙事是否真正扩散，还是少数账号制造？</w:t>
            </w:r>
          </w:p>
        </w:tc>
        <w:tc>
          <w:tcPr>
            <w:tcW w:type="dxa" w:w="4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语义簇、独立作者、增速、跨链/链上确认、来源谱系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项目审计员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合约、筹码、团队、锁仓和流动性是否可信？</w:t>
            </w:r>
          </w:p>
        </w:tc>
        <w:tc>
          <w:tcPr>
            <w:tcW w:type="dxa" w:w="4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审计卡、钱包图、关键 UNKNOWN、事实变化告警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数据运营员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数据是否完整、延迟、冲突或被供应商污染？</w:t>
            </w:r>
          </w:p>
        </w:tc>
        <w:tc>
          <w:tcPr>
            <w:tcW w:type="dxa" w:w="4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数据健康、来源 SLA、回放一致性、证据覆盖率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/>
          <w:b/>
          <w:color w:val="2E74B5"/>
          <w:sz w:val="26"/>
        </w:rPr>
        <w:t>首期核心 Job-to-be-Done</w:t>
      </w:r>
    </w:p>
    <w:p>
      <w:pPr>
        <w:numPr>
          <w:ilvl w:val="0"/>
          <w:numId w:val="911"/>
        </w:numPr>
      </w:pPr>
      <w:r>
        <w:rPr>
          <w:rFonts w:ascii="Noto Sans CJK SC" w:hAnsi="Noto Sans CJK SC" w:eastAsia="Noto Sans CJK SC"/>
          <w:color w:val="243B53"/>
          <w:sz w:val="21"/>
        </w:rPr>
        <w:t>每天在 15 分钟内知道：哪些链、哪些叙事、哪些项目值得新增研究。</w:t>
      </w:r>
    </w:p>
    <w:p>
      <w:pPr>
        <w:numPr>
          <w:ilvl w:val="0"/>
          <w:numId w:val="911"/>
        </w:numPr>
      </w:pPr>
      <w:r>
        <w:rPr>
          <w:rFonts w:ascii="Noto Sans CJK SC" w:hAnsi="Noto Sans CJK SC" w:eastAsia="Noto Sans CJK SC"/>
          <w:color w:val="243B53"/>
          <w:sz w:val="21"/>
        </w:rPr>
        <w:t>打开项目卡后在 5 分钟内知道：通过了什么、失败了什么、还有什么不知道。</w:t>
      </w:r>
    </w:p>
    <w:p>
      <w:pPr>
        <w:numPr>
          <w:ilvl w:val="0"/>
          <w:numId w:val="911"/>
        </w:numPr>
      </w:pPr>
      <w:r>
        <w:rPr>
          <w:rFonts w:ascii="Noto Sans CJK SC" w:hAnsi="Noto Sans CJK SC" w:eastAsia="Noto Sans CJK SC"/>
          <w:color w:val="243B53"/>
          <w:sz w:val="21"/>
        </w:rPr>
        <w:t>任何关键事实变化后在 60 秒至 5 分钟内收到可行动告警，而非重复噪声。</w:t>
      </w:r>
    </w:p>
    <w:p>
      <w:pPr>
        <w:numPr>
          <w:ilvl w:val="0"/>
          <w:numId w:val="911"/>
        </w:numPr>
      </w:pPr>
      <w:r>
        <w:rPr>
          <w:rFonts w:ascii="Noto Sans CJK SC" w:hAnsi="Noto Sans CJK SC" w:eastAsia="Noto Sans CJK SC"/>
          <w:color w:val="243B53"/>
          <w:sz w:val="21"/>
        </w:rPr>
        <w:t>用当时可见的数据回放历史周期，验证系统是否真的提前，而非事后解释。</w:t>
      </w:r>
    </w:p>
    <w:p>
      <w:pPr>
        <w:numPr>
          <w:ilvl w:val="0"/>
          <w:numId w:val="911"/>
        </w:numPr>
      </w:pPr>
      <w:r>
        <w:rPr>
          <w:rFonts w:ascii="Noto Sans CJK SC" w:hAnsi="Noto Sans CJK SC" w:eastAsia="Noto Sans CJK SC"/>
          <w:color w:val="243B53"/>
          <w:sz w:val="21"/>
        </w:rPr>
        <w:t>在前向 Shadow 中验证发现质量、风险拦截率和可退出性，仍不触碰资金。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E74B5"/>
          <w:sz w:val="26"/>
        </w:rPr>
        <w:t>第一版权限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1500"/>
        <w:gridCol w:w="1700"/>
        <w:gridCol w:w="1700"/>
        <w:gridCol w:w="1760"/>
      </w:tblGrid>
      <w:tr>
        <w:trPr>
          <w:tblHeader w:val="true"/>
        </w:trP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能力</w:t>
            </w:r>
          </w:p>
        </w:tc>
        <w:tc>
          <w:tcPr>
            <w:tcW w:type="dxa" w:w="1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Reader</w:t>
            </w:r>
          </w:p>
        </w:tc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Analyst</w:t>
            </w:r>
          </w:p>
        </w:tc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Approver</w:t>
            </w:r>
          </w:p>
        </w:tc>
        <w:tc>
          <w:tcPr>
            <w:tcW w:type="dxa" w:w="17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Operator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查看事实与评分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✓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✓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✓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✓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新增研究备注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—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✓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✓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✓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更改项目状态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—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建议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批准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维护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更改评分规则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—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—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批准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发布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数据源配置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—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—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—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✓</w:t>
            </w:r>
          </w:p>
        </w:tc>
      </w:tr>
    </w:tbl>
    <w:p>
      <w:pPr>
        <w:keepNext/>
        <w:pageBreakBefore w:val="0"/>
        <w:spacing w:before="0" w:after="60" w:line="264" w:lineRule="auto"/>
        <w:jc w:val="left"/>
      </w:pPr>
      <w:r>
        <w:rPr>
          <w:rFonts w:ascii="Noto Sans CJK SC" w:hAnsi="Noto Sans CJK SC" w:eastAsia="Noto Sans CJK SC"/>
          <w:b/>
          <w:i w:val="0"/>
          <w:color w:val="13B8C4"/>
          <w:sz w:val="18"/>
        </w:rPr>
        <w:t>03  /  PRODUCT DEFINITION</w:t>
      </w:r>
    </w:p>
    <w:p>
      <w:pPr>
        <w:keepNext/>
        <w:spacing w:before="0" w:after="100" w:line="264" w:lineRule="auto"/>
        <w:jc w:val="left"/>
        <w:pBdr>
          <w:bottom w:val="single" w:sz="14" w:space="4" w:color="13B8C4"/>
        </w:pBdr>
      </w:pPr>
      <w:r>
        <w:rPr>
          <w:rFonts w:ascii="Noto Sans CJK SC" w:hAnsi="Noto Sans CJK SC" w:eastAsia="Noto Sans CJK SC"/>
          <w:b/>
          <w:i w:val="0"/>
          <w:color w:val="102A43"/>
          <w:sz w:val="46"/>
        </w:rPr>
        <w:t>端到端产品工作流</w:t>
      </w:r>
    </w:p>
    <w:p>
      <w:pPr>
        <w:keepNext w:val="0"/>
        <w:spacing w:before="0" w:after="280" w:line="264" w:lineRule="auto"/>
        <w:jc w:val="left"/>
      </w:pPr>
      <w:r>
        <w:rPr>
          <w:rFonts w:ascii="Noto Sans CJK SC" w:hAnsi="Noto Sans CJK SC" w:eastAsia="Noto Sans CJK SC"/>
          <w:b w:val="0"/>
          <w:i w:val="0"/>
          <w:color w:val="627D98"/>
          <w:sz w:val="22"/>
        </w:rPr>
        <w:t>从周期雷达到证据决策，再到无资金的验证闭环。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E74B5"/>
          <w:sz w:val="26"/>
        </w:rPr>
        <w:t>标准工作流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3300"/>
        <w:gridCol w:w="2500"/>
        <w:gridCol w:w="2360"/>
      </w:tblGrid>
      <w:tr>
        <w:trPr>
          <w:tblHeader w:val="true"/>
        </w:trPr>
        <w:tc>
          <w:tcPr>
            <w:tcW w:type="dxa" w:w="1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阶段</w:t>
            </w:r>
          </w:p>
        </w:tc>
        <w:tc>
          <w:tcPr>
            <w:tcW w:type="dxa" w:w="3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系统动作</w:t>
            </w:r>
          </w:p>
        </w:tc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人工动作</w:t>
            </w:r>
          </w:p>
        </w:tc>
        <w:tc>
          <w:tcPr>
            <w:tcW w:type="dxa" w:w="2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输出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1 周期雷达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计算链上活跃、资本流、DEX 新池与叙事变化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确认宏观环境与关注链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Chain Watchlist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2 叙事发现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聚类新概念并识别增速、广度与独立传播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合并别名、标注伪叙事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Narrative Card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3 项目发现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将合约、代币、池、代码仓、团队与叙事关联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确认项目身份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Project Candidate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4 事实核验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抓取链上/代码/团队/融资/社交证据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处理冲突与 UNKNOWN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Evidence Graph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5 风险门禁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执行不可抵消的安全检查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批准例外或保持拒绝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PASS / FAIL / UNKNOWN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6 机会评估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计算机会分、置信度、数据新鲜度与生命周期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形成研究结论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Decision Brief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7 观察验证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进入 Watchlist / Shadow，持续监控事实变化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复盘误判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Performance &amp; Learning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/>
          <w:b/>
          <w:color w:val="2E74B5"/>
          <w:sz w:val="26"/>
        </w:rPr>
        <w:t>晋级规则</w:t>
      </w:r>
    </w:p>
    <w:p>
      <w:pPr>
        <w:numPr>
          <w:ilvl w:val="0"/>
          <w:numId w:val="910"/>
        </w:numPr>
      </w:pPr>
      <w:r>
        <w:rPr>
          <w:rFonts w:ascii="Noto Sans CJK SC" w:hAnsi="Noto Sans CJK SC" w:eastAsia="Noto Sans CJK SC"/>
          <w:color w:val="243B53"/>
          <w:sz w:val="21"/>
        </w:rPr>
        <w:t>发现 ≠ 推荐：新项目先进入 DISCOVERED，不立即显示为可决策。</w:t>
      </w:r>
    </w:p>
    <w:p>
      <w:pPr>
        <w:numPr>
          <w:ilvl w:val="0"/>
          <w:numId w:val="910"/>
        </w:numPr>
      </w:pPr>
      <w:r>
        <w:rPr>
          <w:rFonts w:ascii="Noto Sans CJK SC" w:hAnsi="Noto Sans CJK SC" w:eastAsia="Noto Sans CJK SC"/>
          <w:color w:val="243B53"/>
          <w:sz w:val="21"/>
        </w:rPr>
        <w:t>关键风险 UNKNOWN ≠ PASS：关键字段缺失时只能进入 RESEARCH_REQUIRED。</w:t>
      </w:r>
    </w:p>
    <w:p>
      <w:pPr>
        <w:numPr>
          <w:ilvl w:val="0"/>
          <w:numId w:val="910"/>
        </w:numPr>
      </w:pPr>
      <w:r>
        <w:rPr>
          <w:rFonts w:ascii="Noto Sans CJK SC" w:hAnsi="Noto Sans CJK SC" w:eastAsia="Noto Sans CJK SC"/>
          <w:color w:val="243B53"/>
          <w:sz w:val="21"/>
        </w:rPr>
        <w:t>安全门禁 PASS 后才计算机会得分；二者永远不相加。</w:t>
      </w:r>
    </w:p>
    <w:p>
      <w:pPr>
        <w:numPr>
          <w:ilvl w:val="0"/>
          <w:numId w:val="910"/>
        </w:numPr>
      </w:pPr>
      <w:r>
        <w:rPr>
          <w:rFonts w:ascii="Noto Sans CJK SC" w:hAnsi="Noto Sans CJK SC" w:eastAsia="Noto Sans CJK SC"/>
          <w:color w:val="243B53"/>
          <w:sz w:val="21"/>
        </w:rPr>
        <w:t>机会得分高但生命周期已进入 CROWDING，默认禁止新增进入。</w:t>
      </w:r>
    </w:p>
    <w:p>
      <w:pPr>
        <w:numPr>
          <w:ilvl w:val="0"/>
          <w:numId w:val="910"/>
        </w:numPr>
      </w:pPr>
      <w:r>
        <w:rPr>
          <w:rFonts w:ascii="Noto Sans CJK SC" w:hAnsi="Noto Sans CJK SC" w:eastAsia="Noto Sans CJK SC"/>
          <w:color w:val="243B53"/>
          <w:sz w:val="21"/>
        </w:rPr>
        <w:t>所有状态变化都记录规则版本、证据快照、操作者与时间。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6F8"/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13B8C4"/>
                <w:sz w:val="21"/>
              </w:rPr>
              <w:t>Decision Readiness</w:t>
            </w:r>
          </w:p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20"/>
              </w:rPr>
              <w:t>可决策性 = Gate Status × Evidence Completeness × Opportunity Score × Lifecycle Fit。这里的“×”表示任何关键维度为零都会阻断，不是简单加权平均。</w:t>
            </w:r>
          </w:p>
        </w:tc>
      </w:tr>
    </w:tbl>
    <w:p>
      <w:pPr>
        <w:keepNext/>
        <w:pageBreakBefore/>
        <w:spacing w:before="0" w:after="60" w:line="264" w:lineRule="auto"/>
        <w:jc w:val="left"/>
      </w:pPr>
      <w:r>
        <w:rPr>
          <w:rFonts w:ascii="Noto Sans CJK SC" w:hAnsi="Noto Sans CJK SC" w:eastAsia="Noto Sans CJK SC"/>
          <w:b/>
          <w:i w:val="0"/>
          <w:color w:val="13B8C4"/>
          <w:sz w:val="18"/>
        </w:rPr>
        <w:t>04  /  PRODUCT DEFINITION</w:t>
      </w:r>
    </w:p>
    <w:p>
      <w:pPr>
        <w:keepNext/>
        <w:spacing w:before="0" w:after="100" w:line="264" w:lineRule="auto"/>
        <w:jc w:val="left"/>
        <w:pBdr>
          <w:bottom w:val="single" w:sz="14" w:space="4" w:color="13B8C4"/>
        </w:pBdr>
      </w:pPr>
      <w:r>
        <w:rPr>
          <w:rFonts w:ascii="Noto Sans CJK SC" w:hAnsi="Noto Sans CJK SC" w:eastAsia="Noto Sans CJK SC"/>
          <w:b/>
          <w:i w:val="0"/>
          <w:color w:val="102A43"/>
          <w:sz w:val="46"/>
        </w:rPr>
        <w:t>核心对象与证据模型</w:t>
      </w:r>
    </w:p>
    <w:p>
      <w:pPr>
        <w:keepNext w:val="0"/>
        <w:spacing w:before="0" w:after="280" w:line="264" w:lineRule="auto"/>
        <w:jc w:val="left"/>
      </w:pPr>
      <w:r>
        <w:rPr>
          <w:rFonts w:ascii="Noto Sans CJK SC" w:hAnsi="Noto Sans CJK SC" w:eastAsia="Noto Sans CJK SC"/>
          <w:b w:val="0"/>
          <w:i w:val="0"/>
          <w:color w:val="627D98"/>
          <w:sz w:val="22"/>
        </w:rPr>
        <w:t>把事实、主张、推断和评分拆开，避免系统把猜测存成真相。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E74B5"/>
          <w:sz w:val="26"/>
        </w:rPr>
        <w:t>领域对象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300"/>
        <w:gridCol w:w="4560"/>
      </w:tblGrid>
      <w:tr>
        <w:trPr>
          <w:tblHeader w:val="true"/>
        </w:trPr>
        <w:tc>
          <w:tcPr>
            <w:tcW w:type="dxa" w:w="1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对象组</w:t>
            </w:r>
          </w:p>
        </w:tc>
        <w:tc>
          <w:tcPr>
            <w:tcW w:type="dxa" w:w="3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核心对象</w:t>
            </w:r>
          </w:p>
        </w:tc>
        <w:tc>
          <w:tcPr>
            <w:tcW w:type="dxa" w:w="45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市场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Chain, Block, DEX, Pool, PriceObservation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链、区块、流动性与可成交事实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资产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Project, Token, Contract/Program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项目身份与链上部署分离建模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主体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Wallet, Entity, TeamMember, SocialAccount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地址不是人；Entity 是带置信度的归因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叙事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Narrative, TopicCluster, Catalyst, LifecycleTransition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语义簇、事件与阶段演化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证据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Source, Observation, Evidence, Claim, Contradiction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原始观察与解释分层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风控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RiskFinding, GateResult, AuditSnapshot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不可抵消的失败/未知项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决策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ScoreSnapshot, Decision, WatchlistItem, ShadowPosition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版本化评分和无资金验证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/>
          <w:b/>
          <w:color w:val="2E74B5"/>
          <w:sz w:val="26"/>
        </w:rPr>
        <w:t>事实的三重时间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100"/>
        <w:gridCol w:w="3460"/>
      </w:tblGrid>
      <w:tr>
        <w:trPr>
          <w:tblHeader w:val="true"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02A43"/>
                <w:sz w:val="18"/>
              </w:rPr>
              <w:t>字段</w:t>
            </w:r>
          </w:p>
        </w:tc>
        <w:tc>
          <w:tcPr>
            <w:tcW w:type="dxa" w:w="4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02A43"/>
                <w:sz w:val="18"/>
              </w:rPr>
              <w:t>含义</w:t>
            </w:r>
          </w:p>
        </w:tc>
        <w:tc>
          <w:tcPr>
            <w:tcW w:type="dxa" w:w="34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02A43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8"/>
              </w:rPr>
              <w:t>effective_at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8"/>
              </w:rPr>
              <w:t>事实在现实或链上生效的时间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8"/>
              </w:rPr>
              <w:t>判断项目当时真实状态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8"/>
              </w:rPr>
              <w:t>observed_at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8"/>
              </w:rPr>
              <w:t>STAR 或来源第一次观察到该事实的时间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8"/>
              </w:rPr>
              <w:t>禁止回放使用未来信息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8"/>
              </w:rPr>
              <w:t>ingested_at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8"/>
              </w:rPr>
              <w:t>数据进入 STAR 的时间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8"/>
              </w:rPr>
              <w:t>审计延迟、重放与供应商 SLA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/>
          <w:b/>
          <w:color w:val="2E74B5"/>
          <w:sz w:val="26"/>
        </w:rPr>
        <w:t>Claim / Evidence / Inference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4100"/>
        <w:gridCol w:w="3560"/>
      </w:tblGrid>
      <w:tr>
        <w:trPr>
          <w:tblHeader w:val="true"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02A43"/>
                <w:sz w:val="18"/>
              </w:rPr>
              <w:t>层</w:t>
            </w:r>
          </w:p>
        </w:tc>
        <w:tc>
          <w:tcPr>
            <w:tcW w:type="dxa" w:w="4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02A43"/>
                <w:sz w:val="18"/>
              </w:rPr>
              <w:t>示例</w:t>
            </w:r>
          </w:p>
        </w:tc>
        <w:tc>
          <w:tcPr>
            <w:tcW w:type="dxa" w:w="35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02A43"/>
                <w:sz w:val="18"/>
              </w:rPr>
              <w:t>规则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8"/>
              </w:rPr>
              <w:t>Claim 主张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8"/>
              </w:rPr>
              <w:t>“团队代币锁仓 12 个月”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8"/>
              </w:rPr>
              <w:t>必须可被证据支持或反驳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8"/>
              </w:rPr>
              <w:t>Evidence 证据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8"/>
              </w:rPr>
              <w:t>链上 vesting 合约、交易哈希、官方条款快照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8"/>
              </w:rPr>
              <w:t>保存来源、哈希、时间与原文片段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8"/>
              </w:rPr>
              <w:t>Inference 推断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8"/>
              </w:rPr>
              <w:t>“短期团队抛压较低”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8"/>
              </w:rPr>
              <w:t>必须标注模型/规则版本、置信度和反例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DECEC"/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9B1C1C"/>
                <w:sz w:val="21"/>
              </w:rPr>
              <w:t>点时证据原则</w:t>
            </w:r>
          </w:p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20"/>
              </w:rPr>
              <w:t>历史回放只允许使用 observed_at 不晚于回放时点的证据。今天知道的团队身份、锁仓解除或跑路结果，不能倒灌到过去。</w:t>
            </w:r>
          </w:p>
        </w:tc>
      </w:tr>
    </w:tbl>
    <w:p>
      <w:pPr>
        <w:keepNext/>
        <w:pageBreakBefore w:val="0"/>
        <w:spacing w:before="0" w:after="60" w:line="264" w:lineRule="auto"/>
        <w:jc w:val="left"/>
      </w:pPr>
      <w:r>
        <w:rPr>
          <w:rFonts w:ascii="Noto Sans CJK SC" w:hAnsi="Noto Sans CJK SC" w:eastAsia="Noto Sans CJK SC"/>
          <w:b/>
          <w:i w:val="0"/>
          <w:color w:val="13B8C4"/>
          <w:sz w:val="18"/>
        </w:rPr>
        <w:t>05  /  PRODUCT DEFINITION</w:t>
      </w:r>
    </w:p>
    <w:p>
      <w:pPr>
        <w:keepNext/>
        <w:spacing w:before="0" w:after="100" w:line="264" w:lineRule="auto"/>
        <w:jc w:val="left"/>
        <w:pBdr>
          <w:bottom w:val="single" w:sz="14" w:space="4" w:color="13B8C4"/>
        </w:pBdr>
      </w:pPr>
      <w:r>
        <w:rPr>
          <w:rFonts w:ascii="Noto Sans CJK SC" w:hAnsi="Noto Sans CJK SC" w:eastAsia="Noto Sans CJK SC"/>
          <w:b/>
          <w:i w:val="0"/>
          <w:color w:val="102A43"/>
          <w:sz w:val="46"/>
        </w:rPr>
        <w:t>叙事引擎与生命周期</w:t>
      </w:r>
    </w:p>
    <w:p>
      <w:pPr>
        <w:keepNext w:val="0"/>
        <w:spacing w:before="0" w:after="280" w:line="264" w:lineRule="auto"/>
        <w:jc w:val="left"/>
      </w:pPr>
      <w:r>
        <w:rPr>
          <w:rFonts w:ascii="Noto Sans CJK SC" w:hAnsi="Noto Sans CJK SC" w:eastAsia="Noto Sans CJK SC"/>
          <w:b w:val="0"/>
          <w:i w:val="0"/>
          <w:color w:val="627D98"/>
          <w:sz w:val="22"/>
        </w:rPr>
        <w:t>STAR 要识别“正在形成的共识”，而不是复述已经发生的上涨。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E74B5"/>
          <w:sz w:val="26"/>
        </w:rPr>
        <w:t>叙事评分输入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3800"/>
        <w:gridCol w:w="4110"/>
      </w:tblGrid>
      <w:tr>
        <w:trPr>
          <w:tblHeader w:val="true"/>
        </w:trPr>
        <w:tc>
          <w:tcPr>
            <w:tcW w:type="dxa" w:w="1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维度</w:t>
            </w:r>
          </w:p>
        </w:tc>
        <w:tc>
          <w:tcPr>
            <w:tcW w:type="dxa" w:w="3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正向信号</w:t>
            </w:r>
          </w:p>
        </w:tc>
        <w:tc>
          <w:tcPr>
            <w:tcW w:type="dxa" w:w="41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操纵防线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新颖性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新语义簇、旧叙事的新可验证催化</w:t>
            </w:r>
          </w:p>
        </w:tc>
        <w:tc>
          <w:tcPr>
            <w:tcW w:type="dxa" w:w="4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与历史语料去重；禁止同义改名刷榜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速度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独立来源与高质量作者的增速</w:t>
            </w:r>
          </w:p>
        </w:tc>
        <w:tc>
          <w:tcPr>
            <w:tcW w:type="dxa" w:w="4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机器人/复制文案降权；按实体而非账号计数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广度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开发者、交易者、媒体、链上资金多群体扩散</w:t>
            </w:r>
          </w:p>
        </w:tc>
        <w:tc>
          <w:tcPr>
            <w:tcW w:type="dxa" w:w="4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单一 KOL 或单群体不得构成广度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链上确认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新项目、新池、活跃地址、资金流同步出现</w:t>
            </w:r>
          </w:p>
        </w:tc>
        <w:tc>
          <w:tcPr>
            <w:tcW w:type="dxa" w:w="4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剔除女巫集群、刷量和内部转账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项目存活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同叙事项目在 7/30/90 天仍有开发与流动性</w:t>
            </w:r>
          </w:p>
        </w:tc>
        <w:tc>
          <w:tcPr>
            <w:tcW w:type="dxa" w:w="4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失败样本进入负反馈，不只保留赢家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/>
          <w:b/>
          <w:color w:val="2E74B5"/>
          <w:sz w:val="26"/>
        </w:rPr>
        <w:t>生命周期状态机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4600"/>
        <w:gridCol w:w="3060"/>
      </w:tblGrid>
      <w:tr>
        <w:trPr>
          <w:tblHeader w:val="true"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阶段</w:t>
            </w:r>
          </w:p>
        </w:tc>
        <w:tc>
          <w:tcPr>
            <w:tcW w:type="dxa" w:w="4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判定信号</w:t>
            </w:r>
          </w:p>
        </w:tc>
        <w:tc>
          <w:tcPr>
            <w:tcW w:type="dxa" w:w="30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产品动作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SEED 种子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小规模高质量来源出现，链上确认有限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观察；收集身份与催化证据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IGNITION 点火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传播速度上升，链上新项目/资金开始确认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新增候选；提高研究优先级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VERIFIED 验证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叙事与多项链上事实相互印证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允许通过门禁的项目进入 Shadow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ACCELERATION 加速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资本、用户、开发与传播持续扩张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重点监控持仓集中、流动性和异常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CROWDING 拥挤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大众关注、估值和拥挤指标显著上升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默认停止新增；转向退出风险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DISTRIBUTION 派发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聪明钱/团队净流出、成交结构恶化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高危告警；复盘先行指标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DEAD 失效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活跃、流动性或叙事持续衰减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归档为正/负样本</w:t>
            </w:r>
          </w:p>
        </w:tc>
      </w:tr>
    </w:tbl>
    <w:p>
      <w:pPr>
        <w:keepNext w:val="0"/>
        <w:spacing w:before="0" w:after="120" w:line="264" w:lineRule="auto"/>
        <w:jc w:val="left"/>
      </w:pPr>
      <w:r>
        <w:rPr>
          <w:rFonts w:ascii="Noto Sans CJK SC" w:hAnsi="Noto Sans CJK SC" w:eastAsia="Noto Sans CJK SC"/>
          <w:b w:val="0"/>
          <w:i/>
          <w:color w:val="627D98"/>
          <w:sz w:val="20"/>
        </w:rPr>
        <w:t>状态切换采用滞回：晋级与降级使用不同阈值，并要求最短确认窗口，减少社交事件造成的来回抖动。名人提及属于 Catalyst，不是自动加分项。</w:t>
      </w:r>
    </w:p>
    <w:p>
      <w:pPr>
        <w:keepNext/>
        <w:pageBreakBefore/>
        <w:spacing w:before="0" w:after="60" w:line="264" w:lineRule="auto"/>
        <w:jc w:val="left"/>
      </w:pPr>
      <w:r>
        <w:rPr>
          <w:rFonts w:ascii="Noto Sans CJK SC" w:hAnsi="Noto Sans CJK SC" w:eastAsia="Noto Sans CJK SC"/>
          <w:b/>
          <w:i w:val="0"/>
          <w:color w:val="13B8C4"/>
          <w:sz w:val="18"/>
        </w:rPr>
        <w:t>06  /  PRODUCT DEFINITION</w:t>
      </w:r>
    </w:p>
    <w:p>
      <w:pPr>
        <w:keepNext/>
        <w:spacing w:before="0" w:after="100" w:line="264" w:lineRule="auto"/>
        <w:jc w:val="left"/>
        <w:pBdr>
          <w:bottom w:val="single" w:sz="14" w:space="4" w:color="13B8C4"/>
        </w:pBdr>
      </w:pPr>
      <w:r>
        <w:rPr>
          <w:rFonts w:ascii="Noto Sans CJK SC" w:hAnsi="Noto Sans CJK SC" w:eastAsia="Noto Sans CJK SC"/>
          <w:b/>
          <w:i w:val="0"/>
          <w:color w:val="102A43"/>
          <w:sz w:val="46"/>
        </w:rPr>
        <w:t>项目审计与硬风险门禁</w:t>
      </w:r>
    </w:p>
    <w:p>
      <w:pPr>
        <w:keepNext w:val="0"/>
        <w:spacing w:before="0" w:after="280" w:line="264" w:lineRule="auto"/>
        <w:jc w:val="left"/>
      </w:pPr>
      <w:r>
        <w:rPr>
          <w:rFonts w:ascii="Noto Sans CJK SC" w:hAnsi="Noto Sans CJK SC" w:eastAsia="Noto Sans CJK SC"/>
          <w:b w:val="0"/>
          <w:i w:val="0"/>
          <w:color w:val="627D98"/>
          <w:sz w:val="22"/>
        </w:rPr>
        <w:t>任何关键失败或未知都不能被热度、团队故事或价格表现抵消。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E74B5"/>
          <w:sz w:val="26"/>
        </w:rPr>
        <w:t>门禁输出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4900"/>
        <w:gridCol w:w="2960"/>
      </w:tblGrid>
      <w:tr>
        <w:trPr>
          <w:tblHeader w:val="true"/>
        </w:trPr>
        <w:tc>
          <w:tcPr>
            <w:tcW w:type="dxa" w:w="1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02A43"/>
                <w:sz w:val="18"/>
              </w:rPr>
              <w:t>状态</w:t>
            </w:r>
          </w:p>
        </w:tc>
        <w:tc>
          <w:tcPr>
            <w:tcW w:type="dxa" w:w="4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02A43"/>
                <w:sz w:val="18"/>
              </w:rPr>
              <w:t>含义</w:t>
            </w:r>
          </w:p>
        </w:tc>
        <w:tc>
          <w:tcPr>
            <w:tcW w:type="dxa" w:w="29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02A43"/>
                <w:sz w:val="18"/>
              </w:rPr>
              <w:t>后续动作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8"/>
              </w:rPr>
              <w:t>PASS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8"/>
              </w:rPr>
              <w:t>关键检查均有新鲜、可验证证据且无阻断项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8"/>
              </w:rPr>
              <w:t>允许进入机会评分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8"/>
              </w:rPr>
              <w:t>FAIL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8"/>
              </w:rPr>
              <w:t>存在可利用权限、不可退出、严重集中或事实造假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8"/>
              </w:rPr>
              <w:t>拒绝晋级；持续监控事实变化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8"/>
              </w:rPr>
              <w:t>UNKNOWN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8"/>
              </w:rPr>
              <w:t>关键数据缺失、冲突或来源超时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8"/>
              </w:rPr>
              <w:t>Fail-closed；进入 RESEARCH_REQUIRED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/>
          <w:b/>
          <w:color w:val="2E74B5"/>
          <w:sz w:val="26"/>
        </w:rPr>
        <w:t>Solana 首期门禁</w:t>
      </w:r>
    </w:p>
    <w:p>
      <w:pPr>
        <w:numPr>
          <w:ilvl w:val="0"/>
          <w:numId w:val="910"/>
        </w:numPr>
      </w:pPr>
      <w:r>
        <w:rPr>
          <w:rFonts w:ascii="Noto Sans CJK SC" w:hAnsi="Noto Sans CJK SC" w:eastAsia="Noto Sans CJK SC"/>
          <w:color w:val="243B53"/>
          <w:sz w:val="21"/>
        </w:rPr>
        <w:t>代币权限：mint / freeze authority、Token-2022 扩展、transfer hook、永久委托、费用配置。</w:t>
      </w:r>
    </w:p>
    <w:p>
      <w:pPr>
        <w:numPr>
          <w:ilvl w:val="0"/>
          <w:numId w:val="910"/>
        </w:numPr>
      </w:pPr>
      <w:r>
        <w:rPr>
          <w:rFonts w:ascii="Noto Sans CJK SC" w:hAnsi="Noto Sans CJK SC" w:eastAsia="Noto Sans CJK SC"/>
          <w:color w:val="243B53"/>
          <w:sz w:val="21"/>
        </w:rPr>
        <w:t>可买可卖：通过受控模拟验证真实交易路径、税费、失败条件与滑点；不以网站声称为准。</w:t>
      </w:r>
    </w:p>
    <w:p>
      <w:pPr>
        <w:numPr>
          <w:ilvl w:val="0"/>
          <w:numId w:val="910"/>
        </w:numPr>
      </w:pPr>
      <w:r>
        <w:rPr>
          <w:rFonts w:ascii="Noto Sans CJK SC" w:hAnsi="Noto Sans CJK SC" w:eastAsia="Noto Sans CJK SC"/>
          <w:color w:val="243B53"/>
          <w:sz w:val="21"/>
        </w:rPr>
        <w:t>流动性：池归属、LP 锁定/销毁事实、可退出深度、单侧抽走能力与路由依赖。</w:t>
      </w:r>
    </w:p>
    <w:p>
      <w:pPr>
        <w:numPr>
          <w:ilvl w:val="0"/>
          <w:numId w:val="910"/>
        </w:numPr>
      </w:pPr>
      <w:r>
        <w:rPr>
          <w:rFonts w:ascii="Noto Sans CJK SC" w:hAnsi="Noto Sans CJK SC" w:eastAsia="Noto Sans CJK SC"/>
          <w:color w:val="243B53"/>
          <w:sz w:val="21"/>
        </w:rPr>
        <w:t>筹码：Top holder、部署者/团队/早期钱包聚类、同槽买入、共同资金源、内部转账。</w:t>
      </w:r>
    </w:p>
    <w:p>
      <w:pPr>
        <w:numPr>
          <w:ilvl w:val="0"/>
          <w:numId w:val="910"/>
        </w:numPr>
      </w:pPr>
      <w:r>
        <w:rPr>
          <w:rFonts w:ascii="Noto Sans CJK SC" w:hAnsi="Noto Sans CJK SC" w:eastAsia="Noto Sans CJK SC"/>
          <w:color w:val="243B53"/>
          <w:sz w:val="21"/>
        </w:rPr>
        <w:t>代码与身份：Program 是否可验证构建、升级权限、代码仓连续性、官方域名和账号控制。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E74B5"/>
          <w:sz w:val="26"/>
        </w:rPr>
        <w:t>BNB Chain 第二阶段门禁</w:t>
      </w:r>
    </w:p>
    <w:p>
      <w:pPr>
        <w:numPr>
          <w:ilvl w:val="0"/>
          <w:numId w:val="910"/>
        </w:numPr>
      </w:pPr>
      <w:r>
        <w:rPr>
          <w:rFonts w:ascii="Noto Sans CJK SC" w:hAnsi="Noto Sans CJK SC" w:eastAsia="Noto Sans CJK SC"/>
          <w:color w:val="243B53"/>
          <w:sz w:val="21"/>
        </w:rPr>
        <w:t>Owner / Proxy / Upgrade / Mint 权限，黑名单、暂停、最大交易、最大钱包与动态税。</w:t>
      </w:r>
    </w:p>
    <w:p>
      <w:pPr>
        <w:numPr>
          <w:ilvl w:val="0"/>
          <w:numId w:val="910"/>
        </w:numPr>
      </w:pPr>
      <w:r>
        <w:rPr>
          <w:rFonts w:ascii="Noto Sans CJK SC" w:hAnsi="Noto Sans CJK SC" w:eastAsia="Noto Sans CJK SC"/>
          <w:color w:val="243B53"/>
          <w:sz w:val="21"/>
        </w:rPr>
        <w:t>Honeypot 与买卖模拟；以真实路径为准，不只依赖静态扫描。</w:t>
      </w:r>
    </w:p>
    <w:p>
      <w:pPr>
        <w:numPr>
          <w:ilvl w:val="0"/>
          <w:numId w:val="910"/>
        </w:numPr>
      </w:pPr>
      <w:r>
        <w:rPr>
          <w:rFonts w:ascii="Noto Sans CJK SC" w:hAnsi="Noto Sans CJK SC" w:eastAsia="Noto Sans CJK SC"/>
          <w:color w:val="243B53"/>
          <w:sz w:val="21"/>
        </w:rPr>
        <w:t>源码可验证性、字节码与源码一致性、Slither/Mythril 发现及人工复核。</w:t>
      </w:r>
    </w:p>
    <w:p>
      <w:pPr>
        <w:numPr>
          <w:ilvl w:val="0"/>
          <w:numId w:val="910"/>
        </w:numPr>
      </w:pPr>
      <w:r>
        <w:rPr>
          <w:rFonts w:ascii="Noto Sans CJK SC" w:hAnsi="Noto Sans CJK SC" w:eastAsia="Noto Sans CJK SC"/>
          <w:color w:val="243B53"/>
          <w:sz w:val="21"/>
        </w:rPr>
        <w:t>LP 锁定/销毁、Timelock、Multisig、解锁计划和团队关联钱包。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5D6"/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7A5A00"/>
                <w:sz w:val="21"/>
              </w:rPr>
              <w:t>锁仓不是布尔值</w:t>
            </w:r>
          </w:p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20"/>
              </w:rPr>
              <w:t>STAR 分别记录代币归属、LP 锁定/销毁、金库多签/时间锁、解锁曲线与受益实体。任何“已锁仓”标签都必须能展开到具体合约、数量、期限和控制权。</w:t>
            </w:r>
          </w:p>
        </w:tc>
      </w:tr>
    </w:tbl>
    <w:p>
      <w:pPr>
        <w:keepNext/>
        <w:pageBreakBefore w:val="0"/>
        <w:spacing w:before="0" w:after="60" w:line="264" w:lineRule="auto"/>
        <w:jc w:val="left"/>
      </w:pPr>
      <w:r>
        <w:rPr>
          <w:rFonts w:ascii="Noto Sans CJK SC" w:hAnsi="Noto Sans CJK SC" w:eastAsia="Noto Sans CJK SC"/>
          <w:b/>
          <w:i w:val="0"/>
          <w:color w:val="13B8C4"/>
          <w:sz w:val="18"/>
        </w:rPr>
        <w:t>07  /  PRODUCT DEFINITION</w:t>
      </w:r>
    </w:p>
    <w:p>
      <w:pPr>
        <w:keepNext/>
        <w:spacing w:before="0" w:after="100" w:line="264" w:lineRule="auto"/>
        <w:jc w:val="left"/>
        <w:pBdr>
          <w:bottom w:val="single" w:sz="14" w:space="4" w:color="13B8C4"/>
        </w:pBdr>
      </w:pPr>
      <w:r>
        <w:rPr>
          <w:rFonts w:ascii="Noto Sans CJK SC" w:hAnsi="Noto Sans CJK SC" w:eastAsia="Noto Sans CJK SC"/>
          <w:b/>
          <w:i w:val="0"/>
          <w:color w:val="102A43"/>
          <w:sz w:val="46"/>
        </w:rPr>
        <w:t>机会评分、置信度与可退出性</w:t>
      </w:r>
    </w:p>
    <w:p>
      <w:pPr>
        <w:keepNext w:val="0"/>
        <w:spacing w:before="0" w:after="280" w:line="264" w:lineRule="auto"/>
        <w:jc w:val="left"/>
      </w:pPr>
      <w:r>
        <w:rPr>
          <w:rFonts w:ascii="Noto Sans CJK SC" w:hAnsi="Noto Sans CJK SC" w:eastAsia="Noto Sans CJK SC"/>
          <w:b w:val="0"/>
          <w:i w:val="0"/>
          <w:color w:val="627D98"/>
          <w:sz w:val="22"/>
        </w:rPr>
        <w:t>风险决定能不能研究；评分决定值不值得投入研究精力。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E74B5"/>
          <w:sz w:val="26"/>
        </w:rPr>
        <w:t>机会评分（门禁 PASS 后计算）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900"/>
        <w:gridCol w:w="3300"/>
        <w:gridCol w:w="3260"/>
      </w:tblGrid>
      <w:tr>
        <w:trPr>
          <w:tblHeader w:val="true"/>
        </w:trPr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维度</w:t>
            </w:r>
          </w:p>
        </w:tc>
        <w:tc>
          <w:tcPr>
            <w:tcW w:type="dxa" w:w="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权重</w:t>
            </w:r>
          </w:p>
        </w:tc>
        <w:tc>
          <w:tcPr>
            <w:tcW w:type="dxa" w:w="3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核心问题</w:t>
            </w:r>
          </w:p>
        </w:tc>
        <w:tc>
          <w:tcPr>
            <w:tcW w:type="dxa" w:w="32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代表性输入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Narrative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25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叙事是否早、真、广，并有链上确认？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新颖性、速度、广度、链上活动、项目存活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Team / Product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20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团队与产品是否真实、持续交付？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身份谱系、代码提交、产品使用、融资证据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Capital / Holders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20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资金与筹码结构是否健康？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钱包集群、聪明钱、团队净流、集中度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Market Structure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20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是否能以合理滑点进入并退出？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深度、成交质量、路由、FDV/流通、锁仓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Lifecycle Fit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15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当前阶段是否仍提供非拥挤赔率？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阶段、拥挤度、催化窗口、失速信号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/>
          <w:b/>
          <w:color w:val="2E74B5"/>
          <w:sz w:val="26"/>
        </w:rPr>
        <w:t>四个独立输出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2100"/>
        <w:gridCol w:w="4760"/>
      </w:tblGrid>
      <w:tr>
        <w:trPr>
          <w:tblHeader w:val="true"/>
        </w:trPr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02A43"/>
                <w:sz w:val="18"/>
              </w:rPr>
              <w:t>输出</w:t>
            </w:r>
          </w:p>
        </w:tc>
        <w:tc>
          <w:tcPr>
            <w:tcW w:type="dxa" w:w="2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02A43"/>
                <w:sz w:val="18"/>
              </w:rPr>
              <w:t>范围</w:t>
            </w:r>
          </w:p>
        </w:tc>
        <w:tc>
          <w:tcPr>
            <w:tcW w:type="dxa" w:w="47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02A43"/>
                <w:sz w:val="18"/>
              </w:rPr>
              <w:t>不可混合的原因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8"/>
              </w:rPr>
              <w:t>Gate Status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8"/>
              </w:rPr>
              <w:t>PASS / FAIL / UNKNOWN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8"/>
              </w:rPr>
              <w:t>安全与事实完整性是一票否决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8"/>
              </w:rPr>
              <w:t>Opportunity Score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8"/>
              </w:rPr>
              <w:t>0–100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8"/>
              </w:rPr>
              <w:t>衡量研究优先级，不代表收益承诺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8"/>
              </w:rPr>
              <w:t>Confidence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8"/>
              </w:rPr>
              <w:t>0–1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8"/>
              </w:rPr>
              <w:t>衡量证据一致性、独立来源与模型稳定性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8"/>
              </w:rPr>
              <w:t>Freshness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8"/>
              </w:rPr>
              <w:t>0–1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8"/>
              </w:rPr>
              <w:t>衡量关键证据是否仍在 SLA 内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/>
          <w:b/>
          <w:color w:val="2E74B5"/>
          <w:sz w:val="26"/>
        </w:rPr>
        <w:t>可退出性优先</w:t>
      </w:r>
    </w:p>
    <w:p>
      <w:pPr>
        <w:keepNext w:val="0"/>
        <w:spacing w:before="0" w:after="120" w:line="264" w:lineRule="auto"/>
        <w:jc w:val="left"/>
      </w:pPr>
      <w:r>
        <w:rPr>
          <w:rFonts w:ascii="Noto Sans CJK SC" w:hAnsi="Noto Sans CJK SC" w:eastAsia="Noto Sans CJK SC"/>
          <w:b w:val="0"/>
          <w:i w:val="0"/>
          <w:color w:val="243B53"/>
          <w:sz w:val="22"/>
        </w:rPr>
        <w:t>STAR 不以 K 线中间价估算可交易收益，而以真实池深度、路由、费用、价格冲击和拥堵情境评估退出。项目可以“基本面有趣”但“当前不可进入”；系统必须允许这种分离表达。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6F8"/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13B8C4"/>
                <w:sz w:val="21"/>
              </w:rPr>
              <w:t>评分使用纪律</w:t>
            </w:r>
          </w:p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20"/>
              </w:rPr>
              <w:t>不要在 30 个指标上追求看似精确的 87.4 分。首期只保留可解释、可回放、能改变决策的特征；所有权重都有版本号，并接受消融测试。</w:t>
            </w:r>
          </w:p>
        </w:tc>
      </w:tr>
    </w:tbl>
    <w:p>
      <w:pPr>
        <w:keepNext/>
        <w:pageBreakBefore w:val="0"/>
        <w:spacing w:before="0" w:after="60" w:line="264" w:lineRule="auto"/>
        <w:jc w:val="left"/>
      </w:pPr>
      <w:r>
        <w:rPr>
          <w:rFonts w:ascii="Noto Sans CJK SC" w:hAnsi="Noto Sans CJK SC" w:eastAsia="Noto Sans CJK SC"/>
          <w:b/>
          <w:i w:val="0"/>
          <w:color w:val="13B8C4"/>
          <w:sz w:val="18"/>
        </w:rPr>
        <w:t>08  /  PRODUCT DEFINITION</w:t>
      </w:r>
    </w:p>
    <w:p>
      <w:pPr>
        <w:keepNext/>
        <w:spacing w:before="0" w:after="100" w:line="264" w:lineRule="auto"/>
        <w:jc w:val="left"/>
        <w:pBdr>
          <w:bottom w:val="single" w:sz="14" w:space="4" w:color="13B8C4"/>
        </w:pBdr>
      </w:pPr>
      <w:r>
        <w:rPr>
          <w:rFonts w:ascii="Noto Sans CJK SC" w:hAnsi="Noto Sans CJK SC" w:eastAsia="Noto Sans CJK SC"/>
          <w:b/>
          <w:i w:val="0"/>
          <w:color w:val="102A43"/>
          <w:sz w:val="46"/>
        </w:rPr>
        <w:t>钱包实体图与反操纵</w:t>
      </w:r>
    </w:p>
    <w:p>
      <w:pPr>
        <w:keepNext w:val="0"/>
        <w:spacing w:before="0" w:after="280" w:line="264" w:lineRule="auto"/>
        <w:jc w:val="left"/>
      </w:pPr>
      <w:r>
        <w:rPr>
          <w:rFonts w:ascii="Noto Sans CJK SC" w:hAnsi="Noto Sans CJK SC" w:eastAsia="Noto Sans CJK SC"/>
          <w:b w:val="0"/>
          <w:i w:val="0"/>
          <w:color w:val="627D98"/>
          <w:sz w:val="22"/>
        </w:rPr>
        <w:t>地址不是主体，交易量也不等于真实需求。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E74B5"/>
          <w:sz w:val="26"/>
        </w:rPr>
        <w:t>实体解析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700"/>
        <w:gridCol w:w="3560"/>
      </w:tblGrid>
      <w:tr>
        <w:trPr>
          <w:tblHeader w:val="true"/>
        </w:trPr>
        <w:tc>
          <w:tcPr>
            <w:tcW w:type="dxa" w:w="2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证据</w:t>
            </w:r>
          </w:p>
        </w:tc>
        <w:tc>
          <w:tcPr>
            <w:tcW w:type="dxa" w:w="3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可支持的推断</w:t>
            </w:r>
          </w:p>
        </w:tc>
        <w:tc>
          <w:tcPr>
            <w:tcW w:type="dxa" w:w="35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限制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共同资金来源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一组地址可能由同一主体控制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交易所出金、桥和空投会造成误聚类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同槽/近同时买入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可能为同一 bundle、机器人或内部协同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高热事件中自然同步也会发生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直接转账与循环路径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团队、做市或关联资金网络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必须识别路由器与公共服务地址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金额/时间模式相似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自动化钱包集群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只能作为软证据，不单独定性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部署、创建池、初始供给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项目控制或早期分配关系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需结合代码、域名和社交证据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/>
          <w:b/>
          <w:color w:val="2E74B5"/>
          <w:sz w:val="26"/>
        </w:rPr>
        <w:t>反操纵检测</w:t>
      </w:r>
    </w:p>
    <w:p>
      <w:pPr>
        <w:numPr>
          <w:ilvl w:val="0"/>
          <w:numId w:val="910"/>
        </w:numPr>
      </w:pPr>
      <w:r>
        <w:rPr>
          <w:rFonts w:ascii="Noto Sans CJK SC" w:hAnsi="Noto Sans CJK SC" w:eastAsia="Noto Sans CJK SC"/>
          <w:color w:val="243B53"/>
          <w:sz w:val="21"/>
        </w:rPr>
        <w:t>刷量：买卖循环、短持仓、相同资金源、异常低独立交易者占比。</w:t>
      </w:r>
    </w:p>
    <w:p>
      <w:pPr>
        <w:numPr>
          <w:ilvl w:val="0"/>
          <w:numId w:val="910"/>
        </w:numPr>
      </w:pPr>
      <w:r>
        <w:rPr>
          <w:rFonts w:ascii="Noto Sans CJK SC" w:hAnsi="Noto Sans CJK SC" w:eastAsia="Noto Sans CJK SC"/>
          <w:color w:val="243B53"/>
          <w:sz w:val="21"/>
        </w:rPr>
        <w:t>假社区：复制文案、机器人时间谱、账号创建批次、互动网络高度集中。</w:t>
      </w:r>
    </w:p>
    <w:p>
      <w:pPr>
        <w:numPr>
          <w:ilvl w:val="0"/>
          <w:numId w:val="910"/>
        </w:numPr>
      </w:pPr>
      <w:r>
        <w:rPr>
          <w:rFonts w:ascii="Noto Sans CJK SC" w:hAnsi="Noto Sans CJK SC" w:eastAsia="Noto Sans CJK SC"/>
          <w:color w:val="243B53"/>
          <w:sz w:val="21"/>
        </w:rPr>
        <w:t>KOL 前置仓：首次买入早于公开提及，且提及后向关注者分配风险。</w:t>
      </w:r>
    </w:p>
    <w:p>
      <w:pPr>
        <w:numPr>
          <w:ilvl w:val="0"/>
          <w:numId w:val="910"/>
        </w:numPr>
      </w:pPr>
      <w:r>
        <w:rPr>
          <w:rFonts w:ascii="Noto Sans CJK SC" w:hAnsi="Noto Sans CJK SC" w:eastAsia="Noto Sans CJK SC"/>
          <w:color w:val="243B53"/>
          <w:sz w:val="21"/>
        </w:rPr>
        <w:t>批量钱包：表面 holder 分散但实体聚类后集中度显著上升。</w:t>
      </w:r>
    </w:p>
    <w:p>
      <w:pPr>
        <w:numPr>
          <w:ilvl w:val="0"/>
          <w:numId w:val="910"/>
        </w:numPr>
      </w:pPr>
      <w:r>
        <w:rPr>
          <w:rFonts w:ascii="Noto Sans CJK SC" w:hAnsi="Noto Sans CJK SC" w:eastAsia="Noto Sans CJK SC"/>
          <w:color w:val="243B53"/>
          <w:sz w:val="21"/>
        </w:rPr>
        <w:t>伪开发：Fork/模板仓、集中补历史 commit、无发布物、代码与部署不一致。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5D6"/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7A5A00"/>
                <w:sz w:val="21"/>
              </w:rPr>
              <w:t>诽谤与误伤控制</w:t>
            </w:r>
          </w:p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20"/>
              </w:rPr>
              <w:t>Entity 归因和团队关联均以概率表达；对外展示使用“系统发现的关联证据”，不直接宣称违法或欺诈。高影响结论必须人工复核。</w:t>
            </w:r>
          </w:p>
        </w:tc>
      </w:tr>
    </w:tbl>
    <w:p>
      <w:pPr>
        <w:keepNext/>
        <w:pageBreakBefore/>
        <w:spacing w:before="0" w:after="60" w:line="264" w:lineRule="auto"/>
        <w:jc w:val="left"/>
      </w:pPr>
      <w:r>
        <w:rPr>
          <w:rFonts w:ascii="Noto Sans CJK SC" w:hAnsi="Noto Sans CJK SC" w:eastAsia="Noto Sans CJK SC"/>
          <w:b/>
          <w:i w:val="0"/>
          <w:color w:val="13B8C4"/>
          <w:sz w:val="18"/>
        </w:rPr>
        <w:t>09  /  PRODUCT DEFINITION</w:t>
      </w:r>
    </w:p>
    <w:p>
      <w:pPr>
        <w:keepNext/>
        <w:spacing w:before="0" w:after="100" w:line="264" w:lineRule="auto"/>
        <w:jc w:val="left"/>
        <w:pBdr>
          <w:bottom w:val="single" w:sz="14" w:space="4" w:color="13B8C4"/>
        </w:pBdr>
      </w:pPr>
      <w:r>
        <w:rPr>
          <w:rFonts w:ascii="Noto Sans CJK SC" w:hAnsi="Noto Sans CJK SC" w:eastAsia="Noto Sans CJK SC"/>
          <w:b/>
          <w:i w:val="0"/>
          <w:color w:val="102A43"/>
          <w:sz w:val="46"/>
        </w:rPr>
        <w:t>产品信息架构</w:t>
      </w:r>
    </w:p>
    <w:p>
      <w:pPr>
        <w:keepNext w:val="0"/>
        <w:spacing w:before="0" w:after="280" w:line="264" w:lineRule="auto"/>
        <w:jc w:val="left"/>
      </w:pPr>
      <w:r>
        <w:rPr>
          <w:rFonts w:ascii="Noto Sans CJK SC" w:hAnsi="Noto Sans CJK SC" w:eastAsia="Noto Sans CJK SC"/>
          <w:b w:val="0"/>
          <w:i w:val="0"/>
          <w:color w:val="627D98"/>
          <w:sz w:val="22"/>
        </w:rPr>
        <w:t>页面围绕用户问题组织，不围绕数据表组织。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2600"/>
        <w:gridCol w:w="3460"/>
        <w:gridCol w:w="1700"/>
      </w:tblGrid>
      <w:tr>
        <w:trPr>
          <w:tblHeader w:val="true"/>
        </w:trPr>
        <w:tc>
          <w:tcPr>
            <w:tcW w:type="dxa" w:w="1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页面</w:t>
            </w:r>
          </w:p>
        </w:tc>
        <w:tc>
          <w:tcPr>
            <w:tcW w:type="dxa" w:w="2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用户问题</w:t>
            </w:r>
          </w:p>
        </w:tc>
        <w:tc>
          <w:tcPr>
            <w:tcW w:type="dxa" w:w="34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核心组件</w:t>
            </w:r>
          </w:p>
        </w:tc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主要动作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STAR Desk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今天发生了什么、我先看什么？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链轮动、叙事迁移、Top-K、新风险、数据健康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进入研究、静音噪声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Cycle Radar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资金和活动正在向哪里迁移？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链级资金流、活跃、DEX、新池、稳定币变化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选择关注链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Narrative Map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哪些新叙事在形成或失速？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语义簇、阶段、速度/广度、代表项目、来源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合并/拆分/关注叙事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Project Discovery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叙事里有哪些早期项目？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候选漏斗、首次发现、门禁预检、流动性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送审、排除、观察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Project Audit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这个项目到底可信到什么程度？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证据时间线、门禁、评分、钱包图、冲突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形成决策简报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Risk Center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哪些事实改变会推翻判断？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关键 UNKNOWN、权限变化、解锁、抽池、团队流出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升级、关闭、分派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Shadow Portfolio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若按规则观察，结果如何？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模拟进入/退出、BTC/SOL 基准、风险事件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复盘规则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Replay Lab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历史上系统能否提前且不偷看未来？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时间轴、证据可用性、参数版本、对照组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运行回放、导出报告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Evidence Center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事实来自哪里，是否冲突或过期？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来源、哈希、SLA、冲突、许可证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确认、降级来源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/>
          <w:b/>
          <w:color w:val="2E74B5"/>
          <w:sz w:val="26"/>
        </w:rPr>
        <w:t>MVP 导航</w:t>
      </w:r>
    </w:p>
    <w:p>
      <w:pPr>
        <w:keepNext w:val="0"/>
        <w:spacing w:before="0" w:after="120" w:line="264" w:lineRule="auto"/>
        <w:jc w:val="left"/>
      </w:pPr>
      <w:r>
        <w:rPr>
          <w:rFonts w:ascii="Noto Sans CJK SC" w:hAnsi="Noto Sans CJK SC" w:eastAsia="Noto Sans CJK SC"/>
          <w:b w:val="0"/>
          <w:i w:val="0"/>
          <w:color w:val="243B53"/>
          <w:sz w:val="22"/>
        </w:rPr>
        <w:t>第一版只交付 6 个页面：STAR Desk、Cycle Radar、Narrative Map、Project Audit、Risk Center、Replay Lab。Project Discovery 先作为 Narrative Map 的抽屉；Shadow Portfolio 在前向验证阶段开放。</w:t>
      </w:r>
    </w:p>
    <w:p>
      <w:pPr>
        <w:keepNext/>
        <w:pageBreakBefore w:val="0"/>
        <w:spacing w:before="0" w:after="60" w:line="264" w:lineRule="auto"/>
        <w:jc w:val="left"/>
      </w:pPr>
      <w:r>
        <w:rPr>
          <w:rFonts w:ascii="Noto Sans CJK SC" w:hAnsi="Noto Sans CJK SC" w:eastAsia="Noto Sans CJK SC"/>
          <w:b/>
          <w:i w:val="0"/>
          <w:color w:val="13B8C4"/>
          <w:sz w:val="18"/>
        </w:rPr>
        <w:t>10  /  PRODUCT DEFINITION</w:t>
      </w:r>
    </w:p>
    <w:p>
      <w:pPr>
        <w:keepNext/>
        <w:spacing w:before="0" w:after="100" w:line="264" w:lineRule="auto"/>
        <w:jc w:val="left"/>
        <w:pBdr>
          <w:bottom w:val="single" w:sz="14" w:space="4" w:color="13B8C4"/>
        </w:pBdr>
      </w:pPr>
      <w:r>
        <w:rPr>
          <w:rFonts w:ascii="Noto Sans CJK SC" w:hAnsi="Noto Sans CJK SC" w:eastAsia="Noto Sans CJK SC"/>
          <w:b/>
          <w:i w:val="0"/>
          <w:color w:val="102A43"/>
          <w:sz w:val="46"/>
        </w:rPr>
        <w:t>关键页面定义</w:t>
      </w:r>
    </w:p>
    <w:p>
      <w:pPr>
        <w:keepNext w:val="0"/>
        <w:spacing w:before="0" w:after="280" w:line="264" w:lineRule="auto"/>
        <w:jc w:val="left"/>
      </w:pPr>
      <w:r>
        <w:rPr>
          <w:rFonts w:ascii="Noto Sans CJK SC" w:hAnsi="Noto Sans CJK SC" w:eastAsia="Noto Sans CJK SC"/>
          <w:b w:val="0"/>
          <w:i w:val="0"/>
          <w:color w:val="627D98"/>
          <w:sz w:val="22"/>
        </w:rPr>
        <w:t>项目审计卡与 STAR Desk 是第一版的产品中心。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E74B5"/>
          <w:sz w:val="26"/>
        </w:rPr>
        <w:t>STAR Desk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800"/>
        <w:gridCol w:w="3760"/>
      </w:tblGrid>
      <w:tr>
        <w:trPr>
          <w:tblHeader w:val="true"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02A43"/>
                <w:sz w:val="18"/>
              </w:rPr>
              <w:t>区域</w:t>
            </w:r>
          </w:p>
        </w:tc>
        <w:tc>
          <w:tcPr>
            <w:tcW w:type="dxa" w:w="3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02A43"/>
                <w:sz w:val="18"/>
              </w:rPr>
              <w:t>展示内容</w:t>
            </w:r>
          </w:p>
        </w:tc>
        <w:tc>
          <w:tcPr>
            <w:tcW w:type="dxa" w:w="37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02A43"/>
                <w:sz w:val="18"/>
              </w:rPr>
              <w:t>验收标准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8"/>
              </w:rPr>
              <w:t>今日变化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8"/>
              </w:rPr>
              <w:t>新链轮动、新叙事、阶段变化、关键事实变化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8"/>
              </w:rPr>
              <w:t>每条变化可展开到证据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8"/>
              </w:rPr>
              <w:t>研究队列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8"/>
              </w:rPr>
              <w:t>按 Decision Readiness 排序的候选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8"/>
              </w:rPr>
              <w:t>FAIL/UNKNOWN 不混入可决策列表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8"/>
              </w:rPr>
              <w:t>风险队列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8"/>
              </w:rPr>
              <w:t>新权限、抽池、解锁、团队流出、来源冲突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8"/>
              </w:rPr>
              <w:t>支持确认、分派、静音与审计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8"/>
              </w:rPr>
              <w:t>数据健康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8"/>
              </w:rPr>
              <w:t>索引延迟、来源故障、关键字段新鲜度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8"/>
              </w:rPr>
              <w:t>来源异常时对应结论自动降级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/>
          <w:b/>
          <w:color w:val="2E74B5"/>
          <w:sz w:val="26"/>
        </w:rPr>
        <w:t>Project Audit Card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02A43"/>
                <w:sz w:val="18"/>
              </w:rPr>
              <w:t>区块</w:t>
            </w:r>
          </w:p>
        </w:tc>
        <w:tc>
          <w:tcPr>
            <w:tcW w:type="dxa" w:w="70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02A43"/>
                <w:sz w:val="18"/>
              </w:rPr>
              <w:t>必须回答的问题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8"/>
              </w:rPr>
              <w:t>Identity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8"/>
              </w:rPr>
              <w:t>项目、代币、Program、网站、代码仓、社交账号是否属于同一实体？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8"/>
              </w:rPr>
              <w:t>Gate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8"/>
              </w:rPr>
              <w:t>哪些检查 PASS / FAIL / UNKNOWN？哪一项阻断晋级？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8"/>
              </w:rPr>
              <w:t>Evidence Timeline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8"/>
              </w:rPr>
              <w:t>每个重要主张在什么时间被什么来源支持或反驳？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8"/>
              </w:rPr>
              <w:t>Wallet Graph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8"/>
              </w:rPr>
              <w:t>团队、部署者、早期钱包、做市和 KOL 是否有关联？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8"/>
              </w:rPr>
              <w:t>Liquidity &amp; Exit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8"/>
              </w:rPr>
              <w:t>以目标资金规模进入/退出的真实冲击、路由和失败概率？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8"/>
              </w:rPr>
              <w:t>Narrative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8"/>
              </w:rPr>
              <w:t>所属叙事处于什么阶段，项目是领先者、跟随者还是蹭热点？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8"/>
              </w:rPr>
              <w:t>Decision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8"/>
              </w:rPr>
              <w:t>当前结论、反证条件、下一次复核时间与责任人是什么？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7F0"/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18794E"/>
                <w:sz w:val="21"/>
              </w:rPr>
              <w:t>设计原则</w:t>
            </w:r>
          </w:p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20"/>
              </w:rPr>
              <w:t>所有结论都可点击回到证据；所有分数都能展开到特征；所有 UNKNOWN 都必须说明缺什么、何时重试、谁负责。</w:t>
            </w:r>
          </w:p>
        </w:tc>
      </w:tr>
    </w:tbl>
    <w:p>
      <w:pPr>
        <w:keepNext/>
        <w:pageBreakBefore w:val="0"/>
        <w:spacing w:before="0" w:after="60" w:line="264" w:lineRule="auto"/>
        <w:jc w:val="left"/>
      </w:pPr>
      <w:r>
        <w:rPr>
          <w:rFonts w:ascii="Noto Sans CJK SC" w:hAnsi="Noto Sans CJK SC" w:eastAsia="Noto Sans CJK SC"/>
          <w:b/>
          <w:i w:val="0"/>
          <w:color w:val="13B8C4"/>
          <w:sz w:val="18"/>
        </w:rPr>
        <w:t>11  /  PRODUCT DEFINITION</w:t>
      </w:r>
    </w:p>
    <w:p>
      <w:pPr>
        <w:keepNext/>
        <w:spacing w:before="0" w:after="100" w:line="264" w:lineRule="auto"/>
        <w:jc w:val="left"/>
        <w:pBdr>
          <w:bottom w:val="single" w:sz="14" w:space="4" w:color="13B8C4"/>
        </w:pBdr>
      </w:pPr>
      <w:r>
        <w:rPr>
          <w:rFonts w:ascii="Noto Sans CJK SC" w:hAnsi="Noto Sans CJK SC" w:eastAsia="Noto Sans CJK SC"/>
          <w:b/>
          <w:i w:val="0"/>
          <w:color w:val="102A43"/>
          <w:sz w:val="46"/>
        </w:rPr>
        <w:t>告警与研究运营</w:t>
      </w:r>
    </w:p>
    <w:p>
      <w:pPr>
        <w:keepNext w:val="0"/>
        <w:spacing w:before="0" w:after="280" w:line="264" w:lineRule="auto"/>
        <w:jc w:val="left"/>
      </w:pPr>
      <w:r>
        <w:rPr>
          <w:rFonts w:ascii="Noto Sans CJK SC" w:hAnsi="Noto Sans CJK SC" w:eastAsia="Noto Sans CJK SC"/>
          <w:b w:val="0"/>
          <w:i w:val="0"/>
          <w:color w:val="627D98"/>
          <w:sz w:val="22"/>
        </w:rPr>
        <w:t>告警只服务于判断变化，不服务于制造兴奋。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E74B5"/>
          <w:sz w:val="26"/>
        </w:rPr>
        <w:t>告警等级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4000"/>
        <w:gridCol w:w="1800"/>
        <w:gridCol w:w="2160"/>
      </w:tblGrid>
      <w:tr>
        <w:trPr>
          <w:tblHeader w:val="true"/>
        </w:trPr>
        <w:tc>
          <w:tcPr>
            <w:tcW w:type="dxa" w:w="14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级别</w:t>
            </w:r>
          </w:p>
        </w:tc>
        <w:tc>
          <w:tcPr>
            <w:tcW w:type="dxa" w:w="4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触发例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时效</w:t>
            </w:r>
          </w:p>
        </w:tc>
        <w:tc>
          <w:tcPr>
            <w:tcW w:type="dxa" w:w="2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默认动作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CRITICAL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权限变化、不可卖、抽池、团队大额流出、证据造假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≤ 60 秒（链上）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立即阻断/降级，要求人工确认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HIGH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解锁临近、保护性深度骤降、关键来源冲突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≤ 5 分钟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进入风险队列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MEDIUM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叙事阶段切换、拥挤度上升、钱包集中度变化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≤ 30 分钟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更新研究优先级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INFO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新代码发布、新合作声明、数据源恢复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批量摘要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加入时间线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/>
          <w:b/>
          <w:color w:val="2E74B5"/>
          <w:sz w:val="26"/>
        </w:rPr>
        <w:t>降噪规则</w:t>
      </w:r>
    </w:p>
    <w:p>
      <w:pPr>
        <w:numPr>
          <w:ilvl w:val="0"/>
          <w:numId w:val="910"/>
        </w:numPr>
      </w:pPr>
      <w:r>
        <w:rPr>
          <w:rFonts w:ascii="Noto Sans CJK SC" w:hAnsi="Noto Sans CJK SC" w:eastAsia="Noto Sans CJK SC"/>
          <w:color w:val="243B53"/>
          <w:sz w:val="21"/>
        </w:rPr>
        <w:t>同一事实按 Project × Risk Type × Evidence Version 去重。</w:t>
      </w:r>
    </w:p>
    <w:p>
      <w:pPr>
        <w:numPr>
          <w:ilvl w:val="0"/>
          <w:numId w:val="910"/>
        </w:numPr>
      </w:pPr>
      <w:r>
        <w:rPr>
          <w:rFonts w:ascii="Noto Sans CJK SC" w:hAnsi="Noto Sans CJK SC" w:eastAsia="Noto Sans CJK SC"/>
          <w:color w:val="243B53"/>
          <w:sz w:val="21"/>
        </w:rPr>
        <w:t>连续数值变化采用阈值与冷却，不对每个区块重复告警。</w:t>
      </w:r>
    </w:p>
    <w:p>
      <w:pPr>
        <w:numPr>
          <w:ilvl w:val="0"/>
          <w:numId w:val="910"/>
        </w:numPr>
      </w:pPr>
      <w:r>
        <w:rPr>
          <w:rFonts w:ascii="Noto Sans CJK SC" w:hAnsi="Noto Sans CJK SC" w:eastAsia="Noto Sans CJK SC"/>
          <w:color w:val="243B53"/>
          <w:sz w:val="21"/>
        </w:rPr>
        <w:t>来源故障不产生项目风险结论，而是产生 Data Health 告警并将结论降为 UNKNOWN。</w:t>
      </w:r>
    </w:p>
    <w:p>
      <w:pPr>
        <w:numPr>
          <w:ilvl w:val="0"/>
          <w:numId w:val="910"/>
        </w:numPr>
      </w:pPr>
      <w:r>
        <w:rPr>
          <w:rFonts w:ascii="Noto Sans CJK SC" w:hAnsi="Noto Sans CJK SC" w:eastAsia="Noto Sans CJK SC"/>
          <w:color w:val="243B53"/>
          <w:sz w:val="21"/>
        </w:rPr>
        <w:t>告警关闭必须记录理由；规则更新后可以重放关闭样本验证漏报。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E74B5"/>
          <w:sz w:val="26"/>
        </w:rPr>
        <w:t>每日研究节奏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4300"/>
        <w:gridCol w:w="3060"/>
      </w:tblGrid>
      <w:tr>
        <w:trPr>
          <w:tblHeader w:val="true"/>
        </w:trPr>
        <w:tc>
          <w:tcPr>
            <w:tcW w:type="dxa" w:w="2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02A43"/>
                <w:sz w:val="18"/>
              </w:rPr>
              <w:t>时间</w:t>
            </w:r>
          </w:p>
        </w:tc>
        <w:tc>
          <w:tcPr>
            <w:tcW w:type="dxa" w:w="4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02A43"/>
                <w:sz w:val="18"/>
              </w:rPr>
              <w:t>动作</w:t>
            </w:r>
          </w:p>
        </w:tc>
        <w:tc>
          <w:tcPr>
            <w:tcW w:type="dxa" w:w="30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02A43"/>
                <w:sz w:val="18"/>
              </w:rPr>
              <w:t>产物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8"/>
              </w:rPr>
              <w:t>开盘前 / 每日一次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8"/>
              </w:rPr>
              <w:t>查看 Chain Rotation 与新叙事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8"/>
              </w:rPr>
              <w:t>今日研究清单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8"/>
              </w:rPr>
              <w:t>实时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8"/>
              </w:rPr>
              <w:t>处理 CRITICAL/HIGH 事实变化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8"/>
              </w:rPr>
              <w:t>风险处置记录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8"/>
              </w:rPr>
              <w:t>日终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8"/>
              </w:rPr>
              <w:t>审阅晋级/降级、Shadow 偏差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8"/>
              </w:rPr>
              <w:t>Decision Log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8"/>
              </w:rPr>
              <w:t>每周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8"/>
              </w:rPr>
              <w:t>复盘 false positive / false negative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8"/>
              </w:rPr>
              <w:t>规则变更提案</w:t>
            </w:r>
          </w:p>
        </w:tc>
      </w:tr>
    </w:tbl>
    <w:p>
      <w:pPr>
        <w:keepNext/>
        <w:pageBreakBefore/>
        <w:spacing w:before="0" w:after="60" w:line="264" w:lineRule="auto"/>
        <w:jc w:val="left"/>
      </w:pPr>
      <w:r>
        <w:rPr>
          <w:rFonts w:ascii="Noto Sans CJK SC" w:hAnsi="Noto Sans CJK SC" w:eastAsia="Noto Sans CJK SC"/>
          <w:b/>
          <w:i w:val="0"/>
          <w:color w:val="13B8C4"/>
          <w:sz w:val="18"/>
        </w:rPr>
        <w:t>12  /  PRODUCT DEFINITION</w:t>
      </w:r>
    </w:p>
    <w:p>
      <w:pPr>
        <w:keepNext/>
        <w:spacing w:before="0" w:after="100" w:line="264" w:lineRule="auto"/>
        <w:jc w:val="left"/>
        <w:pBdr>
          <w:bottom w:val="single" w:sz="14" w:space="4" w:color="13B8C4"/>
        </w:pBdr>
      </w:pPr>
      <w:r>
        <w:rPr>
          <w:rFonts w:ascii="Noto Sans CJK SC" w:hAnsi="Noto Sans CJK SC" w:eastAsia="Noto Sans CJK SC"/>
          <w:b/>
          <w:i w:val="0"/>
          <w:color w:val="102A43"/>
          <w:sz w:val="46"/>
        </w:rPr>
        <w:t>数据与系统架构</w:t>
      </w:r>
    </w:p>
    <w:p>
      <w:pPr>
        <w:keepNext w:val="0"/>
        <w:spacing w:before="0" w:after="280" w:line="264" w:lineRule="auto"/>
        <w:jc w:val="left"/>
      </w:pPr>
      <w:r>
        <w:rPr>
          <w:rFonts w:ascii="Noto Sans CJK SC" w:hAnsi="Noto Sans CJK SC" w:eastAsia="Noto Sans CJK SC"/>
          <w:b w:val="0"/>
          <w:i w:val="0"/>
          <w:color w:val="627D98"/>
          <w:sz w:val="22"/>
        </w:rPr>
        <w:t>开源负责通用索引和分析，STAR 自建点时证据、身份图、门禁与生命周期。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E74B5"/>
          <w:sz w:val="26"/>
        </w:rPr>
        <w:t>逻辑分层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4200"/>
        <w:gridCol w:w="3460"/>
      </w:tblGrid>
      <w:tr>
        <w:trPr>
          <w:tblHeader w:val="true"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层</w:t>
            </w:r>
          </w:p>
        </w:tc>
        <w:tc>
          <w:tcPr>
            <w:tcW w:type="dxa" w:w="4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职责</w:t>
            </w:r>
          </w:p>
        </w:tc>
        <w:tc>
          <w:tcPr>
            <w:tcW w:type="dxa" w:w="34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首选能力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Source Adapters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链上、代码、社交与公开资料接入；保留原始响应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Solana RPC/gRPC、GitHub、授权数据源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Fact Pipeline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幂等解码、实体识别、证据时间、冲突与新鲜度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事件流 + 批处理，UNKNOWN fail-closed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Intelligence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叙事聚类、钱包图、门禁、机会评分、生命周期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可解释规则优先，模型版本化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Serving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研究 API、查询、告警、回放与权限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PostgreSQL/AGE + read API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Experience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STAR Desk、项目审计、风险中心、回放实验室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Web App；无钱包连接组件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/>
          <w:b/>
          <w:color w:val="2E74B5"/>
          <w:sz w:val="26"/>
        </w:rPr>
        <w:t>数据存储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900"/>
        <w:gridCol w:w="3360"/>
      </w:tblGrid>
      <w:tr>
        <w:trPr>
          <w:tblHeader w:val="true"/>
        </w:trPr>
        <w:tc>
          <w:tcPr>
            <w:tcW w:type="dxa" w:w="2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02A43"/>
                <w:sz w:val="18"/>
              </w:rPr>
              <w:t>存储</w:t>
            </w:r>
          </w:p>
        </w:tc>
        <w:tc>
          <w:tcPr>
            <w:tcW w:type="dxa" w:w="3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02A43"/>
                <w:sz w:val="18"/>
              </w:rPr>
              <w:t>内容</w:t>
            </w:r>
          </w:p>
        </w:tc>
        <w:tc>
          <w:tcPr>
            <w:tcW w:type="dxa" w:w="3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02A43"/>
                <w:sz w:val="18"/>
              </w:rPr>
              <w:t>原因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8"/>
              </w:rPr>
              <w:t>PostgreSQL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8"/>
              </w:rPr>
              <w:t>在线事实、项目、评分快照、决策、运营状态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8"/>
              </w:rPr>
              <w:t>事务、SQL、成熟运维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8"/>
              </w:rPr>
              <w:t>Apache AGE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8"/>
              </w:rPr>
              <w:t>钱包/实体/项目/社交关系图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8"/>
              </w:rPr>
              <w:t>在 Postgres 上补图查询，减少早期系统数量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8"/>
              </w:rPr>
              <w:t>Object Storage + Parquet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8"/>
              </w:rPr>
              <w:t>不可变原始事件、来源快照、历史特征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8"/>
              </w:rPr>
              <w:t>可审计、可重放、低成本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8"/>
              </w:rPr>
              <w:t>DuckDB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8"/>
              </w:rPr>
              <w:t>历史回放、研究查询、无前视验证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8"/>
              </w:rPr>
              <w:t>直接查询 Parquet，避免先建大数仓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5D6"/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7A5A00"/>
                <w:sz w:val="21"/>
              </w:rPr>
              <w:t>唯一事实原则</w:t>
            </w:r>
          </w:p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20"/>
              </w:rPr>
              <w:t>第三方风险 API、KOL 标签和聚合平台只作为证据来源之一；STAR 保留原始响应、来源版本和冲突，不把供应商结论直接写成内部真相。</w:t>
            </w:r>
          </w:p>
        </w:tc>
      </w:tr>
    </w:tbl>
    <w:p>
      <w:pPr>
        <w:keepNext/>
        <w:pageBreakBefore w:val="0"/>
        <w:spacing w:before="0" w:after="60" w:line="264" w:lineRule="auto"/>
        <w:jc w:val="left"/>
      </w:pPr>
      <w:r>
        <w:rPr>
          <w:rFonts w:ascii="Noto Sans CJK SC" w:hAnsi="Noto Sans CJK SC" w:eastAsia="Noto Sans CJK SC"/>
          <w:b/>
          <w:i w:val="0"/>
          <w:color w:val="13B8C4"/>
          <w:sz w:val="18"/>
        </w:rPr>
        <w:t>13  /  PRODUCT DEFINITION</w:t>
      </w:r>
    </w:p>
    <w:p>
      <w:pPr>
        <w:keepNext/>
        <w:spacing w:before="0" w:after="100" w:line="264" w:lineRule="auto"/>
        <w:jc w:val="left"/>
        <w:pBdr>
          <w:bottom w:val="single" w:sz="14" w:space="4" w:color="13B8C4"/>
        </w:pBdr>
      </w:pPr>
      <w:r>
        <w:rPr>
          <w:rFonts w:ascii="Noto Sans CJK SC" w:hAnsi="Noto Sans CJK SC" w:eastAsia="Noto Sans CJK SC"/>
          <w:b/>
          <w:i w:val="0"/>
          <w:color w:val="102A43"/>
          <w:sz w:val="46"/>
        </w:rPr>
        <w:t>开源能力接入边界</w:t>
      </w:r>
    </w:p>
    <w:p>
      <w:pPr>
        <w:keepNext w:val="0"/>
        <w:spacing w:before="0" w:after="280" w:line="264" w:lineRule="auto"/>
        <w:jc w:val="left"/>
      </w:pPr>
      <w:r>
        <w:rPr>
          <w:rFonts w:ascii="Noto Sans CJK SC" w:hAnsi="Noto Sans CJK SC" w:eastAsia="Noto Sans CJK SC"/>
          <w:b w:val="0"/>
          <w:i w:val="0"/>
          <w:color w:val="627D98"/>
          <w:sz w:val="22"/>
        </w:rPr>
        <w:t>吸收成熟基础设施，不把核心投资判断外包给开源评分器。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2500"/>
        <w:gridCol w:w="2200"/>
        <w:gridCol w:w="2760"/>
      </w:tblGrid>
      <w:tr>
        <w:trPr>
          <w:tblHeader w:val="true"/>
        </w:trPr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模块</w:t>
            </w:r>
          </w:p>
        </w:tc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用途</w:t>
            </w:r>
          </w:p>
        </w:tc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接入方式</w:t>
            </w:r>
          </w:p>
        </w:tc>
        <w:tc>
          <w:tcPr>
            <w:tcW w:type="dxa" w:w="27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边界/风险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SQD Squid SDK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Solana/EVM 历史索引与 ETL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Provider Adapter；历史回填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Apache-2.0；需验证数据覆盖与供应 SLA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Yellowstone gRPC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Solana 低延迟链上事件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独立进程/服务边界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AGPL 边界需法务确认；不嵌入闭源核心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SPL Token-2022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官方代币扩展语义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协议解析真源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跟随官方版本；完整覆盖扩展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Solana Verifiable Build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Program 构建可验证性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审计证据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“可验证”不等于“无漏洞”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Ponder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BNB/EVM 事件索引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第二阶段索引服务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MIT；适合 Postgres + SQL/GraphQL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Mythril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EVM 字节码安全分析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隔离扫描任务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MIT；结果需人工/规则复核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Slither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EVM 源码静态分析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隔离服务或离线任务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AGPL；许可证与部署边界先审查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GoPlus SDK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第三方风险补充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只作 corroboration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不得作为唯一真源或单点门禁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BERTopic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叙事语义聚类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可替换模型插件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MIT；需防止 embedding 漂移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River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在线漂移/异常检测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特征监控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BSD；不直接决定推荐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Apache AGE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钱包与实体关系图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数据库扩展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图边必须保留证据与置信度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DuckDB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Parquet 历史回放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研究/回测运行时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防止将今天的维表倒灌过去</w:t>
            </w:r>
          </w:p>
        </w:tc>
      </w:tr>
    </w:tbl>
    <w:p>
      <w:pPr>
        <w:keepNext w:val="0"/>
        <w:spacing w:before="80" w:after="0" w:line="240" w:lineRule="auto"/>
        <w:jc w:val="left"/>
      </w:pPr>
      <w:r>
        <w:rPr>
          <w:rFonts w:ascii="Noto Sans CJK SC" w:hAnsi="Noto Sans CJK SC" w:eastAsia="Noto Sans CJK SC"/>
          <w:b w:val="0"/>
          <w:i w:val="0"/>
          <w:color w:val="627D98"/>
          <w:sz w:val="15"/>
        </w:rPr>
        <w:t>参考链接：github.com/subsquid/squid-sdk · github.com/ponder-sh/ponder · github.com/rpcpool/yellowstone-grpc · github.com/ConsenSysDiligence/mythril · github.com/crytic/slither · github.com/MaartenGr/BERTopic · github.com/online-ml/river · github.com/apache/age · github.com/duckdb/duckdb</w:t>
      </w:r>
    </w:p>
    <w:p>
      <w:pPr>
        <w:keepNext/>
        <w:pageBreakBefore/>
        <w:spacing w:before="0" w:after="60" w:line="264" w:lineRule="auto"/>
        <w:jc w:val="left"/>
      </w:pPr>
      <w:r>
        <w:rPr>
          <w:rFonts w:ascii="Noto Sans CJK SC" w:hAnsi="Noto Sans CJK SC" w:eastAsia="Noto Sans CJK SC"/>
          <w:b/>
          <w:i w:val="0"/>
          <w:color w:val="13B8C4"/>
          <w:sz w:val="18"/>
        </w:rPr>
        <w:t>14  /  PRODUCT DEFINITION</w:t>
      </w:r>
    </w:p>
    <w:p>
      <w:pPr>
        <w:keepNext/>
        <w:spacing w:before="0" w:after="100" w:line="264" w:lineRule="auto"/>
        <w:jc w:val="left"/>
        <w:pBdr>
          <w:bottom w:val="single" w:sz="14" w:space="4" w:color="13B8C4"/>
        </w:pBdr>
      </w:pPr>
      <w:r>
        <w:rPr>
          <w:rFonts w:ascii="Noto Sans CJK SC" w:hAnsi="Noto Sans CJK SC" w:eastAsia="Noto Sans CJK SC"/>
          <w:b/>
          <w:i w:val="0"/>
          <w:color w:val="102A43"/>
          <w:sz w:val="46"/>
        </w:rPr>
        <w:t>历史回放与前向 Shadow</w:t>
      </w:r>
    </w:p>
    <w:p>
      <w:pPr>
        <w:keepNext w:val="0"/>
        <w:spacing w:before="0" w:after="280" w:line="264" w:lineRule="auto"/>
        <w:jc w:val="left"/>
      </w:pPr>
      <w:r>
        <w:rPr>
          <w:rFonts w:ascii="Noto Sans CJK SC" w:hAnsi="Noto Sans CJK SC" w:eastAsia="Noto Sans CJK SC"/>
          <w:b w:val="0"/>
          <w:i w:val="0"/>
          <w:color w:val="627D98"/>
          <w:sz w:val="22"/>
        </w:rPr>
        <w:t>证据不是“看起来合理”，而是能在无前视条件下重复验证。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E74B5"/>
          <w:sz w:val="26"/>
        </w:rPr>
        <w:t>历史样本框架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1900"/>
        <w:gridCol w:w="5060"/>
      </w:tblGrid>
      <w:tr>
        <w:trPr>
          <w:tblHeader w:val="true"/>
        </w:trPr>
        <w:tc>
          <w:tcPr>
            <w:tcW w:type="dxa" w:w="24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02A43"/>
                <w:sz w:val="18"/>
              </w:rPr>
              <w:t>样本组</w:t>
            </w:r>
          </w:p>
        </w:tc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02A43"/>
                <w:sz w:val="18"/>
              </w:rPr>
              <w:t>建议规模</w:t>
            </w:r>
          </w:p>
        </w:tc>
        <w:tc>
          <w:tcPr>
            <w:tcW w:type="dxa" w:w="50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02A43"/>
                <w:sz w:val="18"/>
              </w:rPr>
              <w:t>目的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8"/>
              </w:rPr>
              <w:t>成功叙事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8"/>
              </w:rPr>
              <w:t>≥ 50 个项目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8"/>
              </w:rPr>
              <w:t>检验发现提前量、晋级质量与生命周期识别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8"/>
              </w:rPr>
              <w:t>失败/归零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8"/>
              </w:rPr>
              <w:t>≥ 100 个项目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8"/>
              </w:rPr>
              <w:t>检验风险门禁与生存偏差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8"/>
              </w:rPr>
              <w:t>Rug/Honeypot/抽池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8"/>
              </w:rPr>
              <w:t>覆盖主要攻击类型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8"/>
              </w:rPr>
              <w:t>验证关键失败能否在损失前出现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8"/>
              </w:rPr>
              <w:t>伪热度/刷量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8"/>
              </w:rPr>
              <w:t>多种操纵模式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8"/>
              </w:rPr>
              <w:t>验证实体聚类与反操纵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8"/>
              </w:rPr>
              <w:t>叙事对照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8"/>
              </w:rPr>
              <w:t>同周期非热点项目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8"/>
              </w:rPr>
              <w:t>判断系统是否只是跟随整体牛市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/>
          <w:b/>
          <w:color w:val="2E74B5"/>
          <w:sz w:val="26"/>
        </w:rPr>
        <w:t>回放要求</w:t>
      </w:r>
    </w:p>
    <w:p>
      <w:pPr>
        <w:numPr>
          <w:ilvl w:val="0"/>
          <w:numId w:val="910"/>
        </w:numPr>
      </w:pPr>
      <w:r>
        <w:rPr>
          <w:rFonts w:ascii="Noto Sans CJK SC" w:hAnsi="Noto Sans CJK SC" w:eastAsia="Noto Sans CJK SC"/>
          <w:color w:val="243B53"/>
          <w:sz w:val="21"/>
        </w:rPr>
        <w:t>按 observed_at 截断信息；任何后验标签只能用于评估，不能用于当时决策。</w:t>
      </w:r>
    </w:p>
    <w:p>
      <w:pPr>
        <w:numPr>
          <w:ilvl w:val="0"/>
          <w:numId w:val="910"/>
        </w:numPr>
      </w:pPr>
      <w:r>
        <w:rPr>
          <w:rFonts w:ascii="Noto Sans CJK SC" w:hAnsi="Noto Sans CJK SC" w:eastAsia="Noto Sans CJK SC"/>
          <w:color w:val="243B53"/>
          <w:sz w:val="21"/>
        </w:rPr>
        <w:t>项目发现时间以 STAR 可观察到的首次证据为准，不以历史最低价为准。</w:t>
      </w:r>
    </w:p>
    <w:p>
      <w:pPr>
        <w:numPr>
          <w:ilvl w:val="0"/>
          <w:numId w:val="910"/>
        </w:numPr>
      </w:pPr>
      <w:r>
        <w:rPr>
          <w:rFonts w:ascii="Noto Sans CJK SC" w:hAnsi="Noto Sans CJK SC" w:eastAsia="Noto Sans CJK SC"/>
          <w:color w:val="243B53"/>
          <w:sz w:val="21"/>
        </w:rPr>
        <w:t>收益使用当时池深度、路径、费用和滑点；无法退出记为失败，而非用收盘价。</w:t>
      </w:r>
    </w:p>
    <w:p>
      <w:pPr>
        <w:numPr>
          <w:ilvl w:val="0"/>
          <w:numId w:val="910"/>
        </w:numPr>
      </w:pPr>
      <w:r>
        <w:rPr>
          <w:rFonts w:ascii="Noto Sans CJK SC" w:hAnsi="Noto Sans CJK SC" w:eastAsia="Noto Sans CJK SC"/>
          <w:color w:val="243B53"/>
          <w:sz w:val="21"/>
        </w:rPr>
        <w:t>规则、模型、数据版本全部固化；回放结果可从原始事实重建。</w:t>
      </w:r>
    </w:p>
    <w:p>
      <w:pPr>
        <w:numPr>
          <w:ilvl w:val="0"/>
          <w:numId w:val="910"/>
        </w:numPr>
      </w:pPr>
      <w:r>
        <w:rPr>
          <w:rFonts w:ascii="Noto Sans CJK SC" w:hAnsi="Noto Sans CJK SC" w:eastAsia="Noto Sans CJK SC"/>
          <w:color w:val="243B53"/>
          <w:sz w:val="21"/>
        </w:rPr>
        <w:t>报告同时展示错过的赢家和误判的输家，禁止只讲成功案例。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E74B5"/>
          <w:sz w:val="26"/>
        </w:rPr>
        <w:t>Shadow 阶段</w:t>
      </w:r>
    </w:p>
    <w:p>
      <w:pPr>
        <w:keepNext w:val="0"/>
        <w:spacing w:before="0" w:after="120" w:line="264" w:lineRule="auto"/>
        <w:jc w:val="left"/>
      </w:pPr>
      <w:r>
        <w:rPr>
          <w:rFonts w:ascii="Noto Sans CJK SC" w:hAnsi="Noto Sans CJK SC" w:eastAsia="Noto Sans CJK SC"/>
          <w:b w:val="0"/>
          <w:i w:val="0"/>
          <w:color w:val="243B53"/>
          <w:sz w:val="22"/>
        </w:rPr>
        <w:t>Shadow 只记录“若按当时规则研究/观察”的虚拟决策，不持有可签名端口。每个观察项保存进入理由、失效条件、模拟规模、可退出性和退出规则。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DECEC"/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9B1C1C"/>
                <w:sz w:val="21"/>
              </w:rPr>
              <w:t>结构性安全</w:t>
            </w:r>
          </w:p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20"/>
              </w:rPr>
              <w:t>Shadow 模块在类型和部署上都不能访问钱包、私钥或 submit/cancel 能力；不是靠配置项关闭交易，而是根本不存在交易接口。</w:t>
            </w:r>
          </w:p>
        </w:tc>
      </w:tr>
    </w:tbl>
    <w:p>
      <w:pPr>
        <w:keepNext/>
        <w:pageBreakBefore w:val="0"/>
        <w:spacing w:before="0" w:after="60" w:line="264" w:lineRule="auto"/>
        <w:jc w:val="left"/>
      </w:pPr>
      <w:r>
        <w:rPr>
          <w:rFonts w:ascii="Noto Sans CJK SC" w:hAnsi="Noto Sans CJK SC" w:eastAsia="Noto Sans CJK SC"/>
          <w:b/>
          <w:i w:val="0"/>
          <w:color w:val="13B8C4"/>
          <w:sz w:val="18"/>
        </w:rPr>
        <w:t>15  /  PRODUCT DEFINITION</w:t>
      </w:r>
    </w:p>
    <w:p>
      <w:pPr>
        <w:keepNext/>
        <w:spacing w:before="0" w:after="100" w:line="264" w:lineRule="auto"/>
        <w:jc w:val="left"/>
        <w:pBdr>
          <w:bottom w:val="single" w:sz="14" w:space="4" w:color="13B8C4"/>
        </w:pBdr>
      </w:pPr>
      <w:r>
        <w:rPr>
          <w:rFonts w:ascii="Noto Sans CJK SC" w:hAnsi="Noto Sans CJK SC" w:eastAsia="Noto Sans CJK SC"/>
          <w:b/>
          <w:i w:val="0"/>
          <w:color w:val="102A43"/>
          <w:sz w:val="46"/>
        </w:rPr>
        <w:t>成功指标与验收</w:t>
      </w:r>
    </w:p>
    <w:p>
      <w:pPr>
        <w:keepNext w:val="0"/>
        <w:spacing w:before="0" w:after="280" w:line="264" w:lineRule="auto"/>
        <w:jc w:val="left"/>
      </w:pPr>
      <w:r>
        <w:rPr>
          <w:rFonts w:ascii="Noto Sans CJK SC" w:hAnsi="Noto Sans CJK SC" w:eastAsia="Noto Sans CJK SC"/>
          <w:b w:val="0"/>
          <w:i w:val="0"/>
          <w:color w:val="627D98"/>
          <w:sz w:val="22"/>
        </w:rPr>
        <w:t>产品成功不是“命中过一个百倍币”，而是稳定提高发现质量并减少不可恢复错误。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4200"/>
        <w:gridCol w:w="2660"/>
      </w:tblGrid>
      <w:tr>
        <w:trPr>
          <w:tblHeader w:val="true"/>
        </w:trPr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指标</w:t>
            </w:r>
          </w:p>
        </w:tc>
        <w:tc>
          <w:tcPr>
            <w:tcW w:type="dxa" w:w="4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定义</w:t>
            </w:r>
          </w:p>
        </w:tc>
        <w:tc>
          <w:tcPr>
            <w:tcW w:type="dxa" w:w="26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MVP 目标（建议）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Discovery Lead Time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首次发现到叙事主流/价格加速之间的时间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成功样本中位数领先 ≥ 48h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Critical Miss Rate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已知关键风险未被门禁阻断的比例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0；任何一例即 NO-GO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High-risk Intercept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Rug/不可卖/抽池样本被及时阻断比例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≥ 90%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Top-K Precision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每日/每周 Top-K 中 30/90 天存活且可退出比例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先建基线，再冻结阈值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Evidence Completeness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关键字段有新鲜证据的比例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可决策项目 100%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False Alert Rate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关闭后判定无需行动的 HIGH/CRITICAL 告警比例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≤ 20%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Replay Reproducibility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同版本、同快照回放输出一致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100%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Shadow Drawdown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按真实流动性估算的最大回撤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不设收益承诺；与基准并列</w:t>
            </w:r>
          </w:p>
        </w:tc>
      </w:tr>
    </w:tbl>
    <w:p>
      <w:pPr>
        <w:keepNext w:val="0"/>
        <w:spacing w:before="0" w:after="120" w:line="264" w:lineRule="auto"/>
        <w:jc w:val="left"/>
      </w:pPr>
      <w:r>
        <w:rPr>
          <w:rFonts w:ascii="Noto Sans CJK SC" w:hAnsi="Noto Sans CJK SC" w:eastAsia="Noto Sans CJK SC"/>
          <w:b w:val="0"/>
          <w:i/>
          <w:color w:val="627D98"/>
          <w:sz w:val="18"/>
        </w:rPr>
        <w:t>所有数字均为 v1.0 建议目标，需要在历史语料完成后校准；Critical Miss Rate 与 point-in-time 一致性属于硬门禁，不因样本不足降低要求。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E74B5"/>
          <w:sz w:val="26"/>
        </w:rPr>
        <w:t>质量 SLO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6260"/>
      </w:tblGrid>
      <w:tr>
        <w:trPr>
          <w:tblHeader w:val="true"/>
        </w:trPr>
        <w:tc>
          <w:tcPr>
            <w:tcW w:type="dxa" w:w="3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02A43"/>
                <w:sz w:val="18"/>
              </w:rPr>
              <w:t>能力</w:t>
            </w:r>
          </w:p>
        </w:tc>
        <w:tc>
          <w:tcPr>
            <w:tcW w:type="dxa" w:w="62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02A43"/>
                <w:sz w:val="18"/>
              </w:rPr>
              <w:t>目标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8"/>
              </w:rPr>
              <w:t>Solana 链上关键事件延迟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8"/>
              </w:rPr>
              <w:t>P95 ≤ 60 秒；来源故障时明确 UNKNOWN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8"/>
              </w:rPr>
              <w:t>项目审计卡首次形成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8"/>
              </w:rPr>
              <w:t>发现后 ≤ 10 分钟生成基础卡，关键字段允许 UNKNOWN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8"/>
              </w:rPr>
              <w:t>可追溯性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8"/>
              </w:rPr>
              <w:t>每个风险结论、评分特征和生命周期切换 100% 可追溯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8"/>
              </w:rPr>
              <w:t>幂等性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8"/>
              </w:rPr>
              <w:t>重复区块、事件、来源响应不产生重复经济或风险事实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8"/>
              </w:rPr>
              <w:t>恢复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8"/>
              </w:rPr>
              <w:t>可从不可变原始事件重建派生状态并复现同版本输出</w:t>
            </w:r>
          </w:p>
        </w:tc>
      </w:tr>
    </w:tbl>
    <w:p>
      <w:pPr>
        <w:keepNext/>
        <w:pageBreakBefore/>
        <w:spacing w:before="0" w:after="60" w:line="264" w:lineRule="auto"/>
        <w:jc w:val="left"/>
      </w:pPr>
      <w:r>
        <w:rPr>
          <w:rFonts w:ascii="Noto Sans CJK SC" w:hAnsi="Noto Sans CJK SC" w:eastAsia="Noto Sans CJK SC"/>
          <w:b/>
          <w:i w:val="0"/>
          <w:color w:val="13B8C4"/>
          <w:sz w:val="18"/>
        </w:rPr>
        <w:t>16  /  PRODUCT DEFINITION</w:t>
      </w:r>
    </w:p>
    <w:p>
      <w:pPr>
        <w:keepNext/>
        <w:spacing w:before="0" w:after="100" w:line="264" w:lineRule="auto"/>
        <w:jc w:val="left"/>
        <w:pBdr>
          <w:bottom w:val="single" w:sz="14" w:space="4" w:color="13B8C4"/>
        </w:pBdr>
      </w:pPr>
      <w:r>
        <w:rPr>
          <w:rFonts w:ascii="Noto Sans CJK SC" w:hAnsi="Noto Sans CJK SC" w:eastAsia="Noto Sans CJK SC"/>
          <w:b/>
          <w:i w:val="0"/>
          <w:color w:val="102A43"/>
          <w:sz w:val="46"/>
        </w:rPr>
        <w:t>分阶段路线图与 GO / NO-GO</w:t>
      </w:r>
    </w:p>
    <w:p>
      <w:pPr>
        <w:keepNext w:val="0"/>
        <w:spacing w:before="0" w:after="280" w:line="264" w:lineRule="auto"/>
        <w:jc w:val="left"/>
      </w:pPr>
      <w:r>
        <w:rPr>
          <w:rFonts w:ascii="Noto Sans CJK SC" w:hAnsi="Noto Sans CJK SC" w:eastAsia="Noto Sans CJK SC"/>
          <w:b w:val="0"/>
          <w:i w:val="0"/>
          <w:color w:val="627D98"/>
          <w:sz w:val="22"/>
        </w:rPr>
        <w:t>先证明 Solana 研究闭环，再扩链；先证明信息优势，再讨论资金。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50"/>
        <w:gridCol w:w="2500"/>
        <w:gridCol w:w="3000"/>
        <w:gridCol w:w="2310"/>
      </w:tblGrid>
      <w:tr>
        <w:trPr>
          <w:tblHeader w:val="true"/>
        </w:trPr>
        <w:tc>
          <w:tcPr>
            <w:tcW w:type="dxa" w:w="15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阶段</w:t>
            </w:r>
          </w:p>
        </w:tc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范围</w:t>
            </w:r>
          </w:p>
        </w:tc>
        <w:tc>
          <w:tcPr>
            <w:tcW w:type="dxa" w:w="3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交付</w:t>
            </w:r>
          </w:p>
        </w:tc>
        <w:tc>
          <w:tcPr>
            <w:tcW w:type="dxa" w:w="23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GO 条件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P0 产品合同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对象、证据时间、门禁、指标、许可证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本 PRD + 数据源矩阵 + 历史样本规范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冻结关键定义；关键数据源可合法获得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P1 Solana Read-only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链、叙事、项目、审计、风险告警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6 页面 MVP + 原始事实仓 + 项目卡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关键风险 UNKNOWN fail-closed；可回放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P2 Historical Replay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成功/失败/操纵样本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无前视回放与误差报告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Critical Miss=0；结果可重复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P3 Forward Shadow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实时候选与虚拟决策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Shadow Portfolio + 周复盘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连续 90–180 天数据稳定；指标达到冻结阈值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P4 BNB Chain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EVM 索引与安全扫描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Ponder + EVM 门禁 + 跨链叙事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Solana 闭环已 PASS；许可证边界完成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P5 资金评审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仅评审是否需要人工批准的小额执行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独立 RFC，不属于当前范围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需要全新安全审计与明确授权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/>
          <w:b/>
          <w:color w:val="2E74B5"/>
          <w:sz w:val="26"/>
        </w:rPr>
        <w:t>首个 12 周计划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4100"/>
        <w:gridCol w:w="3660"/>
      </w:tblGrid>
      <w:tr>
        <w:trPr>
          <w:tblHeader w:val="true"/>
        </w:trPr>
        <w:tc>
          <w:tcPr>
            <w:tcW w:type="dxa" w:w="1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02A43"/>
                <w:sz w:val="18"/>
              </w:rPr>
              <w:t>周期</w:t>
            </w:r>
          </w:p>
        </w:tc>
        <w:tc>
          <w:tcPr>
            <w:tcW w:type="dxa" w:w="4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02A43"/>
                <w:sz w:val="18"/>
              </w:rPr>
              <w:t>重点</w:t>
            </w:r>
          </w:p>
        </w:tc>
        <w:tc>
          <w:tcPr>
            <w:tcW w:type="dxa" w:w="36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02A43"/>
                <w:sz w:val="18"/>
              </w:rPr>
              <w:t>可验收结果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8"/>
              </w:rPr>
              <w:t>W1–2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8"/>
              </w:rPr>
              <w:t>数据源/许可尽调、领域模型、历史样本清单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8"/>
              </w:rPr>
              <w:t>Source Registry；50 成功 + 100 失败候选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8"/>
              </w:rPr>
              <w:t>W3–5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8"/>
              </w:rPr>
              <w:t>Solana 索引、Token/Pool/Wallet/Program 事实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8"/>
              </w:rPr>
              <w:t>点时事实表；原始事件可重放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8"/>
              </w:rPr>
              <w:t>W6–8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8"/>
              </w:rPr>
              <w:t>门禁、钱包聚类、项目审计卡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8"/>
              </w:rPr>
              <w:t>离线风险用例；关键 UNKNOWN 阻断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8"/>
              </w:rPr>
              <w:t>W9–10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8"/>
              </w:rPr>
              <w:t>叙事聚类、生命周期、STAR Desk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8"/>
              </w:rPr>
              <w:t>历史周期可视化与候选漏斗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8"/>
              </w:rPr>
              <w:t>W11–12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8"/>
              </w:rPr>
              <w:t>Replay Lab、指标基线、内部试用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8"/>
              </w:rPr>
              <w:t>第一次 GO/NO-GO 评审</w:t>
            </w:r>
          </w:p>
        </w:tc>
      </w:tr>
    </w:tbl>
    <w:p>
      <w:pPr>
        <w:keepNext/>
        <w:pageBreakBefore w:val="0"/>
        <w:spacing w:before="0" w:after="60" w:line="264" w:lineRule="auto"/>
        <w:jc w:val="left"/>
      </w:pPr>
      <w:r>
        <w:rPr>
          <w:rFonts w:ascii="Noto Sans CJK SC" w:hAnsi="Noto Sans CJK SC" w:eastAsia="Noto Sans CJK SC"/>
          <w:b/>
          <w:i w:val="0"/>
          <w:color w:val="13B8C4"/>
          <w:sz w:val="18"/>
        </w:rPr>
        <w:t>17  /  PRODUCT DEFINITION</w:t>
      </w:r>
    </w:p>
    <w:p>
      <w:pPr>
        <w:keepNext/>
        <w:spacing w:before="0" w:after="100" w:line="264" w:lineRule="auto"/>
        <w:jc w:val="left"/>
        <w:pBdr>
          <w:bottom w:val="single" w:sz="14" w:space="4" w:color="13B8C4"/>
        </w:pBdr>
      </w:pPr>
      <w:r>
        <w:rPr>
          <w:rFonts w:ascii="Noto Sans CJK SC" w:hAnsi="Noto Sans CJK SC" w:eastAsia="Noto Sans CJK SC"/>
          <w:b/>
          <w:i w:val="0"/>
          <w:color w:val="102A43"/>
          <w:sz w:val="46"/>
        </w:rPr>
        <w:t>MVP 需求清单</w:t>
      </w:r>
    </w:p>
    <w:p>
      <w:pPr>
        <w:keepNext w:val="0"/>
        <w:spacing w:before="0" w:after="280" w:line="264" w:lineRule="auto"/>
        <w:jc w:val="left"/>
      </w:pPr>
      <w:r>
        <w:rPr>
          <w:rFonts w:ascii="Noto Sans CJK SC" w:hAnsi="Noto Sans CJK SC" w:eastAsia="Noto Sans CJK SC"/>
          <w:b w:val="0"/>
          <w:i w:val="0"/>
          <w:color w:val="627D98"/>
          <w:sz w:val="22"/>
        </w:rPr>
        <w:t>把第一版砍到能证明价值的最小闭环。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E74B5"/>
          <w:sz w:val="26"/>
        </w:rPr>
        <w:t>Must Have</w:t>
      </w:r>
    </w:p>
    <w:p>
      <w:pPr>
        <w:numPr>
          <w:ilvl w:val="0"/>
          <w:numId w:val="910"/>
        </w:numPr>
      </w:pPr>
      <w:r>
        <w:rPr>
          <w:rFonts w:ascii="Noto Sans CJK SC" w:hAnsi="Noto Sans CJK SC" w:eastAsia="Noto Sans CJK SC"/>
          <w:color w:val="243B53"/>
          <w:sz w:val="21"/>
        </w:rPr>
        <w:t>Solana 区块/交易/代币/池/Program 的幂等索引与不可变原始事实。</w:t>
      </w:r>
    </w:p>
    <w:p>
      <w:pPr>
        <w:numPr>
          <w:ilvl w:val="0"/>
          <w:numId w:val="910"/>
        </w:numPr>
      </w:pPr>
      <w:r>
        <w:rPr>
          <w:rFonts w:ascii="Noto Sans CJK SC" w:hAnsi="Noto Sans CJK SC" w:eastAsia="Noto Sans CJK SC"/>
          <w:color w:val="243B53"/>
          <w:sz w:val="21"/>
        </w:rPr>
        <w:t>Project / Token / Program / Wallet / Entity / Narrative / Evidence 的基础对象模型。</w:t>
      </w:r>
    </w:p>
    <w:p>
      <w:pPr>
        <w:numPr>
          <w:ilvl w:val="0"/>
          <w:numId w:val="910"/>
        </w:numPr>
      </w:pPr>
      <w:r>
        <w:rPr>
          <w:rFonts w:ascii="Noto Sans CJK SC" w:hAnsi="Noto Sans CJK SC" w:eastAsia="Noto Sans CJK SC"/>
          <w:color w:val="243B53"/>
          <w:sz w:val="21"/>
        </w:rPr>
        <w:t>Token 权限、可买可卖、流动性、持仓集中、关联钱包、代码可验证性的硬门禁。</w:t>
      </w:r>
    </w:p>
    <w:p>
      <w:pPr>
        <w:numPr>
          <w:ilvl w:val="0"/>
          <w:numId w:val="910"/>
        </w:numPr>
      </w:pPr>
      <w:r>
        <w:rPr>
          <w:rFonts w:ascii="Noto Sans CJK SC" w:hAnsi="Noto Sans CJK SC" w:eastAsia="Noto Sans CJK SC"/>
          <w:color w:val="243B53"/>
          <w:sz w:val="21"/>
        </w:rPr>
        <w:t>证据时间、来源、哈希、冲突、UNKNOWN、新鲜度和规则版本。</w:t>
      </w:r>
    </w:p>
    <w:p>
      <w:pPr>
        <w:numPr>
          <w:ilvl w:val="0"/>
          <w:numId w:val="910"/>
        </w:numPr>
      </w:pPr>
      <w:r>
        <w:rPr>
          <w:rFonts w:ascii="Noto Sans CJK SC" w:hAnsi="Noto Sans CJK SC" w:eastAsia="Noto Sans CJK SC"/>
          <w:color w:val="243B53"/>
          <w:sz w:val="21"/>
        </w:rPr>
        <w:t>叙事聚类、阶段状态机、项目候选漏斗与 Top-K 研究队列。</w:t>
      </w:r>
    </w:p>
    <w:p>
      <w:pPr>
        <w:numPr>
          <w:ilvl w:val="0"/>
          <w:numId w:val="910"/>
        </w:numPr>
      </w:pPr>
      <w:r>
        <w:rPr>
          <w:rFonts w:ascii="Noto Sans CJK SC" w:hAnsi="Noto Sans CJK SC" w:eastAsia="Noto Sans CJK SC"/>
          <w:color w:val="243B53"/>
          <w:sz w:val="21"/>
        </w:rPr>
        <w:t>STAR Desk、Cycle Radar、Narrative Map、Project Audit、Risk Center、Replay Lab。</w:t>
      </w:r>
    </w:p>
    <w:p>
      <w:pPr>
        <w:numPr>
          <w:ilvl w:val="0"/>
          <w:numId w:val="910"/>
        </w:numPr>
      </w:pPr>
      <w:r>
        <w:rPr>
          <w:rFonts w:ascii="Noto Sans CJK SC" w:hAnsi="Noto Sans CJK SC" w:eastAsia="Noto Sans CJK SC"/>
          <w:color w:val="243B53"/>
          <w:sz w:val="21"/>
        </w:rPr>
        <w:t>历史无前视回放与确定性输出；关键用例和性质测试。</w:t>
      </w:r>
    </w:p>
    <w:p>
      <w:pPr>
        <w:numPr>
          <w:ilvl w:val="0"/>
          <w:numId w:val="910"/>
        </w:numPr>
      </w:pPr>
      <w:r>
        <w:rPr>
          <w:rFonts w:ascii="Noto Sans CJK SC" w:hAnsi="Noto Sans CJK SC" w:eastAsia="Noto Sans CJK SC"/>
          <w:color w:val="243B53"/>
          <w:sz w:val="21"/>
        </w:rPr>
        <w:t>审计日志、角色权限、数据健康与来源故障降级。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E74B5"/>
          <w:sz w:val="26"/>
        </w:rPr>
        <w:t>Should / Later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02A43"/>
                <w:sz w:val="18"/>
              </w:rPr>
              <w:t>Should（MVP 后）</w:t>
            </w:r>
          </w:p>
        </w:tc>
        <w:tc>
          <w:tcPr>
            <w:tcW w:type="dxa" w:w="46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02A43"/>
                <w:sz w:val="18"/>
              </w:rPr>
              <w:t>Later（证据证明后）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8"/>
              </w:rPr>
              <w:t>Forward Shadow、跨链叙事、更多社交源、团队履历图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8"/>
              </w:rPr>
              <w:t>BNB Chain、机构级协作、组合研究预算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8"/>
              </w:rPr>
              <w:t>更强的模拟交易、路由与拥堵模型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8"/>
              </w:rPr>
              <w:t>人工批准的小额执行 RFC（当前不授权）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8"/>
              </w:rPr>
              <w:t>模型漂移检测、主动学习、分析师反馈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8"/>
              </w:rPr>
              <w:t>其他热点链；每条链都须独立 GO/NO-GO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/>
          <w:b/>
          <w:color w:val="2E74B5"/>
          <w:sz w:val="26"/>
        </w:rPr>
        <w:t>明确不做</w:t>
      </w:r>
    </w:p>
    <w:p>
      <w:pPr>
        <w:keepNext w:val="0"/>
        <w:spacing w:before="0" w:after="120" w:line="264" w:lineRule="auto"/>
        <w:jc w:val="left"/>
      </w:pPr>
      <w:r>
        <w:rPr>
          <w:rFonts w:ascii="Noto Sans CJK SC" w:hAnsi="Noto Sans CJK SC" w:eastAsia="Noto Sans CJK SC"/>
          <w:b/>
          <w:i w:val="0"/>
          <w:color w:val="9B1C1C"/>
          <w:sz w:val="21"/>
        </w:rPr>
        <w:t>钱包连接、私钥、下单、狙击、跟单、杠杆、AURORA 集成、把所有链一次性接入、单一外部 API 决策、无法回放的黑箱分数。</w:t>
      </w:r>
    </w:p>
    <w:p>
      <w:pPr>
        <w:keepNext/>
        <w:pageBreakBefore/>
        <w:spacing w:before="0" w:after="60" w:line="264" w:lineRule="auto"/>
        <w:jc w:val="left"/>
      </w:pPr>
      <w:r>
        <w:rPr>
          <w:rFonts w:ascii="Noto Sans CJK SC" w:hAnsi="Noto Sans CJK SC" w:eastAsia="Noto Sans CJK SC"/>
          <w:b/>
          <w:i w:val="0"/>
          <w:color w:val="13B8C4"/>
          <w:sz w:val="18"/>
        </w:rPr>
        <w:t>18  /  PRODUCT DEFINITION</w:t>
      </w:r>
    </w:p>
    <w:p>
      <w:pPr>
        <w:keepNext/>
        <w:spacing w:before="0" w:after="100" w:line="264" w:lineRule="auto"/>
        <w:jc w:val="left"/>
        <w:pBdr>
          <w:bottom w:val="single" w:sz="14" w:space="4" w:color="13B8C4"/>
        </w:pBdr>
      </w:pPr>
      <w:r>
        <w:rPr>
          <w:rFonts w:ascii="Noto Sans CJK SC" w:hAnsi="Noto Sans CJK SC" w:eastAsia="Noto Sans CJK SC"/>
          <w:b/>
          <w:i w:val="0"/>
          <w:color w:val="102A43"/>
          <w:sz w:val="46"/>
        </w:rPr>
        <w:t>主要风险与控制</w:t>
      </w:r>
    </w:p>
    <w:p>
      <w:pPr>
        <w:keepNext w:val="0"/>
        <w:spacing w:before="0" w:after="280" w:line="264" w:lineRule="auto"/>
        <w:jc w:val="left"/>
      </w:pPr>
      <w:r>
        <w:rPr>
          <w:rFonts w:ascii="Noto Sans CJK SC" w:hAnsi="Noto Sans CJK SC" w:eastAsia="Noto Sans CJK SC"/>
          <w:b w:val="0"/>
          <w:i w:val="0"/>
          <w:color w:val="627D98"/>
          <w:sz w:val="22"/>
        </w:rPr>
        <w:t>STAR 本身也会被数据、模型和叙事操纵；产品必须把这些风险显式化。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100"/>
        <w:gridCol w:w="4060"/>
      </w:tblGrid>
      <w:tr>
        <w:trPr>
          <w:tblHeader w:val="true"/>
        </w:trPr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风险</w:t>
            </w:r>
          </w:p>
        </w:tc>
        <w:tc>
          <w:tcPr>
            <w:tcW w:type="dxa" w:w="3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表现</w:t>
            </w:r>
          </w:p>
        </w:tc>
        <w:tc>
          <w:tcPr>
            <w:tcW w:type="dxa" w:w="40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控制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前视/生存偏差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回放只保留赢家或使用后验身份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三重时间、失败样本、点时维表、盲测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数据许可/封禁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社交和第三方源突然不可用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Source Registry、合法来源、适配器、降级 UNKNOWN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实体误归因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把独立钱包误判为团队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多证据、概率边、人工复核、可撤销结论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模型漂移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热点语义与操纵方式变化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漂移监控、版本化、消融、定期重训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供应商结论污染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第三方风险标签错误进入真源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原始响应、冲突模型、永不单点门禁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低流动性幻觉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账面收益无法真实退出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池级冲击、路由、费用、拥堵与失败模拟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过度自动化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高分被误解为买入指令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只读、无钱包能力、人工决策、措辞约束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许可证传染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AGPL 组件嵌入闭源服务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7"/>
              </w:rPr>
              <w:t>进程边界、法务评审、可替换适配器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DECEC"/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9B1C1C"/>
                <w:sz w:val="21"/>
              </w:rPr>
              <w:t>最高风险</w:t>
            </w:r>
          </w:p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43B53"/>
                <w:sz w:val="20"/>
              </w:rPr>
              <w:t>最危险的不是漏掉一个热点，而是系统用不完整事实给出确定结论。STAR 宁可少推荐，也不能把 UNKNOWN 伪装成 PASS。</w:t>
            </w:r>
          </w:p>
        </w:tc>
      </w:tr>
    </w:tbl>
    <w:p>
      <w:pPr>
        <w:keepNext/>
        <w:pageBreakBefore/>
        <w:spacing w:before="0" w:after="60" w:line="264" w:lineRule="auto"/>
        <w:jc w:val="left"/>
      </w:pPr>
      <w:r>
        <w:rPr>
          <w:rFonts w:ascii="Noto Sans CJK SC" w:hAnsi="Noto Sans CJK SC" w:eastAsia="Noto Sans CJK SC"/>
          <w:b/>
          <w:i w:val="0"/>
          <w:color w:val="13B8C4"/>
          <w:sz w:val="18"/>
        </w:rPr>
        <w:t>19  /  PRODUCT DEFINITION</w:t>
      </w:r>
    </w:p>
    <w:p>
      <w:pPr>
        <w:keepNext/>
        <w:spacing w:before="0" w:after="100" w:line="264" w:lineRule="auto"/>
        <w:jc w:val="left"/>
        <w:pBdr>
          <w:bottom w:val="single" w:sz="14" w:space="4" w:color="13B8C4"/>
        </w:pBdr>
      </w:pPr>
      <w:r>
        <w:rPr>
          <w:rFonts w:ascii="Noto Sans CJK SC" w:hAnsi="Noto Sans CJK SC" w:eastAsia="Noto Sans CJK SC"/>
          <w:b/>
          <w:i w:val="0"/>
          <w:color w:val="102A43"/>
          <w:sz w:val="46"/>
        </w:rPr>
        <w:t>冻结决策、开放问题与下一步</w:t>
      </w:r>
    </w:p>
    <w:p>
      <w:pPr>
        <w:keepNext w:val="0"/>
        <w:spacing w:before="0" w:after="280" w:line="264" w:lineRule="auto"/>
        <w:jc w:val="left"/>
      </w:pPr>
      <w:r>
        <w:rPr>
          <w:rFonts w:ascii="Noto Sans CJK SC" w:hAnsi="Noto Sans CJK SC" w:eastAsia="Noto Sans CJK SC"/>
          <w:b w:val="0"/>
          <w:i w:val="0"/>
          <w:color w:val="627D98"/>
          <w:sz w:val="22"/>
        </w:rPr>
        <w:t>这份文档完成产品定义；下一轮应转入数据合同和原型，而不是直接写全栈。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E74B5"/>
          <w:sz w:val="26"/>
        </w:rPr>
        <w:t>已冻结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02A43"/>
                <w:sz w:val="18"/>
              </w:rPr>
              <w:t>决策</w:t>
            </w:r>
          </w:p>
        </w:tc>
        <w:tc>
          <w:tcPr>
            <w:tcW w:type="dxa" w:w="67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02A43"/>
                <w:sz w:val="18"/>
              </w:rPr>
              <w:t>结果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8"/>
              </w:rPr>
              <w:t>产品名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8"/>
              </w:rPr>
              <w:t>STAR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8"/>
              </w:rPr>
              <w:t>品牌语义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8"/>
              </w:rPr>
              <w:t>Signal · Truth · Alpha · Risk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8"/>
              </w:rPr>
              <w:t>项目关系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8"/>
              </w:rPr>
              <w:t>完全独立于 AURORA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8"/>
              </w:rPr>
              <w:t>链路顺序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8"/>
              </w:rPr>
              <w:t>Solana 第一；BNB Chain 第二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8"/>
              </w:rPr>
              <w:t>能力边界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8"/>
              </w:rPr>
              <w:t>只读研究；不连接钱包；不交易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8"/>
              </w:rPr>
              <w:t>判断模型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8"/>
              </w:rPr>
              <w:t>硬门禁与机会评分分离；关键 UNKNOWN fail-closed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8"/>
              </w:rPr>
              <w:t>证据纪律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B53"/>
                <w:sz w:val="18"/>
              </w:rPr>
              <w:t>point-in-time、可追溯、可重放、版本化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/>
          <w:b/>
          <w:color w:val="2E74B5"/>
          <w:sz w:val="26"/>
        </w:rPr>
        <w:t>需要产品负责人确认</w:t>
      </w:r>
    </w:p>
    <w:p>
      <w:pPr>
        <w:numPr>
          <w:ilvl w:val="0"/>
          <w:numId w:val="912"/>
        </w:numPr>
      </w:pPr>
      <w:r>
        <w:rPr>
          <w:rFonts w:ascii="Noto Sans CJK SC" w:hAnsi="Noto Sans CJK SC" w:eastAsia="Noto Sans CJK SC"/>
          <w:color w:val="243B53"/>
          <w:sz w:val="21"/>
        </w:rPr>
        <w:t>STAR 第一版是单人研究工作台，还是从一开始支持 3–5 人协作与审批？</w:t>
      </w:r>
    </w:p>
    <w:p>
      <w:pPr>
        <w:numPr>
          <w:ilvl w:val="0"/>
          <w:numId w:val="912"/>
        </w:numPr>
      </w:pPr>
      <w:r>
        <w:rPr>
          <w:rFonts w:ascii="Noto Sans CJK SC" w:hAnsi="Noto Sans CJK SC" w:eastAsia="Noto Sans CJK SC"/>
          <w:color w:val="243B53"/>
          <w:sz w:val="21"/>
        </w:rPr>
        <w:t>首批历史语料是否固定为：铭文、Solana Meme、AI/AI Agent，并加入相同周期失败对照？</w:t>
      </w:r>
    </w:p>
    <w:p>
      <w:pPr>
        <w:numPr>
          <w:ilvl w:val="0"/>
          <w:numId w:val="912"/>
        </w:numPr>
      </w:pPr>
      <w:r>
        <w:rPr>
          <w:rFonts w:ascii="Noto Sans CJK SC" w:hAnsi="Noto Sans CJK SC" w:eastAsia="Noto Sans CJK SC"/>
          <w:color w:val="243B53"/>
          <w:sz w:val="21"/>
        </w:rPr>
        <w:t>社交源优先级与合规边界：X、Telegram、Discord、GitHub、新闻与官网，哪些具备合法稳定访问？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E74B5"/>
          <w:sz w:val="26"/>
        </w:rPr>
        <w:t>下一轮交付建议</w:t>
      </w:r>
    </w:p>
    <w:p>
      <w:pPr>
        <w:keepNext w:val="0"/>
        <w:spacing w:before="0" w:after="60" w:line="264" w:lineRule="auto"/>
        <w:jc w:val="left"/>
      </w:pPr>
      <w:r>
        <w:rPr>
          <w:rFonts w:ascii="Noto Sans CJK SC" w:hAnsi="Noto Sans CJK SC" w:eastAsia="Noto Sans CJK SC"/>
          <w:b/>
          <w:i w:val="0"/>
          <w:color w:val="18794E"/>
          <w:sz w:val="20"/>
        </w:rPr>
        <w:t>STAR Product Sprint 01</w:t>
      </w:r>
    </w:p>
    <w:p>
      <w:pPr>
        <w:keepNext w:val="0"/>
        <w:spacing w:before="0" w:after="100" w:line="264" w:lineRule="auto"/>
        <w:jc w:val="left"/>
      </w:pPr>
      <w:r>
        <w:rPr>
          <w:rFonts w:ascii="Noto Sans CJK SC" w:hAnsi="Noto Sans CJK SC" w:eastAsia="Noto Sans CJK SC"/>
          <w:b w:val="0"/>
          <w:i w:val="0"/>
          <w:color w:val="243B53"/>
          <w:sz w:val="19"/>
        </w:rPr>
        <w:t>交付数据源与许可证矩阵、领域模型 ERD、项目审计卡低保真原型、Solana 50+100 历史样本规范和 P1 验收测试目录。</w:t>
      </w:r>
    </w:p>
    <w:p>
      <w:pPr>
        <w:keepNext w:val="0"/>
        <w:spacing w:before="0" w:after="0" w:line="264" w:lineRule="auto"/>
        <w:jc w:val="left"/>
      </w:pPr>
      <w:r>
        <w:rPr>
          <w:rFonts w:ascii="Noto Sans CJK SC" w:hAnsi="Noto Sans CJK SC" w:eastAsia="Noto Sans CJK SC"/>
          <w:b/>
          <w:i w:val="0"/>
          <w:color w:val="9B1C1C"/>
          <w:sz w:val="18"/>
        </w:rPr>
        <w:t>批准本产品定义不等于批准资金接入。钱包、签名或交易能力必须经过独立 RFC、安全边界和新的 GO/NO-GO 审计。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/>
        <w:color w:val="627D98"/>
        <w:sz w:val="17"/>
      </w:rPr>
      <w:t xml:space="preserve">STAR  · 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6" w:space="3" w:color="D8E1E8"/>
      </w:pBdr>
    </w:pPr>
    <w:r>
      <w:rPr>
        <w:rFonts w:ascii="Noto Sans CJK SC" w:hAnsi="Noto Sans CJK SC" w:eastAsia="Noto Sans CJK SC"/>
        <w:b/>
        <w:color w:val="627D98"/>
        <w:sz w:val="17"/>
      </w:rPr>
      <w:t>STAR  /  PRODUCT DEFINITION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10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  <w:spacing w:after="160" w:line="280" w:lineRule="auto"/>
      </w:pPr>
    </w:lvl>
  </w:abstractNum>
  <w:num w:numId="910">
    <w:abstractNumId w:val="910"/>
  </w:num>
  <w:abstractNum w:abstractNumId="911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  <w:spacing w:after="160" w:line="280" w:lineRule="auto"/>
      </w:pPr>
    </w:lvl>
  </w:abstractNum>
  <w:num w:numId="911">
    <w:abstractNumId w:val="911"/>
  </w:num>
  <w:abstractNum w:abstractNumId="912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  <w:spacing w:after="160" w:line="280" w:lineRule="auto"/>
      </w:pPr>
    </w:lvl>
  </w:abstractNum>
  <w:num w:numId="912">
    <w:abstractNumId w:val="9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Noto Sans CJK SC" w:hAnsi="Noto Sans CJK SC" w:eastAsia="Noto Sans CJK SC"/>
      <w:color w:val="243B5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STAR 产品定义 v1.0</dc:title>
  <dc:subject>链上早期机会情报与项目审计系统</dc:subject>
  <dc:creator>STAR Product</dc:creator>
  <cp:keywords>STAR, Solana, BNB Chain, narrative intelligence, on-chain audit, point-in-time evidence</cp:keywords>
  <dc:description>Product definition; read-only scope; no wallet or trading authorization.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