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5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  <w:r>
        <w:t xml:space="preserve"> </w:t>
      </w:r>
      <w:r>
        <w:t xml:space="preserve">(Sharma et al. 2019)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https://doi.org/10.3390/f10010070?</w:t>
      </w:r>
      <w:r>
        <w:t xml:space="preserve">)</w:t>
      </w:r>
    </w:p>
    <w:bookmarkStart w:id="24" w:name="refs"/>
    <w:bookmarkStart w:id="23" w:name="ref-sharma2019"/>
    <w:p>
      <w:pPr>
        <w:pStyle w:val="Bibliography"/>
      </w:pPr>
      <w:r>
        <w:t xml:space="preserve">Sharma, Ram, Zdeněk Vacek, Stanislav Vacek, and Miloš Kučera. 2019.</w:t>
      </w:r>
      <w:r>
        <w:t xml:space="preserve"> </w:t>
      </w:r>
      <w:r>
        <w:t xml:space="preserve">“A Nonlinear Mixed-Effects Height-to-Diameter Ratio Model for Several Tree Species Based on Czech National Forest Inventory Data.”</w:t>
      </w:r>
      <w:r>
        <w:t xml:space="preserve"> </w:t>
      </w:r>
      <w:r>
        <w:rPr>
          <w:iCs/>
          <w:i/>
        </w:rPr>
        <w:t xml:space="preserve">Forests</w:t>
      </w:r>
      <w:r>
        <w:t xml:space="preserve"> </w:t>
      </w:r>
      <w:r>
        <w:t xml:space="preserve">10 (1): 70.</w:t>
      </w:r>
      <w:r>
        <w:t xml:space="preserve"> </w:t>
      </w:r>
      <w:hyperlink r:id="rId22">
        <w:r>
          <w:rPr>
            <w:rStyle w:val="Hyperlink"/>
          </w:rPr>
          <w:t xml:space="preserve">https://doi.org/10.3390/f10010070</w:t>
        </w:r>
      </w:hyperlink>
      <w:r>
        <w:t xml:space="preserve">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3390/f10010070" TargetMode="Externa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3390/f10010070" TargetMode="External" /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/>
  <cp:keywords/>
  <dcterms:created xsi:type="dcterms:W3CDTF">2024-06-12T14:51:34Z</dcterms:created>
  <dcterms:modified xsi:type="dcterms:W3CDTF">2024-06-12T14:51:34Z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