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CIS480 | T08 Section 6: Solution Interpretation</w:t>
      </w:r>
    </w:p>
    <w:p>
      <w:r>
        <w:t>Semiconductor Market Analysis | Final Week 8 revision | October 16, 2026</w:t>
      </w:r>
    </w:p>
    <w:p>
      <w:r>
        <w:t>Team: Luis Ramirez · Rey Guirette · Colen Wilson | Submission window ends October 18, 2026, 11:59 p.m. Arizona time</w:t>
      </w:r>
    </w:p>
    <w:p>
      <w:r>
        <w:t>Evidence status: Release published and tested; specific outstanding evidence is identified in Sections 6.7 and 6.10.</w:t>
      </w:r>
    </w:p>
    <w:p>
      <w:pPr>
        <w:pStyle w:val="Heading1"/>
      </w:pPr>
      <w:r>
        <w:t>6.1 Project Question and Scope</w:t>
      </w:r>
    </w:p>
    <w:p>
      <w:r>
        <w:t>How did cumulative returns, annualized volatility, and maximum drawdowns for AMD, AVGO, INTC, NVDA, and TSM compare with SPY from January 1, 2021 through December 31, 2025? Our intended stakeholder is a hypothetical financial analyst or investment research team. This is a descriptive historical comparison, not a forecasting model, causal study, or personalized investment recommendation. SPY is the broad-market benchmark. The saved project dataset documents 1,255 trading dates and 7,530 security-date observations across six securities.</w:t>
      </w:r>
    </w:p>
    <w:p>
      <w:pPr>
        <w:pStyle w:val="Heading1"/>
      </w:pPr>
      <w:r>
        <w:t>6.2 Historical Results and Interpretation</w:t>
      </w:r>
    </w:p>
    <w:p>
      <w:r>
        <w:t>Full-period KPI values below are rounded to two decimal places and trace to the committed KPI summary and project notebook. Maximum drawdown is shown as a negative peak-to-trough change.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Security</w:t>
            </w:r>
          </w:p>
        </w:tc>
        <w:tc>
          <w:tcPr>
            <w:tcW w:type="dxa" w:w="2484"/>
            <w:vAlign w:val="center"/>
          </w:tcPr>
          <w:p>
            <w:r>
              <w:t>Cumulative return</w:t>
            </w:r>
          </w:p>
        </w:tc>
        <w:tc>
          <w:tcPr>
            <w:tcW w:type="dxa" w:w="2484"/>
            <w:vAlign w:val="center"/>
          </w:tcPr>
          <w:p>
            <w:r>
              <w:t>Annualized volatility</w:t>
            </w:r>
          </w:p>
        </w:tc>
        <w:tc>
          <w:tcPr>
            <w:tcW w:type="dxa" w:w="2484"/>
            <w:vAlign w:val="center"/>
          </w:tcPr>
          <w:p>
            <w:r>
              <w:t>Maximum drawdown</w:t>
            </w:r>
          </w:p>
        </w:tc>
      </w:tr>
      <w:tr>
        <w:tc>
          <w:tcPr>
            <w:tcW w:type="dxa" w:w="2484"/>
            <w:vAlign w:val="center"/>
          </w:tcPr>
          <w:p>
            <w:r>
              <w:t>AMD</w:t>
            </w:r>
          </w:p>
        </w:tc>
        <w:tc>
          <w:tcPr>
            <w:tcW w:type="dxa" w:w="2484"/>
            <w:vAlign w:val="center"/>
          </w:tcPr>
          <w:p>
            <w:r>
              <w:t>132.03%</w:t>
            </w:r>
          </w:p>
        </w:tc>
        <w:tc>
          <w:tcPr>
            <w:tcW w:type="dxa" w:w="2484"/>
            <w:vAlign w:val="center"/>
          </w:tcPr>
          <w:p>
            <w:r>
              <w:t>52.41%</w:t>
            </w:r>
          </w:p>
        </w:tc>
        <w:tc>
          <w:tcPr>
            <w:tcW w:type="dxa" w:w="2484"/>
            <w:vAlign w:val="center"/>
          </w:tcPr>
          <w:p>
            <w:r>
              <w:t>−65.45%</w:t>
            </w:r>
          </w:p>
        </w:tc>
      </w:tr>
      <w:tr>
        <w:tc>
          <w:tcPr>
            <w:tcW w:type="dxa" w:w="2484"/>
            <w:vAlign w:val="center"/>
          </w:tcPr>
          <w:p>
            <w:r>
              <w:t>AVGO</w:t>
            </w:r>
          </w:p>
        </w:tc>
        <w:tc>
          <w:tcPr>
            <w:tcW w:type="dxa" w:w="2484"/>
            <w:vAlign w:val="center"/>
          </w:tcPr>
          <w:p>
            <w:r>
              <w:t>804.76%</w:t>
            </w:r>
          </w:p>
        </w:tc>
        <w:tc>
          <w:tcPr>
            <w:tcW w:type="dxa" w:w="2484"/>
            <w:vAlign w:val="center"/>
          </w:tcPr>
          <w:p>
            <w:r>
              <w:t>42.31%</w:t>
            </w:r>
          </w:p>
        </w:tc>
        <w:tc>
          <w:tcPr>
            <w:tcW w:type="dxa" w:w="2484"/>
            <w:vAlign w:val="center"/>
          </w:tcPr>
          <w:p>
            <w:r>
              <w:t>−41.15%</w:t>
            </w:r>
          </w:p>
        </w:tc>
      </w:tr>
      <w:tr>
        <w:tc>
          <w:tcPr>
            <w:tcW w:type="dxa" w:w="2484"/>
            <w:vAlign w:val="center"/>
          </w:tcPr>
          <w:p>
            <w:r>
              <w:t>INTC</w:t>
            </w:r>
          </w:p>
        </w:tc>
        <w:tc>
          <w:tcPr>
            <w:tcW w:type="dxa" w:w="2484"/>
            <w:vAlign w:val="center"/>
          </w:tcPr>
          <w:p>
            <w:r>
              <w:t>−17.82%</w:t>
            </w:r>
          </w:p>
        </w:tc>
        <w:tc>
          <w:tcPr>
            <w:tcW w:type="dxa" w:w="2484"/>
            <w:vAlign w:val="center"/>
          </w:tcPr>
          <w:p>
            <w:r>
              <w:t>46.24%</w:t>
            </w:r>
          </w:p>
        </w:tc>
        <w:tc>
          <w:tcPr>
            <w:tcW w:type="dxa" w:w="2484"/>
            <w:vAlign w:val="center"/>
          </w:tcPr>
          <w:p>
            <w:r>
              <w:t>−70.80%</w:t>
            </w:r>
          </w:p>
        </w:tc>
      </w:tr>
      <w:tr>
        <w:tc>
          <w:tcPr>
            <w:tcW w:type="dxa" w:w="2484"/>
            <w:vAlign w:val="center"/>
          </w:tcPr>
          <w:p>
            <w:r>
              <w:t>NVDA</w:t>
            </w:r>
          </w:p>
        </w:tc>
        <w:tc>
          <w:tcPr>
            <w:tcW w:type="dxa" w:w="2484"/>
            <w:vAlign w:val="center"/>
          </w:tcPr>
          <w:p>
            <w:r>
              <w:t>1,326.20%</w:t>
            </w:r>
          </w:p>
        </w:tc>
        <w:tc>
          <w:tcPr>
            <w:tcW w:type="dxa" w:w="2484"/>
            <w:vAlign w:val="center"/>
          </w:tcPr>
          <w:p>
            <w:r>
              <w:t>52.22%</w:t>
            </w:r>
          </w:p>
        </w:tc>
        <w:tc>
          <w:tcPr>
            <w:tcW w:type="dxa" w:w="2484"/>
            <w:vAlign w:val="center"/>
          </w:tcPr>
          <w:p>
            <w:r>
              <w:t>−66.34%</w:t>
            </w:r>
          </w:p>
        </w:tc>
      </w:tr>
      <w:tr>
        <w:tc>
          <w:tcPr>
            <w:tcW w:type="dxa" w:w="2484"/>
            <w:vAlign w:val="center"/>
          </w:tcPr>
          <w:p>
            <w:r>
              <w:t>TSM</w:t>
            </w:r>
          </w:p>
        </w:tc>
        <w:tc>
          <w:tcPr>
            <w:tcW w:type="dxa" w:w="2484"/>
            <w:vAlign w:val="center"/>
          </w:tcPr>
          <w:p>
            <w:r>
              <w:t>195.86%</w:t>
            </w:r>
          </w:p>
        </w:tc>
        <w:tc>
          <w:tcPr>
            <w:tcW w:type="dxa" w:w="2484"/>
            <w:vAlign w:val="center"/>
          </w:tcPr>
          <w:p>
            <w:r>
              <w:t>37.37%</w:t>
            </w:r>
          </w:p>
        </w:tc>
        <w:tc>
          <w:tcPr>
            <w:tcW w:type="dxa" w:w="2484"/>
            <w:vAlign w:val="center"/>
          </w:tcPr>
          <w:p>
            <w:r>
              <w:t>−56.47%</w:t>
            </w:r>
          </w:p>
        </w:tc>
      </w:tr>
      <w:tr>
        <w:tc>
          <w:tcPr>
            <w:tcW w:type="dxa" w:w="2484"/>
            <w:vAlign w:val="center"/>
          </w:tcPr>
          <w:p>
            <w:r>
              <w:t>SPY</w:t>
            </w:r>
          </w:p>
        </w:tc>
        <w:tc>
          <w:tcPr>
            <w:tcW w:type="dxa" w:w="2484"/>
            <w:vAlign w:val="center"/>
          </w:tcPr>
          <w:p>
            <w:r>
              <w:t>98.08%</w:t>
            </w:r>
          </w:p>
        </w:tc>
        <w:tc>
          <w:tcPr>
            <w:tcW w:type="dxa" w:w="2484"/>
            <w:vAlign w:val="center"/>
          </w:tcPr>
          <w:p>
            <w:r>
              <w:t>17.11%</w:t>
            </w:r>
          </w:p>
        </w:tc>
        <w:tc>
          <w:tcPr>
            <w:tcW w:type="dxa" w:w="2484"/>
            <w:vAlign w:val="center"/>
          </w:tcPr>
          <w:p>
            <w:r>
              <w:t>−24.50%</w:t>
            </w:r>
          </w:p>
        </w:tc>
      </w:tr>
    </w:tbl>
    <w:p>
      <w:r>
        <w:t>NVDA led cumulative return at 1,326.20%, followed by AVGO at 804.76%. INTC was the only selected stock with a negative cumulative return (−17.82%) and had the deepest drawdown (−70.80%). SPY had lower volatility and a shallower drawdown than every semiconductor stock. The difference between NVDA (52.22% volatility; −66.34% drawdown) and AVGO (42.31%; −41.15%) shows why return rankings alone are incomplete. These observations describe this saved period; they do not establish why the differences occurred or predict what comes next.</w:t>
      </w:r>
    </w:p>
    <w:p>
      <w:pPr>
        <w:pStyle w:val="Heading1"/>
      </w:pPr>
      <w:r>
        <w:t>6.3 Solution Impact and Decision Use</w:t>
      </w:r>
    </w:p>
    <w:p>
      <w:r>
        <w:t>Our workflow connects authorized historical price data, a documented Jupyter calculation process, processed CSV outputs, and a Power BI dashboard. It gives a hypothetical analyst one place to inspect return, volatility, and maximum drawdown with a consistent benchmark and date context. The Security slicer intentionally selects the KPI cards; the Date slicer updates both cards and comparison charts. The charts continue showing all six securities when an individual data point is selected. This is an analytical and communication benefit, not a measured business outcome. We did not measure time savings, adoption, financial gains, or stakeholder satisfaction.</w:t>
      </w:r>
    </w:p>
    <w:p>
      <w:r>
        <w:t>Decision rule: Compare cumulative returns only over the same date window; discuss annualized volatility and maximum drawdown separately; retain SPY as a visible reference; and do not label a stock the “best investment” from these three metrics. Confirm slicer context before interpreting a KPI card.</w:t>
      </w:r>
    </w:p>
    <w:p>
      <w:pPr>
        <w:pStyle w:val="Heading1"/>
      </w:pPr>
      <w:r>
        <w:t>6.4 Validation and Acceptance Record</w:t>
      </w:r>
    </w:p>
    <w:p>
      <w:r>
        <w:t>The linked dated validation log is the full acceptance record. The following summarizes input/question, expected result, actual result, status, and evidence.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Input / question</w:t>
            </w:r>
          </w:p>
        </w:tc>
        <w:tc>
          <w:tcPr>
            <w:tcW w:type="dxa" w:w="2484"/>
            <w:vAlign w:val="center"/>
          </w:tcPr>
          <w:p>
            <w:r>
              <w:t>Expected</w:t>
            </w:r>
          </w:p>
        </w:tc>
        <w:tc>
          <w:tcPr>
            <w:tcW w:type="dxa" w:w="2484"/>
            <w:vAlign w:val="center"/>
          </w:tcPr>
          <w:p>
            <w:r>
              <w:t>Actual</w:t>
            </w:r>
          </w:p>
        </w:tc>
        <w:tc>
          <w:tcPr>
            <w:tcW w:type="dxa" w:w="2484"/>
            <w:vAlign w:val="center"/>
          </w:tcPr>
          <w:p>
            <w:r>
              <w:t>Status / evidence</w:t>
            </w:r>
          </w:p>
        </w:tc>
      </w:tr>
      <w:tr>
        <w:tc>
          <w:tcPr>
            <w:tcW w:type="dxa" w:w="2484"/>
            <w:vAlign w:val="center"/>
          </w:tcPr>
          <w:p>
            <w:r>
              <w:t>SPY baseline cumulative return</w:t>
            </w:r>
          </w:p>
        </w:tc>
        <w:tc>
          <w:tcPr>
            <w:tcW w:type="dxa" w:w="2484"/>
            <w:vAlign w:val="center"/>
          </w:tcPr>
          <w:p>
            <w:r>
              <w:t>Independent endpoint and pipeline agree within 0.0001 proportion</w:t>
            </w:r>
          </w:p>
        </w:tc>
        <w:tc>
          <w:tcPr>
            <w:tcW w:type="dxa" w:w="2484"/>
            <w:vAlign w:val="center"/>
          </w:tcPr>
          <w:p>
            <w:r>
              <w:t>98.084691% vs. 98.084691%; zero difference</w:t>
            </w:r>
          </w:p>
        </w:tc>
        <w:tc>
          <w:tcPr>
            <w:tcW w:type="dxa" w:w="2484"/>
            <w:vAlign w:val="center"/>
          </w:tcPr>
          <w:p>
            <w:r>
              <w:t>PASS · Week 6 baseline record</w:t>
            </w:r>
          </w:p>
        </w:tc>
      </w:tr>
      <w:tr>
        <w:tc>
          <w:tcPr>
            <w:tcW w:type="dxa" w:w="2484"/>
            <w:vAlign w:val="center"/>
          </w:tcPr>
          <w:p>
            <w:r>
              <w:t>NVDA annualized volatility</w:t>
            </w:r>
          </w:p>
        </w:tc>
        <w:tc>
          <w:tcPr>
            <w:tcW w:type="dxa" w:w="2484"/>
            <w:vAlign w:val="center"/>
          </w:tcPr>
          <w:p>
            <w:r>
              <w:t>Independent sample-SD calculation agrees within 0.0001 percentage points</w:t>
            </w:r>
          </w:p>
        </w:tc>
        <w:tc>
          <w:tcPr>
            <w:tcW w:type="dxa" w:w="2484"/>
            <w:vAlign w:val="center"/>
          </w:tcPr>
          <w:p>
            <w:r>
              <w:t>52.2246661252% vs. 52.2246661252%</w:t>
            </w:r>
          </w:p>
        </w:tc>
        <w:tc>
          <w:tcPr>
            <w:tcW w:type="dxa" w:w="2484"/>
            <w:vAlign w:val="center"/>
          </w:tcPr>
          <w:p>
            <w:r>
              <w:t>PASS · Week 7 validation CSV</w:t>
            </w:r>
          </w:p>
        </w:tc>
      </w:tr>
      <w:tr>
        <w:tc>
          <w:tcPr>
            <w:tcW w:type="dxa" w:w="2484"/>
            <w:vAlign w:val="center"/>
          </w:tcPr>
          <w:p>
            <w:r>
              <w:t>KPI comparisons: six securities, three KPIs, two windows</w:t>
            </w:r>
          </w:p>
        </w:tc>
        <w:tc>
          <w:tcPr>
            <w:tcW w:type="dxa" w:w="2484"/>
            <w:vAlign w:val="center"/>
          </w:tcPr>
          <w:p>
            <w:r>
              <w:t>36 dashboard readings match saved/recomputed references to two displayed decimals</w:t>
            </w:r>
          </w:p>
        </w:tc>
        <w:tc>
          <w:tcPr>
            <w:tcW w:type="dxa" w:w="2484"/>
            <w:vAlign w:val="center"/>
          </w:tcPr>
          <w:p>
            <w:r>
              <w:t>18 full-period + 18 year-2024 comparisons matched</w:t>
            </w:r>
          </w:p>
        </w:tc>
        <w:tc>
          <w:tcPr>
            <w:tcW w:type="dxa" w:w="2484"/>
            <w:vAlign w:val="center"/>
          </w:tcPr>
          <w:p>
            <w:r>
              <w:t>PASS · Week 8 validation log</w:t>
            </w:r>
          </w:p>
        </w:tc>
      </w:tr>
      <w:tr>
        <w:tc>
          <w:tcPr>
            <w:tcW w:type="dxa" w:w="2484"/>
            <w:vAlign w:val="center"/>
          </w:tcPr>
          <w:p>
            <w:r>
              <w:t>Master notebook execution</w:t>
            </w:r>
          </w:p>
        </w:tc>
        <w:tc>
          <w:tcPr>
            <w:tcW w:type="dxa" w:w="2484"/>
            <w:vAlign w:val="center"/>
          </w:tcPr>
          <w:p>
            <w:r>
              <w:t>Runs top to bottom without saved execution errors</w:t>
            </w:r>
          </w:p>
        </w:tc>
        <w:tc>
          <w:tcPr>
            <w:tcW w:type="dxa" w:w="2484"/>
            <w:vAlign w:val="center"/>
          </w:tcPr>
          <w:p>
            <w:r>
              <w:t>16/16 executed code cells inspected; Rey reported successful runs in Colab and Anaconda</w:t>
            </w:r>
          </w:p>
        </w:tc>
        <w:tc>
          <w:tcPr>
            <w:tcW w:type="dxa" w:w="2484"/>
            <w:vAlign w:val="center"/>
          </w:tcPr>
          <w:p>
            <w:r>
              <w:t>PASS within reported scope · notebook; Rey review</w:t>
            </w:r>
          </w:p>
        </w:tc>
      </w:tr>
      <w:tr>
        <w:tc>
          <w:tcPr>
            <w:tcW w:type="dxa" w:w="2484"/>
            <w:vAlign w:val="center"/>
          </w:tcPr>
          <w:p>
            <w:r>
              <w:t>Downloaded GitHub PBIX interactions</w:t>
            </w:r>
          </w:p>
        </w:tc>
        <w:tc>
          <w:tcPr>
            <w:tcW w:type="dxa" w:w="2484"/>
            <w:vAlign w:val="center"/>
          </w:tcPr>
          <w:p>
            <w:r>
              <w:t>AMD cards persist; other charts retain six securities when NVIDIA is selected</w:t>
            </w:r>
          </w:p>
        </w:tc>
        <w:tc>
          <w:tcPr>
            <w:tcW w:type="dxa" w:w="2484"/>
            <w:vAlign w:val="center"/>
          </w:tcPr>
          <w:p>
            <w:r>
              <w:t>All three chart-selection tests behaved as expected</w:t>
            </w:r>
          </w:p>
        </w:tc>
        <w:tc>
          <w:tcPr>
            <w:tcW w:type="dxa" w:w="2484"/>
            <w:vAlign w:val="center"/>
          </w:tcPr>
          <w:p>
            <w:r>
              <w:t>PASS · Week 8 log W08-16</w:t>
            </w:r>
          </w:p>
        </w:tc>
      </w:tr>
      <w:tr>
        <w:tc>
          <w:tcPr>
            <w:tcW w:type="dxa" w:w="2484"/>
            <w:vAlign w:val="center"/>
          </w:tcPr>
          <w:p>
            <w:r>
              <w:t>Signed-out evidence access</w:t>
            </w:r>
          </w:p>
        </w:tc>
        <w:tc>
          <w:tcPr>
            <w:tcW w:type="dxa" w:w="2484"/>
            <w:vAlign w:val="center"/>
          </w:tcPr>
          <w:p>
            <w:r>
              <w:t>Public package and evidence open without login</w:t>
            </w:r>
          </w:p>
        </w:tc>
        <w:tc>
          <w:tcPr>
            <w:tcW w:type="dxa" w:w="2484"/>
            <w:vAlign w:val="center"/>
          </w:tcPr>
          <w:p>
            <w:r>
              <w:t>13 package/evidence links confirmed, plus final release page</w:t>
            </w:r>
          </w:p>
        </w:tc>
        <w:tc>
          <w:tcPr>
            <w:tcW w:type="dxa" w:w="2484"/>
            <w:vAlign w:val="center"/>
          </w:tcPr>
          <w:p>
            <w:r>
              <w:t>PASS · Week 8 log W08-17–31</w:t>
            </w:r>
          </w:p>
        </w:tc>
      </w:tr>
      <w:tr>
        <w:tc>
          <w:tcPr>
            <w:tcW w:type="dxa" w:w="2484"/>
            <w:vAlign w:val="center"/>
          </w:tcPr>
          <w:p>
            <w:r>
              <w:t>Public-sharing authorization</w:t>
            </w:r>
          </w:p>
        </w:tc>
        <w:tc>
          <w:tcPr>
            <w:tcW w:type="dxa" w:w="2484"/>
            <w:vAlign w:val="center"/>
          </w:tcPr>
          <w:p>
            <w:r>
              <w:t>Repository materials approved for sharing</w:t>
            </w:r>
          </w:p>
        </w:tc>
        <w:tc>
          <w:tcPr>
            <w:tcW w:type="dxa" w:w="2484"/>
            <w:vAlign w:val="center"/>
          </w:tcPr>
          <w:p>
            <w:r>
              <w:t>Luis confirmed approval for uploaded materials</w:t>
            </w:r>
          </w:p>
        </w:tc>
        <w:tc>
          <w:tcPr>
            <w:tcW w:type="dxa" w:w="2484"/>
            <w:vAlign w:val="center"/>
          </w:tcPr>
          <w:p>
            <w:r>
              <w:t>PASS (owner-reported) · W08-30</w:t>
            </w:r>
          </w:p>
        </w:tc>
      </w:tr>
    </w:tbl>
    <w:p>
      <w:r>
        <w:t>The notebook reruns and dashboard tests support reproducibility and interaction behavior within the tested environments and saved data. Rey’s review was a smoke test, not independent numerical verification of all 36 KPIs. Colen identified an interaction issue in the earlier PBIX; Luis corrected it, tested the downloaded GitHub version, and closed the finding without asking Colen to retest.</w:t>
      </w:r>
    </w:p>
    <w:p>
      <w:pPr>
        <w:pStyle w:val="Heading1"/>
      </w:pPr>
      <w:r>
        <w:t>6.5 Evidence Boundaries and Limitations</w:t>
      </w:r>
    </w:p>
    <w:p>
      <w:r>
        <w:t>The dataset is limited to five selected semiconductor companies and SPY during 2021–2025. SPY is a broad-market benchmark, not a semiconductor-sector-matched control. Adjusted-price methods, vendor revisions, trading-day conventions, and date-window definitions influence calculated metrics. A fresh market-data download might not reproduce the saved snapshot exactly. Annualized volatility measures variation, and maximum drawdown measures the largest observed peak-to-trough decline; neither captures every type of investment risk. Historical outcomes cannot establish causality or forecast future returns. The project has no actual stakeholder deployment or measured operational benefit.</w:t>
      </w:r>
    </w:p>
    <w:p>
      <w:r>
        <w:t>Evidence boundaries: Luis reported the 36 dashboard checks and final interaction regression; Rey independently reported notebook execution in two environments; Colen independently reviewed the original PBIX and identified a usability/interaction issue. Colen did not independently retest the revised PBIX. Public-link visibility and owner-reported sharing approval do not establish a completed automated secrets scan or full accessibility audit.</w:t>
      </w:r>
    </w:p>
    <w:p>
      <w:pPr>
        <w:pStyle w:val="Heading1"/>
      </w:pPr>
      <w:r>
        <w:t>6.6 Impact and Risk Register</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Risk / impact</w:t>
            </w:r>
          </w:p>
        </w:tc>
        <w:tc>
          <w:tcPr>
            <w:tcW w:type="dxa" w:w="2484"/>
            <w:vAlign w:val="center"/>
          </w:tcPr>
          <w:p>
            <w:r>
              <w:t>Mitigation and decision rule</w:t>
            </w:r>
          </w:p>
        </w:tc>
        <w:tc>
          <w:tcPr>
            <w:tcW w:type="dxa" w:w="2484"/>
            <w:vAlign w:val="center"/>
          </w:tcPr>
          <w:p>
            <w:r>
              <w:t>Owner</w:t>
            </w:r>
          </w:p>
        </w:tc>
        <w:tc>
          <w:tcPr>
            <w:tcW w:type="dxa" w:w="2484"/>
            <w:vAlign w:val="center"/>
          </w:tcPr>
          <w:p>
            <w:r>
              <w:t>Current disposition</w:t>
            </w:r>
          </w:p>
        </w:tc>
      </w:tr>
      <w:tr>
        <w:tc>
          <w:tcPr>
            <w:tcW w:type="dxa" w:w="2484"/>
            <w:vAlign w:val="center"/>
          </w:tcPr>
          <w:p>
            <w:r>
              <w:t>R1–R3: Historical returns mistaken for advice; risk or benchmark misread</w:t>
            </w:r>
          </w:p>
        </w:tc>
        <w:tc>
          <w:tcPr>
            <w:tcW w:type="dxa" w:w="2484"/>
            <w:vAlign w:val="center"/>
          </w:tcPr>
          <w:p>
            <w:r>
              <w:t>State historical-only scope; present return with both risk measures; explain SPY benchmark</w:t>
            </w:r>
          </w:p>
        </w:tc>
        <w:tc>
          <w:tcPr>
            <w:tcW w:type="dxa" w:w="2484"/>
            <w:vAlign w:val="center"/>
          </w:tcPr>
          <w:p>
            <w:r>
              <w:t>Luis / Colen</w:t>
            </w:r>
          </w:p>
        </w:tc>
        <w:tc>
          <w:tcPr>
            <w:tcW w:type="dxa" w:w="2484"/>
            <w:vAlign w:val="center"/>
          </w:tcPr>
          <w:p>
            <w:r>
              <w:t>Mitigated through report and demo narrative; interpretive risk remains</w:t>
            </w:r>
          </w:p>
        </w:tc>
      </w:tr>
      <w:tr>
        <w:tc>
          <w:tcPr>
            <w:tcW w:type="dxa" w:w="2484"/>
            <w:vAlign w:val="center"/>
          </w:tcPr>
          <w:p>
            <w:r>
              <w:t>R4: Market-data changes affect outputs</w:t>
            </w:r>
          </w:p>
        </w:tc>
        <w:tc>
          <w:tcPr>
            <w:tcW w:type="dxa" w:w="2484"/>
            <w:vAlign w:val="center"/>
          </w:tcPr>
          <w:p>
            <w:r>
              <w:t>Use committed CSV and frozen release; document methods and dependencies</w:t>
            </w:r>
          </w:p>
        </w:tc>
        <w:tc>
          <w:tcPr>
            <w:tcW w:type="dxa" w:w="2484"/>
            <w:vAlign w:val="center"/>
          </w:tcPr>
          <w:p>
            <w:r>
              <w:t>Rey</w:t>
            </w:r>
          </w:p>
        </w:tc>
        <w:tc>
          <w:tcPr>
            <w:tcW w:type="dxa" w:w="2484"/>
            <w:vAlign w:val="center"/>
          </w:tcPr>
          <w:p>
            <w:r>
              <w:t>Snapshot/release preserved; future download drift remains possible</w:t>
            </w:r>
          </w:p>
        </w:tc>
      </w:tr>
      <w:tr>
        <w:tc>
          <w:tcPr>
            <w:tcW w:type="dxa" w:w="2484"/>
            <w:vAlign w:val="center"/>
          </w:tcPr>
          <w:p>
            <w:r>
              <w:t>R5: Dashboard chart clicks distort KPI context</w:t>
            </w:r>
          </w:p>
        </w:tc>
        <w:tc>
          <w:tcPr>
            <w:tcW w:type="dxa" w:w="2484"/>
            <w:vAlign w:val="center"/>
          </w:tcPr>
          <w:p>
            <w:r>
              <w:t>Disable unintended chart-to-card and chart-to-chart interactions; regression test downloaded PBIX</w:t>
            </w:r>
          </w:p>
        </w:tc>
        <w:tc>
          <w:tcPr>
            <w:tcW w:type="dxa" w:w="2484"/>
            <w:vAlign w:val="center"/>
          </w:tcPr>
          <w:p>
            <w:r>
              <w:t>Luis</w:t>
            </w:r>
          </w:p>
        </w:tc>
        <w:tc>
          <w:tcPr>
            <w:tcW w:type="dxa" w:w="2484"/>
            <w:vAlign w:val="center"/>
          </w:tcPr>
          <w:p>
            <w:r>
              <w:t>Closed based on three PASS tests; no second Colen review</w:t>
            </w:r>
          </w:p>
        </w:tc>
      </w:tr>
      <w:tr>
        <w:tc>
          <w:tcPr>
            <w:tcW w:type="dxa" w:w="2484"/>
            <w:vAlign w:val="center"/>
          </w:tcPr>
          <w:p>
            <w:r>
              <w:t>R6: Demo or external environment fails</w:t>
            </w:r>
          </w:p>
        </w:tc>
        <w:tc>
          <w:tcPr>
            <w:tcW w:type="dxa" w:w="2484"/>
            <w:vAlign w:val="center"/>
          </w:tcPr>
          <w:p>
            <w:r>
              <w:t>Provide PowerPoint, readable outline, repository evidence and any required backup recording</w:t>
            </w:r>
          </w:p>
        </w:tc>
        <w:tc>
          <w:tcPr>
            <w:tcW w:type="dxa" w:w="2484"/>
            <w:vAlign w:val="center"/>
          </w:tcPr>
          <w:p>
            <w:r>
              <w:t>Luis / team</w:t>
            </w:r>
          </w:p>
        </w:tc>
        <w:tc>
          <w:tcPr>
            <w:tcW w:type="dxa" w:w="2484"/>
            <w:vAlign w:val="center"/>
          </w:tcPr>
          <w:p>
            <w:r>
              <w:t>Outline and presentation available; backup recording not evidenced</w:t>
            </w:r>
          </w:p>
        </w:tc>
      </w:tr>
      <w:tr>
        <w:tc>
          <w:tcPr>
            <w:tcW w:type="dxa" w:w="2484"/>
            <w:vAlign w:val="center"/>
          </w:tcPr>
          <w:p>
            <w:r>
              <w:t>R7: Public access/privacy or attribution failure</w:t>
            </w:r>
          </w:p>
        </w:tc>
        <w:tc>
          <w:tcPr>
            <w:tcW w:type="dxa" w:w="2484"/>
            <w:vAlign w:val="center"/>
          </w:tcPr>
          <w:p>
            <w:r>
              <w:t>Signed-out links, sharing authorization, contribution evidence; inspect for secrets</w:t>
            </w:r>
          </w:p>
        </w:tc>
        <w:tc>
          <w:tcPr>
            <w:tcW w:type="dxa" w:w="2484"/>
            <w:vAlign w:val="center"/>
          </w:tcPr>
          <w:p>
            <w:r>
              <w:t>Entire team</w:t>
            </w:r>
          </w:p>
        </w:tc>
        <w:tc>
          <w:tcPr>
            <w:tcW w:type="dxa" w:w="2484"/>
            <w:vAlign w:val="center"/>
          </w:tcPr>
          <w:p>
            <w:r>
              <w:t>14 public-access checks incl. release; technical secrets scan not evidenced</w:t>
            </w:r>
          </w:p>
        </w:tc>
      </w:tr>
    </w:tbl>
    <w:p>
      <w:pPr>
        <w:pStyle w:val="Heading1"/>
      </w:pPr>
      <w:r>
        <w:t>6.7 Demo Day Package and Reproduction Plan</w:t>
      </w:r>
    </w:p>
    <w:p>
      <w:r>
        <w:t>The GitHub release v1.0-week8-final was published on October 16, 2026, pointing to commit 9339ebb (abbreviated as shown in GitHub). It freezes the inspectable project snapshot: cleaned input CSV, KPI summary CSV, executed master notebook, requirements.txt, Power BI PBIX, Section 6 report, dated validation record, impact-risk register, contribution record, readable demo outline, and M08 PowerPoint. The submission package is directly linked from the release.</w:t>
      </w:r>
    </w:p>
    <w:p>
      <w:r>
        <w:t>To reproduce: obtain the tagged source, read the README and requirements.txt, use the committed input dataset, open notebooks/CIS480_Final_Master_Analysis.ipynb and run cells in order, compare outputs with the processed KPI CSV, and open powerbi/CIS480_Semiconductor_Market_Performance_Dashboard.pbix in Power BI Desktop. Demonstrate AMD versus NVDA, volatility and drawdown comparisons, then test Date and Security slicer behavior. Rey reported independent Colab and Anaconda notebook runs without missing dependencies; Luis verified the corrected downloaded PBIX. Exact third-party software version captures are not established in this report.</w:t>
      </w:r>
    </w:p>
    <w:p>
      <w:r>
        <w:t>The assignment explicitly calls for a backup recording. The team has an accessible text demo outline and PowerPoint, but a captioned backup recording or instructor-approved equivalent has not been provided as evidence. Do not mark that requirement complete unless it is supplied or the instructor confirms the alternative is accepted.</w:t>
      </w:r>
    </w:p>
    <w:p>
      <w:pPr>
        <w:pStyle w:val="Heading1"/>
      </w:pPr>
      <w:r>
        <w:t>6.8 Current Work Plan and Contribution Evidence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Owner / task</w:t>
            </w:r>
          </w:p>
        </w:tc>
        <w:tc>
          <w:tcPr>
            <w:tcW w:type="dxa" w:w="2484"/>
            <w:vAlign w:val="center"/>
          </w:tcPr>
          <w:p>
            <w:r>
              <w:t>Status</w:t>
            </w:r>
          </w:p>
        </w:tc>
        <w:tc>
          <w:tcPr>
            <w:tcW w:type="dxa" w:w="2484"/>
            <w:vAlign w:val="center"/>
          </w:tcPr>
          <w:p>
            <w:r>
              <w:t>Dependency</w:t>
            </w:r>
          </w:p>
        </w:tc>
        <w:tc>
          <w:tcPr>
            <w:tcW w:type="dxa" w:w="2484"/>
            <w:vAlign w:val="center"/>
          </w:tcPr>
          <w:p>
            <w:r>
              <w:t>Acceptance criterion / contribution evidence</w:t>
            </w:r>
          </w:p>
        </w:tc>
      </w:tr>
      <w:tr>
        <w:tc>
          <w:tcPr>
            <w:tcW w:type="dxa" w:w="2484"/>
            <w:vAlign w:val="center"/>
          </w:tcPr>
          <w:p>
            <w:r>
              <w:t>Luis — report, KPI validation, PBIX repair, release and public access</w:t>
            </w:r>
          </w:p>
        </w:tc>
        <w:tc>
          <w:tcPr>
            <w:tcW w:type="dxa" w:w="2484"/>
            <w:vAlign w:val="center"/>
          </w:tcPr>
          <w:p>
            <w:r>
              <w:t>Completed for listed checks</w:t>
            </w:r>
          </w:p>
        </w:tc>
        <w:tc>
          <w:tcPr>
            <w:tcW w:type="dxa" w:w="2484"/>
            <w:vAlign w:val="center"/>
          </w:tcPr>
          <w:p>
            <w:r>
              <w:t>Saved notebook/CSV, PBIX, teammate feedback</w:t>
            </w:r>
          </w:p>
        </w:tc>
        <w:tc>
          <w:tcPr>
            <w:tcW w:type="dxa" w:w="2484"/>
            <w:vAlign w:val="center"/>
          </w:tcPr>
          <w:p>
            <w:r>
              <w:t>36 KPI checks; W08-16 chart tests; release tag; signed-out access log; revised report</w:t>
            </w:r>
          </w:p>
        </w:tc>
      </w:tr>
      <w:tr>
        <w:tc>
          <w:tcPr>
            <w:tcW w:type="dxa" w:w="2484"/>
            <w:vAlign w:val="center"/>
          </w:tcPr>
          <w:p>
            <w:r>
              <w:t>Rey — independent notebook and method review</w:t>
            </w:r>
          </w:p>
        </w:tc>
        <w:tc>
          <w:tcPr>
            <w:tcW w:type="dxa" w:w="2484"/>
            <w:vAlign w:val="center"/>
          </w:tcPr>
          <w:p>
            <w:r>
              <w:t>Completed (reported Oct 13)</w:t>
            </w:r>
          </w:p>
        </w:tc>
        <w:tc>
          <w:tcPr>
            <w:tcW w:type="dxa" w:w="2484"/>
            <w:vAlign w:val="center"/>
          </w:tcPr>
          <w:p>
            <w:r>
              <w:t>Master notebook, README, dependencies</w:t>
            </w:r>
          </w:p>
        </w:tc>
        <w:tc>
          <w:tcPr>
            <w:tcW w:type="dxa" w:w="2484"/>
            <w:vAlign w:val="center"/>
          </w:tcPr>
          <w:p>
            <w:r>
              <w:t>Colab and Anaconda reruns PASS; review summary in docs/week08_rey_independent_review_2026-10-13.md; original PDF not in repo</w:t>
            </w:r>
          </w:p>
        </w:tc>
      </w:tr>
      <w:tr>
        <w:tc>
          <w:tcPr>
            <w:tcW w:type="dxa" w:w="2484"/>
            <w:vAlign w:val="center"/>
          </w:tcPr>
          <w:p>
            <w:r>
              <w:t>Colen — independent dashboard and documentation review</w:t>
            </w:r>
          </w:p>
        </w:tc>
        <w:tc>
          <w:tcPr>
            <w:tcW w:type="dxa" w:w="2484"/>
            <w:vAlign w:val="center"/>
          </w:tcPr>
          <w:p>
            <w:r>
              <w:t>Completed original review (Oct 15)</w:t>
            </w:r>
          </w:p>
        </w:tc>
        <w:tc>
          <w:tcPr>
            <w:tcW w:type="dxa" w:w="2484"/>
            <w:vAlign w:val="center"/>
          </w:tcPr>
          <w:p>
            <w:r>
              <w:t>PBIX, report and demo outline</w:t>
            </w:r>
          </w:p>
        </w:tc>
        <w:tc>
          <w:tcPr>
            <w:tcW w:type="dxa" w:w="2484"/>
            <w:vAlign w:val="center"/>
          </w:tcPr>
          <w:p>
            <w:r>
              <w:t>Identified interaction defect; feedback led to Luis correction; original review PDF not in repo; no retest claimed</w:t>
            </w:r>
          </w:p>
        </w:tc>
      </w:tr>
      <w:tr>
        <w:tc>
          <w:tcPr>
            <w:tcW w:type="dxa" w:w="2484"/>
            <w:vAlign w:val="center"/>
          </w:tcPr>
          <w:p>
            <w:r>
              <w:t>Luis / Rey / Colen — final package review</w:t>
            </w:r>
          </w:p>
        </w:tc>
        <w:tc>
          <w:tcPr>
            <w:tcW w:type="dxa" w:w="2484"/>
            <w:vAlign w:val="center"/>
          </w:tcPr>
          <w:p>
            <w:r>
              <w:t>Rey and Colen review confirmed by Luis</w:t>
            </w:r>
          </w:p>
        </w:tc>
        <w:tc>
          <w:tcPr>
            <w:tcW w:type="dxa" w:w="2484"/>
            <w:vAlign w:val="center"/>
          </w:tcPr>
          <w:p>
            <w:r>
              <w:t>Integrated submission package</w:t>
            </w:r>
          </w:p>
        </w:tc>
        <w:tc>
          <w:tcPr>
            <w:tcW w:type="dxa" w:w="2484"/>
            <w:vAlign w:val="center"/>
          </w:tcPr>
          <w:p>
            <w:r>
              <w:t>Luis confirms both reviewed final package; written individual approvals not independently inspected</w:t>
            </w:r>
          </w:p>
        </w:tc>
      </w:tr>
      <w:tr>
        <w:tc>
          <w:tcPr>
            <w:tcW w:type="dxa" w:w="2484"/>
            <w:vAlign w:val="center"/>
          </w:tcPr>
          <w:p>
            <w:r>
              <w:t>Team — backup recording, technical privacy/accessibility check, Canvas submission</w:t>
            </w:r>
          </w:p>
        </w:tc>
        <w:tc>
          <w:tcPr>
            <w:tcW w:type="dxa" w:w="2484"/>
            <w:vAlign w:val="center"/>
          </w:tcPr>
          <w:p>
            <w:r>
              <w:t>Not evidenced / pending</w:t>
            </w:r>
          </w:p>
        </w:tc>
        <w:tc>
          <w:tcPr>
            <w:tcW w:type="dxa" w:w="2484"/>
            <w:vAlign w:val="center"/>
          </w:tcPr>
          <w:p>
            <w:r>
              <w:t>Frozen release and final evidence</w:t>
            </w:r>
          </w:p>
        </w:tc>
        <w:tc>
          <w:tcPr>
            <w:tcW w:type="dxa" w:w="2484"/>
            <w:vAlign w:val="center"/>
          </w:tcPr>
          <w:p>
            <w:r>
              <w:t>Attach backup or approved equivalent; complete final inspection; one member submits URL</w:t>
            </w:r>
          </w:p>
        </w:tc>
      </w:tr>
    </w:tbl>
    <w:p>
      <w:r>
        <w:t>Contribution effects: Luis’s corrections removed unintended cross-filtering while retaining six-security comparisons; Rey’s two-environment notebook test supported reproducibility; Colen’s independent review uncovered a material interaction issue. These are distinct contributions, not interchangeable approvals.</w:t>
      </w:r>
    </w:p>
    <w:p>
      <w:pPr>
        <w:pStyle w:val="Heading1"/>
      </w:pPr>
      <w:r>
        <w:t>6.9 Sources, Traceability, and Responsible AI Use</w:t>
      </w:r>
    </w:p>
    <w:p>
      <w:r>
        <w:t>Final frozen release: https://github.com/xrated602/CIS480-Semiconductor-Market-Analysis/releases/tag/v1.0-week8-final</w:t>
      </w:r>
    </w:p>
    <w:p>
      <w:r>
        <w:t>Frozen submission package: https://github.com/xrated602/CIS480-Semiconductor-Market-Analysis/blob/v1.0-week8-final/docs/week08_submission_package.md</w:t>
      </w:r>
    </w:p>
    <w:p>
      <w:r>
        <w:t>Executed master notebook: https://github.com/xrated602/CIS480-Semiconductor-Market-Analysis/blob/v1.0-week8-final/notebooks/CIS480_Final_Master_Analysis.ipynb</w:t>
      </w:r>
    </w:p>
    <w:p>
      <w:r>
        <w:t>KPI summary CSV: https://github.com/xrated602/CIS480-Semiconductor-Market-Analysis/blob/v1.0-week8-final/data/processed/kpi_summary_metrics_2021_2025.csv</w:t>
      </w:r>
    </w:p>
    <w:p>
      <w:r>
        <w:t>Cleaned market data: https://github.com/xrated602/CIS480-Semiconductor-Market-Analysis/blob/v1.0-week8-final/data/processed/cleaned_market_data_2021_2025.csv</w:t>
      </w:r>
    </w:p>
    <w:p>
      <w:r>
        <w:t>Power BI dashboard: https://github.com/xrated602/CIS480-Semiconductor-Market-Analysis/blob/v1.0-week8-final/powerbi/CIS480_Semiconductor_Market_Performance_Dashboard.pbix</w:t>
      </w:r>
    </w:p>
    <w:p>
      <w:r>
        <w:t>Week 8 validation record (frozen): https://github.com/xrated602/CIS480-Semiconductor-Market-Analysis/blob/v1.0-week8-final/docs/week08_validation_record.md</w:t>
      </w:r>
    </w:p>
    <w:p>
      <w:r>
        <w:t>Contribution record: https://github.com/xrated602/CIS480-Semiconductor-Market-Analysis/blob/v1.0-week8-final/docs/week08_work_plan_contribution_record.md</w:t>
      </w:r>
    </w:p>
    <w:p>
      <w:r>
        <w:t>Historical data source: Yahoo Finance adjusted market prices retrieved using the yfinance Python package; the committed input snapshot is the reproduction basis. Numerical calculations and conclusions are project outputs, not independently certified vendor figures.</w:t>
      </w:r>
    </w:p>
    <w:p>
      <w:r>
        <w:t>AI-use disclosure: ChatGPT (OpenAI) assisted Luis with organizing, drafting, revising, and formatting the Section 6 report; structuring validation and contribution records; and checking consistency of reported results and GitHub links. Luis performed the reported Power BI tests, verified public access, confirmed sharing authorization, and coordinated teammate reviews. Rey and Colen provided their own independent review feedback. AI-generated prose is not primary evidence. Material revisions include replacement of draft “pending” statuses with dated evidence, documentation of the PBIX interaction correction, the final release, and remaining evidence gaps. The team is responsible for reviewing and validating the final submission.</w:t>
      </w:r>
    </w:p>
    <w:p>
      <w:pPr>
        <w:pStyle w:val="Heading1"/>
      </w:pPr>
      <w:r>
        <w:t>6.10 Pre-Submission Acceptance Checklist</w:t>
      </w:r>
    </w:p>
    <w:p>
      <w:r>
        <w:t>☑ COMPLETE — Freeze release v1.0-week8-final; published October 16, commit 9339ebb (abbreviated).</w:t>
      </w:r>
    </w:p>
    <w:p>
      <w:r>
        <w:t>☑ COMPLETE — Luis notebook execution; Rey independent two-environment smoke test reported.</w:t>
      </w:r>
    </w:p>
    <w:p>
      <w:r>
        <w:t>☑ COMPLETE — 36 KPI comparisons and three corrected PBIX chart-interaction tests.</w:t>
      </w:r>
    </w:p>
    <w:p>
      <w:r>
        <w:t>☑ COMPLETE — Readable demo outline, PowerPoint, and dated validation/impact/contribution records.</w:t>
      </w:r>
    </w:p>
    <w:p>
      <w:r>
        <w:t>☑ COMPLETE — Rey and Colen final-package review confirmed by Luis.</w:t>
      </w:r>
    </w:p>
    <w:p>
      <w:r>
        <w:t>☑ COMPLETE — 13 signed-out package/evidence checks plus final release visibility.</w:t>
      </w:r>
    </w:p>
    <w:p>
      <w:r>
        <w:t>☑ COMPLETE (owner confirmation) — Uploaded materials authorized for public sharing.</w:t>
      </w:r>
    </w:p>
    <w:p>
      <w:r>
        <w:t>☐ NOT YET EVIDENCED — Backup recording or instructor-approved equivalent.</w:t>
      </w:r>
    </w:p>
    <w:p>
      <w:r>
        <w:t>☐ NOT YET EVIDENCED — Dedicated secrets scan and full accessibility audit.</w:t>
      </w:r>
    </w:p>
    <w:p>
      <w:r>
        <w:t>☐ PENDING — Submit frozen release or frozen package URL to Canvas by October 18, 11:59 p.m. Arizona time.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CIS480 · Week 8 Section 6 · Final revision | October 16,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16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16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162"/>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