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D64E" w14:textId="77777777" w:rsidR="00074749" w:rsidRDefault="00000000">
      <w:pPr>
        <w:pStyle w:val="Title"/>
      </w:pPr>
      <w:r>
        <w:t>T07 Section 5: Preliminary Results and Technical Interpretation</w:t>
      </w:r>
    </w:p>
    <w:p w14:paraId="3199488D" w14:textId="77777777" w:rsidR="00074749" w:rsidRDefault="00000000">
      <w:pPr>
        <w:jc w:val="center"/>
      </w:pPr>
      <w:r>
        <w:t>Historical Market Performance and Risk Analysis of Selected Semiconductor Stocks</w:t>
      </w:r>
    </w:p>
    <w:p w14:paraId="6081175F" w14:textId="77777777" w:rsidR="00074749" w:rsidRDefault="00000000">
      <w:pPr>
        <w:jc w:val="center"/>
      </w:pPr>
      <w:r>
        <w:t>Team: Luis Ramirez, Rey Guirette, and Colen Wilson | CIS480 Capstone | Week 7 (October 5–11, 2026)</w:t>
      </w:r>
    </w:p>
    <w:p w14:paraId="536A82A9" w14:textId="77777777" w:rsidR="00074749" w:rsidRDefault="00000000">
      <w:pPr>
        <w:pStyle w:val="Heading1"/>
      </w:pPr>
      <w:r>
        <w:t>5.1 Scope, Research Question, and Evidence</w:t>
      </w:r>
    </w:p>
    <w:p w14:paraId="38235D7E" w14:textId="77777777" w:rsidR="00074749" w:rsidRDefault="00000000">
      <w:r>
        <w:t>This preliminary descriptive analysis asks: How did the cumulative returns and historical risk of AMD, NVIDIA (NVDA), Intel (INTC), Taiwan Semiconductor Manufacturing Company (TSM), and Broadcom (AVGO) compare with SPY during January 2021–December 2025? The data cover 1,255 trading dates per ticker (January 4, 2021 through December 31, 2025), or 7,530 ticker-date price observations. Prices are the adjusted historical closing-price series generated by yfinance with auto_adjust=True. The source is public historical market data; the executed Week 7 notebook is the calculation and test record. These are preliminary, not live, predictive, or production results.</w:t>
      </w:r>
    </w:p>
    <w:p w14:paraId="3FC68B48" w14:textId="77777777" w:rsidR="00074749" w:rsidRDefault="00000000">
      <w:r>
        <w:t>Provenance and execution: Yahoo Finance via yfinance → preserved source/cleaned analysis data → Python/pandas notebook → KPI calculations and validation → CSV exports for Power BI. The uploaded executed notebook records the Week 7 run at 2026-10-08 00:59:15 UTC. Historical downloads can change; re-downloads must be separately versioned and validated.</w:t>
      </w:r>
    </w:p>
    <w:p w14:paraId="3EDA2133" w14:textId="77777777" w:rsidR="00074749" w:rsidRDefault="00000000">
      <w:pPr>
        <w:pStyle w:val="Heading1"/>
      </w:pPr>
      <w:r>
        <w:t>5.2 Output 1: Cumulative Return Compared with SPY</w:t>
      </w:r>
    </w:p>
    <w:p w14:paraId="51386569" w14:textId="77777777" w:rsidR="00074749" w:rsidRDefault="00000000">
      <w:r>
        <w:t>Cumulative return = (last adjusted closing price / first adjusted closing price) − 1. The denominator is each ticker’s first available adjusted close in the observation window. Difference versus SPY is reported in percentage points (pp), not as a percentage growth rate. SPY is a broad-market comparator, not a matched semiconductor index.</w:t>
      </w:r>
    </w:p>
    <w:tbl>
      <w:tblPr>
        <w:tblStyle w:val="LightShading-Accent1"/>
        <w:tblW w:w="0" w:type="auto"/>
        <w:tblLook w:val="04A0" w:firstRow="1" w:lastRow="0" w:firstColumn="1" w:lastColumn="0" w:noHBand="0" w:noVBand="1"/>
      </w:tblPr>
      <w:tblGrid>
        <w:gridCol w:w="2880"/>
        <w:gridCol w:w="2880"/>
        <w:gridCol w:w="2880"/>
      </w:tblGrid>
      <w:tr w:rsidR="00074749" w14:paraId="7DBD5965" w14:textId="77777777" w:rsidTr="00074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CEAF5"/>
          </w:tcPr>
          <w:p w14:paraId="7B975CB6" w14:textId="77777777" w:rsidR="00074749" w:rsidRDefault="00000000">
            <w:r>
              <w:t>Ticker</w:t>
            </w:r>
          </w:p>
        </w:tc>
        <w:tc>
          <w:tcPr>
            <w:tcW w:w="2880" w:type="dxa"/>
            <w:shd w:val="clear" w:color="auto" w:fill="DCEAF5"/>
          </w:tcPr>
          <w:p w14:paraId="78CC9DB6" w14:textId="77777777" w:rsidR="00074749" w:rsidRDefault="00000000">
            <w:pPr>
              <w:cnfStyle w:val="100000000000" w:firstRow="1" w:lastRow="0" w:firstColumn="0" w:lastColumn="0" w:oddVBand="0" w:evenVBand="0" w:oddHBand="0" w:evenHBand="0" w:firstRowFirstColumn="0" w:firstRowLastColumn="0" w:lastRowFirstColumn="0" w:lastRowLastColumn="0"/>
            </w:pPr>
            <w:r>
              <w:t>Cumulative return (%)</w:t>
            </w:r>
          </w:p>
        </w:tc>
        <w:tc>
          <w:tcPr>
            <w:tcW w:w="2880" w:type="dxa"/>
            <w:shd w:val="clear" w:color="auto" w:fill="DCEAF5"/>
          </w:tcPr>
          <w:p w14:paraId="5CCB4906" w14:textId="77777777" w:rsidR="00074749" w:rsidRDefault="00000000">
            <w:pPr>
              <w:cnfStyle w:val="100000000000" w:firstRow="1" w:lastRow="0" w:firstColumn="0" w:lastColumn="0" w:oddVBand="0" w:evenVBand="0" w:oddHBand="0" w:evenHBand="0" w:firstRowFirstColumn="0" w:firstRowLastColumn="0" w:lastRowFirstColumn="0" w:lastRowLastColumn="0"/>
            </w:pPr>
            <w:r>
              <w:t>Difference vs SPY (pp)</w:t>
            </w:r>
          </w:p>
        </w:tc>
      </w:tr>
      <w:tr w:rsidR="00074749" w14:paraId="713052ED"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1B7F4F" w14:textId="77777777" w:rsidR="00074749" w:rsidRDefault="00000000">
            <w:r>
              <w:t>NVDA</w:t>
            </w:r>
          </w:p>
        </w:tc>
        <w:tc>
          <w:tcPr>
            <w:tcW w:w="2880" w:type="dxa"/>
          </w:tcPr>
          <w:p w14:paraId="0DEFF137" w14:textId="77777777" w:rsidR="00074749" w:rsidRDefault="00000000">
            <w:pPr>
              <w:cnfStyle w:val="000000100000" w:firstRow="0" w:lastRow="0" w:firstColumn="0" w:lastColumn="0" w:oddVBand="0" w:evenVBand="0" w:oddHBand="1" w:evenHBand="0" w:firstRowFirstColumn="0" w:firstRowLastColumn="0" w:lastRowFirstColumn="0" w:lastRowLastColumn="0"/>
            </w:pPr>
            <w:r>
              <w:t>1,326.20</w:t>
            </w:r>
          </w:p>
        </w:tc>
        <w:tc>
          <w:tcPr>
            <w:tcW w:w="2880" w:type="dxa"/>
          </w:tcPr>
          <w:p w14:paraId="49057397" w14:textId="77777777" w:rsidR="00074749" w:rsidRDefault="00000000">
            <w:pPr>
              <w:cnfStyle w:val="000000100000" w:firstRow="0" w:lastRow="0" w:firstColumn="0" w:lastColumn="0" w:oddVBand="0" w:evenVBand="0" w:oddHBand="1" w:evenHBand="0" w:firstRowFirstColumn="0" w:firstRowLastColumn="0" w:lastRowFirstColumn="0" w:lastRowLastColumn="0"/>
            </w:pPr>
            <w:r>
              <w:t>+1,228.11</w:t>
            </w:r>
          </w:p>
        </w:tc>
      </w:tr>
      <w:tr w:rsidR="00074749" w14:paraId="26EA0DE4" w14:textId="77777777" w:rsidTr="00074749">
        <w:tc>
          <w:tcPr>
            <w:cnfStyle w:val="001000000000" w:firstRow="0" w:lastRow="0" w:firstColumn="1" w:lastColumn="0" w:oddVBand="0" w:evenVBand="0" w:oddHBand="0" w:evenHBand="0" w:firstRowFirstColumn="0" w:firstRowLastColumn="0" w:lastRowFirstColumn="0" w:lastRowLastColumn="0"/>
            <w:tcW w:w="2880" w:type="dxa"/>
          </w:tcPr>
          <w:p w14:paraId="65EA3D97" w14:textId="77777777" w:rsidR="00074749" w:rsidRDefault="00000000">
            <w:r>
              <w:t>AVGO</w:t>
            </w:r>
          </w:p>
        </w:tc>
        <w:tc>
          <w:tcPr>
            <w:tcW w:w="2880" w:type="dxa"/>
          </w:tcPr>
          <w:p w14:paraId="6649AE7B" w14:textId="77777777" w:rsidR="00074749" w:rsidRDefault="00000000">
            <w:pPr>
              <w:cnfStyle w:val="000000000000" w:firstRow="0" w:lastRow="0" w:firstColumn="0" w:lastColumn="0" w:oddVBand="0" w:evenVBand="0" w:oddHBand="0" w:evenHBand="0" w:firstRowFirstColumn="0" w:firstRowLastColumn="0" w:lastRowFirstColumn="0" w:lastRowLastColumn="0"/>
            </w:pPr>
            <w:r>
              <w:t>804.76</w:t>
            </w:r>
          </w:p>
        </w:tc>
        <w:tc>
          <w:tcPr>
            <w:tcW w:w="2880" w:type="dxa"/>
          </w:tcPr>
          <w:p w14:paraId="33B7A2B7" w14:textId="77777777" w:rsidR="00074749" w:rsidRDefault="00000000">
            <w:pPr>
              <w:cnfStyle w:val="000000000000" w:firstRow="0" w:lastRow="0" w:firstColumn="0" w:lastColumn="0" w:oddVBand="0" w:evenVBand="0" w:oddHBand="0" w:evenHBand="0" w:firstRowFirstColumn="0" w:firstRowLastColumn="0" w:lastRowFirstColumn="0" w:lastRowLastColumn="0"/>
            </w:pPr>
            <w:r>
              <w:t>+706.68</w:t>
            </w:r>
          </w:p>
        </w:tc>
      </w:tr>
      <w:tr w:rsidR="00074749" w14:paraId="1D2D9AD1"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239B46" w14:textId="77777777" w:rsidR="00074749" w:rsidRDefault="00000000">
            <w:r>
              <w:t>TSM</w:t>
            </w:r>
          </w:p>
        </w:tc>
        <w:tc>
          <w:tcPr>
            <w:tcW w:w="2880" w:type="dxa"/>
          </w:tcPr>
          <w:p w14:paraId="7D08B626" w14:textId="77777777" w:rsidR="00074749" w:rsidRDefault="00000000">
            <w:pPr>
              <w:cnfStyle w:val="000000100000" w:firstRow="0" w:lastRow="0" w:firstColumn="0" w:lastColumn="0" w:oddVBand="0" w:evenVBand="0" w:oddHBand="1" w:evenHBand="0" w:firstRowFirstColumn="0" w:firstRowLastColumn="0" w:lastRowFirstColumn="0" w:lastRowLastColumn="0"/>
            </w:pPr>
            <w:r>
              <w:t>195.86</w:t>
            </w:r>
          </w:p>
        </w:tc>
        <w:tc>
          <w:tcPr>
            <w:tcW w:w="2880" w:type="dxa"/>
          </w:tcPr>
          <w:p w14:paraId="5240DB65" w14:textId="77777777" w:rsidR="00074749" w:rsidRDefault="00000000">
            <w:pPr>
              <w:cnfStyle w:val="000000100000" w:firstRow="0" w:lastRow="0" w:firstColumn="0" w:lastColumn="0" w:oddVBand="0" w:evenVBand="0" w:oddHBand="1" w:evenHBand="0" w:firstRowFirstColumn="0" w:firstRowLastColumn="0" w:lastRowFirstColumn="0" w:lastRowLastColumn="0"/>
            </w:pPr>
            <w:r>
              <w:t>+97.77</w:t>
            </w:r>
          </w:p>
        </w:tc>
      </w:tr>
      <w:tr w:rsidR="00074749" w14:paraId="02D56FE1" w14:textId="77777777" w:rsidTr="00074749">
        <w:tc>
          <w:tcPr>
            <w:cnfStyle w:val="001000000000" w:firstRow="0" w:lastRow="0" w:firstColumn="1" w:lastColumn="0" w:oddVBand="0" w:evenVBand="0" w:oddHBand="0" w:evenHBand="0" w:firstRowFirstColumn="0" w:firstRowLastColumn="0" w:lastRowFirstColumn="0" w:lastRowLastColumn="0"/>
            <w:tcW w:w="2880" w:type="dxa"/>
          </w:tcPr>
          <w:p w14:paraId="799917B1" w14:textId="77777777" w:rsidR="00074749" w:rsidRDefault="00000000">
            <w:r>
              <w:t>AMD</w:t>
            </w:r>
          </w:p>
        </w:tc>
        <w:tc>
          <w:tcPr>
            <w:tcW w:w="2880" w:type="dxa"/>
          </w:tcPr>
          <w:p w14:paraId="012EE45B" w14:textId="77777777" w:rsidR="00074749" w:rsidRDefault="00000000">
            <w:pPr>
              <w:cnfStyle w:val="000000000000" w:firstRow="0" w:lastRow="0" w:firstColumn="0" w:lastColumn="0" w:oddVBand="0" w:evenVBand="0" w:oddHBand="0" w:evenHBand="0" w:firstRowFirstColumn="0" w:firstRowLastColumn="0" w:lastRowFirstColumn="0" w:lastRowLastColumn="0"/>
            </w:pPr>
            <w:r>
              <w:t>132.03</w:t>
            </w:r>
          </w:p>
        </w:tc>
        <w:tc>
          <w:tcPr>
            <w:tcW w:w="2880" w:type="dxa"/>
          </w:tcPr>
          <w:p w14:paraId="7EFB1EB1" w14:textId="77777777" w:rsidR="00074749" w:rsidRDefault="00000000">
            <w:pPr>
              <w:cnfStyle w:val="000000000000" w:firstRow="0" w:lastRow="0" w:firstColumn="0" w:lastColumn="0" w:oddVBand="0" w:evenVBand="0" w:oddHBand="0" w:evenHBand="0" w:firstRowFirstColumn="0" w:firstRowLastColumn="0" w:lastRowFirstColumn="0" w:lastRowLastColumn="0"/>
            </w:pPr>
            <w:r>
              <w:t>+33.94</w:t>
            </w:r>
          </w:p>
        </w:tc>
      </w:tr>
      <w:tr w:rsidR="00074749" w14:paraId="617A5E4A"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31C841" w14:textId="77777777" w:rsidR="00074749" w:rsidRDefault="00000000">
            <w:r>
              <w:t>SPY</w:t>
            </w:r>
          </w:p>
        </w:tc>
        <w:tc>
          <w:tcPr>
            <w:tcW w:w="2880" w:type="dxa"/>
          </w:tcPr>
          <w:p w14:paraId="7DDC4452" w14:textId="77777777" w:rsidR="00074749" w:rsidRDefault="00000000">
            <w:pPr>
              <w:cnfStyle w:val="000000100000" w:firstRow="0" w:lastRow="0" w:firstColumn="0" w:lastColumn="0" w:oddVBand="0" w:evenVBand="0" w:oddHBand="1" w:evenHBand="0" w:firstRowFirstColumn="0" w:firstRowLastColumn="0" w:lastRowFirstColumn="0" w:lastRowLastColumn="0"/>
            </w:pPr>
            <w:r>
              <w:t>98.08</w:t>
            </w:r>
          </w:p>
        </w:tc>
        <w:tc>
          <w:tcPr>
            <w:tcW w:w="2880" w:type="dxa"/>
          </w:tcPr>
          <w:p w14:paraId="0636056A" w14:textId="77777777" w:rsidR="00074749" w:rsidRDefault="00000000">
            <w:pPr>
              <w:cnfStyle w:val="000000100000" w:firstRow="0" w:lastRow="0" w:firstColumn="0" w:lastColumn="0" w:oddVBand="0" w:evenVBand="0" w:oddHBand="1" w:evenHBand="0" w:firstRowFirstColumn="0" w:firstRowLastColumn="0" w:lastRowFirstColumn="0" w:lastRowLastColumn="0"/>
            </w:pPr>
            <w:r>
              <w:t>+0.00</w:t>
            </w:r>
          </w:p>
        </w:tc>
      </w:tr>
      <w:tr w:rsidR="00074749" w14:paraId="71502FA0" w14:textId="77777777" w:rsidTr="00074749">
        <w:tc>
          <w:tcPr>
            <w:cnfStyle w:val="001000000000" w:firstRow="0" w:lastRow="0" w:firstColumn="1" w:lastColumn="0" w:oddVBand="0" w:evenVBand="0" w:oddHBand="0" w:evenHBand="0" w:firstRowFirstColumn="0" w:firstRowLastColumn="0" w:lastRowFirstColumn="0" w:lastRowLastColumn="0"/>
            <w:tcW w:w="2880" w:type="dxa"/>
          </w:tcPr>
          <w:p w14:paraId="2E803239" w14:textId="77777777" w:rsidR="00074749" w:rsidRDefault="00000000">
            <w:r>
              <w:t>INTC</w:t>
            </w:r>
          </w:p>
        </w:tc>
        <w:tc>
          <w:tcPr>
            <w:tcW w:w="2880" w:type="dxa"/>
          </w:tcPr>
          <w:p w14:paraId="0713796C" w14:textId="77777777" w:rsidR="00074749" w:rsidRDefault="00000000">
            <w:pPr>
              <w:cnfStyle w:val="000000000000" w:firstRow="0" w:lastRow="0" w:firstColumn="0" w:lastColumn="0" w:oddVBand="0" w:evenVBand="0" w:oddHBand="0" w:evenHBand="0" w:firstRowFirstColumn="0" w:firstRowLastColumn="0" w:lastRowFirstColumn="0" w:lastRowLastColumn="0"/>
            </w:pPr>
            <w:r>
              <w:t>-17.82</w:t>
            </w:r>
          </w:p>
        </w:tc>
        <w:tc>
          <w:tcPr>
            <w:tcW w:w="2880" w:type="dxa"/>
          </w:tcPr>
          <w:p w14:paraId="1125C701" w14:textId="77777777" w:rsidR="00074749" w:rsidRDefault="00000000">
            <w:pPr>
              <w:cnfStyle w:val="000000000000" w:firstRow="0" w:lastRow="0" w:firstColumn="0" w:lastColumn="0" w:oddVBand="0" w:evenVBand="0" w:oddHBand="0" w:evenHBand="0" w:firstRowFirstColumn="0" w:firstRowLastColumn="0" w:lastRowFirstColumn="0" w:lastRowLastColumn="0"/>
            </w:pPr>
            <w:r>
              <w:t>-115.91</w:t>
            </w:r>
          </w:p>
        </w:tc>
      </w:tr>
    </w:tbl>
    <w:p w14:paraId="2C400B28" w14:textId="77777777" w:rsidR="00074749" w:rsidRDefault="00000000">
      <w:r>
        <w:t>Table 1. Historical cumulative returns, January 4, 2021–December 31, 2025. Source: executed master notebook KPI summary; values rounded for display.</w:t>
      </w:r>
    </w:p>
    <w:p w14:paraId="2FF8C517" w14:textId="77777777" w:rsidR="00074749" w:rsidRDefault="00000000">
      <w:r>
        <w:t xml:space="preserve">Observed result: NVDA had the highest cumulative return (1,326.20%), followed by AVGO (804.76%). INTC was the only negative-return security (−17.82%). Four of the five semiconductor stocks exceeded SPY’s 98.08% cumulative return. Interpretation: large differences existed within the </w:t>
      </w:r>
      <w:r>
        <w:lastRenderedPageBreak/>
        <w:t>selected semiconductor group. This does not establish why those differences occurred or which security will perform best in the future.</w:t>
      </w:r>
    </w:p>
    <w:p w14:paraId="75ADC8BC" w14:textId="77777777" w:rsidR="00074749" w:rsidRDefault="00000000">
      <w:pPr>
        <w:pStyle w:val="Heading1"/>
      </w:pPr>
      <w:r>
        <w:t>5.3 Output 2: Historical Volatility and Drawdown</w:t>
      </w:r>
    </w:p>
    <w:p w14:paraId="26FADC25" w14:textId="77777777" w:rsidR="00074749" w:rsidRDefault="00000000">
      <w:r>
        <w:t>Annualized volatility = sample standard deviation of daily simple returns × √252. Each ticker has 1,254 nonmissing daily returns; sample standard deviation uses n−1. Maximum drawdown = minimum of (adjusted closing price / prior running maximum adjusted closing price) − 1 across the observation window. Both are shown as percentages; SPY differences are percentage points.</w:t>
      </w:r>
    </w:p>
    <w:tbl>
      <w:tblPr>
        <w:tblStyle w:val="LightShading-Accent1"/>
        <w:tblW w:w="0" w:type="auto"/>
        <w:tblLook w:val="04A0" w:firstRow="1" w:lastRow="0" w:firstColumn="1" w:lastColumn="0" w:noHBand="0" w:noVBand="1"/>
      </w:tblPr>
      <w:tblGrid>
        <w:gridCol w:w="1728"/>
        <w:gridCol w:w="1728"/>
        <w:gridCol w:w="1728"/>
        <w:gridCol w:w="1728"/>
        <w:gridCol w:w="1728"/>
      </w:tblGrid>
      <w:tr w:rsidR="00074749" w14:paraId="1F5E8990" w14:textId="77777777" w:rsidTr="00074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shd w:val="clear" w:color="auto" w:fill="DCEAF5"/>
          </w:tcPr>
          <w:p w14:paraId="00DC370F" w14:textId="77777777" w:rsidR="00074749" w:rsidRDefault="00000000">
            <w:r>
              <w:t>Ticker</w:t>
            </w:r>
          </w:p>
        </w:tc>
        <w:tc>
          <w:tcPr>
            <w:tcW w:w="1728" w:type="dxa"/>
            <w:shd w:val="clear" w:color="auto" w:fill="DCEAF5"/>
          </w:tcPr>
          <w:p w14:paraId="1B38F618" w14:textId="77777777" w:rsidR="00074749" w:rsidRDefault="00000000">
            <w:pPr>
              <w:cnfStyle w:val="100000000000" w:firstRow="1" w:lastRow="0" w:firstColumn="0" w:lastColumn="0" w:oddVBand="0" w:evenVBand="0" w:oddHBand="0" w:evenHBand="0" w:firstRowFirstColumn="0" w:firstRowLastColumn="0" w:lastRowFirstColumn="0" w:lastRowLastColumn="0"/>
            </w:pPr>
            <w:r>
              <w:t>Volatility (%)</w:t>
            </w:r>
          </w:p>
        </w:tc>
        <w:tc>
          <w:tcPr>
            <w:tcW w:w="1728" w:type="dxa"/>
            <w:shd w:val="clear" w:color="auto" w:fill="DCEAF5"/>
          </w:tcPr>
          <w:p w14:paraId="7345C0AC" w14:textId="77777777" w:rsidR="00074749" w:rsidRDefault="00000000">
            <w:pPr>
              <w:cnfStyle w:val="100000000000" w:firstRow="1" w:lastRow="0" w:firstColumn="0" w:lastColumn="0" w:oddVBand="0" w:evenVBand="0" w:oddHBand="0" w:evenHBand="0" w:firstRowFirstColumn="0" w:firstRowLastColumn="0" w:lastRowFirstColumn="0" w:lastRowLastColumn="0"/>
            </w:pPr>
            <w:r>
              <w:t>Vs SPY (pp)</w:t>
            </w:r>
          </w:p>
        </w:tc>
        <w:tc>
          <w:tcPr>
            <w:tcW w:w="1728" w:type="dxa"/>
            <w:shd w:val="clear" w:color="auto" w:fill="DCEAF5"/>
          </w:tcPr>
          <w:p w14:paraId="55FD768A" w14:textId="77777777" w:rsidR="00074749" w:rsidRDefault="00000000">
            <w:pPr>
              <w:cnfStyle w:val="100000000000" w:firstRow="1" w:lastRow="0" w:firstColumn="0" w:lastColumn="0" w:oddVBand="0" w:evenVBand="0" w:oddHBand="0" w:evenHBand="0" w:firstRowFirstColumn="0" w:firstRowLastColumn="0" w:lastRowFirstColumn="0" w:lastRowLastColumn="0"/>
            </w:pPr>
            <w:r>
              <w:t>Max drawdown (%)</w:t>
            </w:r>
          </w:p>
        </w:tc>
        <w:tc>
          <w:tcPr>
            <w:tcW w:w="1728" w:type="dxa"/>
            <w:shd w:val="clear" w:color="auto" w:fill="DCEAF5"/>
          </w:tcPr>
          <w:p w14:paraId="77B96B83" w14:textId="77777777" w:rsidR="00074749" w:rsidRDefault="00000000">
            <w:pPr>
              <w:cnfStyle w:val="100000000000" w:firstRow="1" w:lastRow="0" w:firstColumn="0" w:lastColumn="0" w:oddVBand="0" w:evenVBand="0" w:oddHBand="0" w:evenHBand="0" w:firstRowFirstColumn="0" w:firstRowLastColumn="0" w:lastRowFirstColumn="0" w:lastRowLastColumn="0"/>
            </w:pPr>
            <w:r>
              <w:t>Vs SPY (pp)</w:t>
            </w:r>
          </w:p>
        </w:tc>
      </w:tr>
      <w:tr w:rsidR="00074749" w14:paraId="72A55E23"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D00E4A" w14:textId="77777777" w:rsidR="00074749" w:rsidRDefault="00000000">
            <w:r>
              <w:t>AMD</w:t>
            </w:r>
          </w:p>
        </w:tc>
        <w:tc>
          <w:tcPr>
            <w:tcW w:w="1728" w:type="dxa"/>
          </w:tcPr>
          <w:p w14:paraId="30C0F078" w14:textId="77777777" w:rsidR="00074749" w:rsidRDefault="00000000">
            <w:pPr>
              <w:cnfStyle w:val="000000100000" w:firstRow="0" w:lastRow="0" w:firstColumn="0" w:lastColumn="0" w:oddVBand="0" w:evenVBand="0" w:oddHBand="1" w:evenHBand="0" w:firstRowFirstColumn="0" w:firstRowLastColumn="0" w:lastRowFirstColumn="0" w:lastRowLastColumn="0"/>
            </w:pPr>
            <w:r>
              <w:t>52.41</w:t>
            </w:r>
          </w:p>
        </w:tc>
        <w:tc>
          <w:tcPr>
            <w:tcW w:w="1728" w:type="dxa"/>
          </w:tcPr>
          <w:p w14:paraId="74D5FF49" w14:textId="77777777" w:rsidR="00074749" w:rsidRDefault="00000000">
            <w:pPr>
              <w:cnfStyle w:val="000000100000" w:firstRow="0" w:lastRow="0" w:firstColumn="0" w:lastColumn="0" w:oddVBand="0" w:evenVBand="0" w:oddHBand="1" w:evenHBand="0" w:firstRowFirstColumn="0" w:firstRowLastColumn="0" w:lastRowFirstColumn="0" w:lastRowLastColumn="0"/>
            </w:pPr>
            <w:r>
              <w:t>+35.29</w:t>
            </w:r>
          </w:p>
        </w:tc>
        <w:tc>
          <w:tcPr>
            <w:tcW w:w="1728" w:type="dxa"/>
          </w:tcPr>
          <w:p w14:paraId="50AF8F9A" w14:textId="77777777" w:rsidR="00074749" w:rsidRDefault="00000000">
            <w:pPr>
              <w:cnfStyle w:val="000000100000" w:firstRow="0" w:lastRow="0" w:firstColumn="0" w:lastColumn="0" w:oddVBand="0" w:evenVBand="0" w:oddHBand="1" w:evenHBand="0" w:firstRowFirstColumn="0" w:firstRowLastColumn="0" w:lastRowFirstColumn="0" w:lastRowLastColumn="0"/>
            </w:pPr>
            <w:r>
              <w:t>-65.45</w:t>
            </w:r>
          </w:p>
        </w:tc>
        <w:tc>
          <w:tcPr>
            <w:tcW w:w="1728" w:type="dxa"/>
          </w:tcPr>
          <w:p w14:paraId="7A24D8FD" w14:textId="77777777" w:rsidR="00074749" w:rsidRDefault="00000000">
            <w:pPr>
              <w:cnfStyle w:val="000000100000" w:firstRow="0" w:lastRow="0" w:firstColumn="0" w:lastColumn="0" w:oddVBand="0" w:evenVBand="0" w:oddHBand="1" w:evenHBand="0" w:firstRowFirstColumn="0" w:firstRowLastColumn="0" w:lastRowFirstColumn="0" w:lastRowLastColumn="0"/>
            </w:pPr>
            <w:r>
              <w:t>-40.95</w:t>
            </w:r>
          </w:p>
        </w:tc>
      </w:tr>
      <w:tr w:rsidR="00074749" w14:paraId="6EE3C212" w14:textId="77777777" w:rsidTr="00074749">
        <w:tc>
          <w:tcPr>
            <w:cnfStyle w:val="001000000000" w:firstRow="0" w:lastRow="0" w:firstColumn="1" w:lastColumn="0" w:oddVBand="0" w:evenVBand="0" w:oddHBand="0" w:evenHBand="0" w:firstRowFirstColumn="0" w:firstRowLastColumn="0" w:lastRowFirstColumn="0" w:lastRowLastColumn="0"/>
            <w:tcW w:w="1728" w:type="dxa"/>
          </w:tcPr>
          <w:p w14:paraId="4D196B36" w14:textId="77777777" w:rsidR="00074749" w:rsidRDefault="00000000">
            <w:r>
              <w:t>AVGO</w:t>
            </w:r>
          </w:p>
        </w:tc>
        <w:tc>
          <w:tcPr>
            <w:tcW w:w="1728" w:type="dxa"/>
          </w:tcPr>
          <w:p w14:paraId="6332D241" w14:textId="77777777" w:rsidR="00074749" w:rsidRDefault="00000000">
            <w:pPr>
              <w:cnfStyle w:val="000000000000" w:firstRow="0" w:lastRow="0" w:firstColumn="0" w:lastColumn="0" w:oddVBand="0" w:evenVBand="0" w:oddHBand="0" w:evenHBand="0" w:firstRowFirstColumn="0" w:firstRowLastColumn="0" w:lastRowFirstColumn="0" w:lastRowLastColumn="0"/>
            </w:pPr>
            <w:r>
              <w:t>42.31</w:t>
            </w:r>
          </w:p>
        </w:tc>
        <w:tc>
          <w:tcPr>
            <w:tcW w:w="1728" w:type="dxa"/>
          </w:tcPr>
          <w:p w14:paraId="2FB8E713" w14:textId="77777777" w:rsidR="00074749" w:rsidRDefault="00000000">
            <w:pPr>
              <w:cnfStyle w:val="000000000000" w:firstRow="0" w:lastRow="0" w:firstColumn="0" w:lastColumn="0" w:oddVBand="0" w:evenVBand="0" w:oddHBand="0" w:evenHBand="0" w:firstRowFirstColumn="0" w:firstRowLastColumn="0" w:lastRowFirstColumn="0" w:lastRowLastColumn="0"/>
            </w:pPr>
            <w:r>
              <w:t>+25.20</w:t>
            </w:r>
          </w:p>
        </w:tc>
        <w:tc>
          <w:tcPr>
            <w:tcW w:w="1728" w:type="dxa"/>
          </w:tcPr>
          <w:p w14:paraId="6385871C" w14:textId="77777777" w:rsidR="00074749" w:rsidRDefault="00000000">
            <w:pPr>
              <w:cnfStyle w:val="000000000000" w:firstRow="0" w:lastRow="0" w:firstColumn="0" w:lastColumn="0" w:oddVBand="0" w:evenVBand="0" w:oddHBand="0" w:evenHBand="0" w:firstRowFirstColumn="0" w:firstRowLastColumn="0" w:lastRowFirstColumn="0" w:lastRowLastColumn="0"/>
            </w:pPr>
            <w:r>
              <w:t>-41.15</w:t>
            </w:r>
          </w:p>
        </w:tc>
        <w:tc>
          <w:tcPr>
            <w:tcW w:w="1728" w:type="dxa"/>
          </w:tcPr>
          <w:p w14:paraId="149D3AC1" w14:textId="77777777" w:rsidR="00074749" w:rsidRDefault="00000000">
            <w:pPr>
              <w:cnfStyle w:val="000000000000" w:firstRow="0" w:lastRow="0" w:firstColumn="0" w:lastColumn="0" w:oddVBand="0" w:evenVBand="0" w:oddHBand="0" w:evenHBand="0" w:firstRowFirstColumn="0" w:firstRowLastColumn="0" w:lastRowFirstColumn="0" w:lastRowLastColumn="0"/>
            </w:pPr>
            <w:r>
              <w:t>-16.65</w:t>
            </w:r>
          </w:p>
        </w:tc>
      </w:tr>
      <w:tr w:rsidR="00074749" w14:paraId="6AE3E0B5"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992314" w14:textId="77777777" w:rsidR="00074749" w:rsidRDefault="00000000">
            <w:r>
              <w:t>INTC</w:t>
            </w:r>
          </w:p>
        </w:tc>
        <w:tc>
          <w:tcPr>
            <w:tcW w:w="1728" w:type="dxa"/>
          </w:tcPr>
          <w:p w14:paraId="37E37787" w14:textId="77777777" w:rsidR="00074749" w:rsidRDefault="00000000">
            <w:pPr>
              <w:cnfStyle w:val="000000100000" w:firstRow="0" w:lastRow="0" w:firstColumn="0" w:lastColumn="0" w:oddVBand="0" w:evenVBand="0" w:oddHBand="1" w:evenHBand="0" w:firstRowFirstColumn="0" w:firstRowLastColumn="0" w:lastRowFirstColumn="0" w:lastRowLastColumn="0"/>
            </w:pPr>
            <w:r>
              <w:t>46.24</w:t>
            </w:r>
          </w:p>
        </w:tc>
        <w:tc>
          <w:tcPr>
            <w:tcW w:w="1728" w:type="dxa"/>
          </w:tcPr>
          <w:p w14:paraId="2C6D57E7" w14:textId="77777777" w:rsidR="00074749" w:rsidRDefault="00000000">
            <w:pPr>
              <w:cnfStyle w:val="000000100000" w:firstRow="0" w:lastRow="0" w:firstColumn="0" w:lastColumn="0" w:oddVBand="0" w:evenVBand="0" w:oddHBand="1" w:evenHBand="0" w:firstRowFirstColumn="0" w:firstRowLastColumn="0" w:lastRowFirstColumn="0" w:lastRowLastColumn="0"/>
            </w:pPr>
            <w:r>
              <w:t>+29.13</w:t>
            </w:r>
          </w:p>
        </w:tc>
        <w:tc>
          <w:tcPr>
            <w:tcW w:w="1728" w:type="dxa"/>
          </w:tcPr>
          <w:p w14:paraId="79D1F4EF" w14:textId="77777777" w:rsidR="00074749" w:rsidRDefault="00000000">
            <w:pPr>
              <w:cnfStyle w:val="000000100000" w:firstRow="0" w:lastRow="0" w:firstColumn="0" w:lastColumn="0" w:oddVBand="0" w:evenVBand="0" w:oddHBand="1" w:evenHBand="0" w:firstRowFirstColumn="0" w:firstRowLastColumn="0" w:lastRowFirstColumn="0" w:lastRowLastColumn="0"/>
            </w:pPr>
            <w:r>
              <w:t>-70.80</w:t>
            </w:r>
          </w:p>
        </w:tc>
        <w:tc>
          <w:tcPr>
            <w:tcW w:w="1728" w:type="dxa"/>
          </w:tcPr>
          <w:p w14:paraId="06AE61A0" w14:textId="77777777" w:rsidR="00074749" w:rsidRDefault="00000000">
            <w:pPr>
              <w:cnfStyle w:val="000000100000" w:firstRow="0" w:lastRow="0" w:firstColumn="0" w:lastColumn="0" w:oddVBand="0" w:evenVBand="0" w:oddHBand="1" w:evenHBand="0" w:firstRowFirstColumn="0" w:firstRowLastColumn="0" w:lastRowFirstColumn="0" w:lastRowLastColumn="0"/>
            </w:pPr>
            <w:r>
              <w:t>-46.30</w:t>
            </w:r>
          </w:p>
        </w:tc>
      </w:tr>
      <w:tr w:rsidR="00074749" w14:paraId="7B42ABA2" w14:textId="77777777" w:rsidTr="00074749">
        <w:tc>
          <w:tcPr>
            <w:cnfStyle w:val="001000000000" w:firstRow="0" w:lastRow="0" w:firstColumn="1" w:lastColumn="0" w:oddVBand="0" w:evenVBand="0" w:oddHBand="0" w:evenHBand="0" w:firstRowFirstColumn="0" w:firstRowLastColumn="0" w:lastRowFirstColumn="0" w:lastRowLastColumn="0"/>
            <w:tcW w:w="1728" w:type="dxa"/>
          </w:tcPr>
          <w:p w14:paraId="433078B0" w14:textId="77777777" w:rsidR="00074749" w:rsidRDefault="00000000">
            <w:r>
              <w:t>NVDA</w:t>
            </w:r>
          </w:p>
        </w:tc>
        <w:tc>
          <w:tcPr>
            <w:tcW w:w="1728" w:type="dxa"/>
          </w:tcPr>
          <w:p w14:paraId="3592D85F" w14:textId="77777777" w:rsidR="00074749" w:rsidRDefault="00000000">
            <w:pPr>
              <w:cnfStyle w:val="000000000000" w:firstRow="0" w:lastRow="0" w:firstColumn="0" w:lastColumn="0" w:oddVBand="0" w:evenVBand="0" w:oddHBand="0" w:evenHBand="0" w:firstRowFirstColumn="0" w:firstRowLastColumn="0" w:lastRowFirstColumn="0" w:lastRowLastColumn="0"/>
            </w:pPr>
            <w:r>
              <w:t>52.22</w:t>
            </w:r>
          </w:p>
        </w:tc>
        <w:tc>
          <w:tcPr>
            <w:tcW w:w="1728" w:type="dxa"/>
          </w:tcPr>
          <w:p w14:paraId="5D838595" w14:textId="77777777" w:rsidR="00074749" w:rsidRDefault="00000000">
            <w:pPr>
              <w:cnfStyle w:val="000000000000" w:firstRow="0" w:lastRow="0" w:firstColumn="0" w:lastColumn="0" w:oddVBand="0" w:evenVBand="0" w:oddHBand="0" w:evenHBand="0" w:firstRowFirstColumn="0" w:firstRowLastColumn="0" w:lastRowFirstColumn="0" w:lastRowLastColumn="0"/>
            </w:pPr>
            <w:r>
              <w:t>+35.11</w:t>
            </w:r>
          </w:p>
        </w:tc>
        <w:tc>
          <w:tcPr>
            <w:tcW w:w="1728" w:type="dxa"/>
          </w:tcPr>
          <w:p w14:paraId="19A89380" w14:textId="77777777" w:rsidR="00074749" w:rsidRDefault="00000000">
            <w:pPr>
              <w:cnfStyle w:val="000000000000" w:firstRow="0" w:lastRow="0" w:firstColumn="0" w:lastColumn="0" w:oddVBand="0" w:evenVBand="0" w:oddHBand="0" w:evenHBand="0" w:firstRowFirstColumn="0" w:firstRowLastColumn="0" w:lastRowFirstColumn="0" w:lastRowLastColumn="0"/>
            </w:pPr>
            <w:r>
              <w:t>-66.34</w:t>
            </w:r>
          </w:p>
        </w:tc>
        <w:tc>
          <w:tcPr>
            <w:tcW w:w="1728" w:type="dxa"/>
          </w:tcPr>
          <w:p w14:paraId="732F5E54" w14:textId="77777777" w:rsidR="00074749" w:rsidRDefault="00000000">
            <w:pPr>
              <w:cnfStyle w:val="000000000000" w:firstRow="0" w:lastRow="0" w:firstColumn="0" w:lastColumn="0" w:oddVBand="0" w:evenVBand="0" w:oddHBand="0" w:evenHBand="0" w:firstRowFirstColumn="0" w:firstRowLastColumn="0" w:lastRowFirstColumn="0" w:lastRowLastColumn="0"/>
            </w:pPr>
            <w:r>
              <w:t>-41.84</w:t>
            </w:r>
          </w:p>
        </w:tc>
      </w:tr>
      <w:tr w:rsidR="00074749" w14:paraId="4AD0ED46"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BF4E14" w14:textId="77777777" w:rsidR="00074749" w:rsidRDefault="00000000">
            <w:r>
              <w:t>SPY</w:t>
            </w:r>
          </w:p>
        </w:tc>
        <w:tc>
          <w:tcPr>
            <w:tcW w:w="1728" w:type="dxa"/>
          </w:tcPr>
          <w:p w14:paraId="11232238" w14:textId="77777777" w:rsidR="00074749" w:rsidRDefault="00000000">
            <w:pPr>
              <w:cnfStyle w:val="000000100000" w:firstRow="0" w:lastRow="0" w:firstColumn="0" w:lastColumn="0" w:oddVBand="0" w:evenVBand="0" w:oddHBand="1" w:evenHBand="0" w:firstRowFirstColumn="0" w:firstRowLastColumn="0" w:lastRowFirstColumn="0" w:lastRowLastColumn="0"/>
            </w:pPr>
            <w:r>
              <w:t>17.11</w:t>
            </w:r>
          </w:p>
        </w:tc>
        <w:tc>
          <w:tcPr>
            <w:tcW w:w="1728" w:type="dxa"/>
          </w:tcPr>
          <w:p w14:paraId="0BE486BA" w14:textId="77777777" w:rsidR="00074749" w:rsidRDefault="00000000">
            <w:pPr>
              <w:cnfStyle w:val="000000100000" w:firstRow="0" w:lastRow="0" w:firstColumn="0" w:lastColumn="0" w:oddVBand="0" w:evenVBand="0" w:oddHBand="1" w:evenHBand="0" w:firstRowFirstColumn="0" w:firstRowLastColumn="0" w:lastRowFirstColumn="0" w:lastRowLastColumn="0"/>
            </w:pPr>
            <w:r>
              <w:t>+0.00</w:t>
            </w:r>
          </w:p>
        </w:tc>
        <w:tc>
          <w:tcPr>
            <w:tcW w:w="1728" w:type="dxa"/>
          </w:tcPr>
          <w:p w14:paraId="591152E1" w14:textId="77777777" w:rsidR="00074749" w:rsidRDefault="00000000">
            <w:pPr>
              <w:cnfStyle w:val="000000100000" w:firstRow="0" w:lastRow="0" w:firstColumn="0" w:lastColumn="0" w:oddVBand="0" w:evenVBand="0" w:oddHBand="1" w:evenHBand="0" w:firstRowFirstColumn="0" w:firstRowLastColumn="0" w:lastRowFirstColumn="0" w:lastRowLastColumn="0"/>
            </w:pPr>
            <w:r>
              <w:t>-24.50</w:t>
            </w:r>
          </w:p>
        </w:tc>
        <w:tc>
          <w:tcPr>
            <w:tcW w:w="1728" w:type="dxa"/>
          </w:tcPr>
          <w:p w14:paraId="08A55C41" w14:textId="77777777" w:rsidR="00074749" w:rsidRDefault="00000000">
            <w:pPr>
              <w:cnfStyle w:val="000000100000" w:firstRow="0" w:lastRow="0" w:firstColumn="0" w:lastColumn="0" w:oddVBand="0" w:evenVBand="0" w:oddHBand="1" w:evenHBand="0" w:firstRowFirstColumn="0" w:firstRowLastColumn="0" w:lastRowFirstColumn="0" w:lastRowLastColumn="0"/>
            </w:pPr>
            <w:r>
              <w:t>+0.00</w:t>
            </w:r>
          </w:p>
        </w:tc>
      </w:tr>
      <w:tr w:rsidR="00074749" w14:paraId="385070DB" w14:textId="77777777" w:rsidTr="00074749">
        <w:tc>
          <w:tcPr>
            <w:cnfStyle w:val="001000000000" w:firstRow="0" w:lastRow="0" w:firstColumn="1" w:lastColumn="0" w:oddVBand="0" w:evenVBand="0" w:oddHBand="0" w:evenHBand="0" w:firstRowFirstColumn="0" w:firstRowLastColumn="0" w:lastRowFirstColumn="0" w:lastRowLastColumn="0"/>
            <w:tcW w:w="1728" w:type="dxa"/>
          </w:tcPr>
          <w:p w14:paraId="4C2B7118" w14:textId="77777777" w:rsidR="00074749" w:rsidRDefault="00000000">
            <w:r>
              <w:t>TSM</w:t>
            </w:r>
          </w:p>
        </w:tc>
        <w:tc>
          <w:tcPr>
            <w:tcW w:w="1728" w:type="dxa"/>
          </w:tcPr>
          <w:p w14:paraId="399E7751" w14:textId="77777777" w:rsidR="00074749" w:rsidRDefault="00000000">
            <w:pPr>
              <w:cnfStyle w:val="000000000000" w:firstRow="0" w:lastRow="0" w:firstColumn="0" w:lastColumn="0" w:oddVBand="0" w:evenVBand="0" w:oddHBand="0" w:evenHBand="0" w:firstRowFirstColumn="0" w:firstRowLastColumn="0" w:lastRowFirstColumn="0" w:lastRowLastColumn="0"/>
            </w:pPr>
            <w:r>
              <w:t>37.37</w:t>
            </w:r>
          </w:p>
        </w:tc>
        <w:tc>
          <w:tcPr>
            <w:tcW w:w="1728" w:type="dxa"/>
          </w:tcPr>
          <w:p w14:paraId="0F5430DA" w14:textId="77777777" w:rsidR="00074749" w:rsidRDefault="00000000">
            <w:pPr>
              <w:cnfStyle w:val="000000000000" w:firstRow="0" w:lastRow="0" w:firstColumn="0" w:lastColumn="0" w:oddVBand="0" w:evenVBand="0" w:oddHBand="0" w:evenHBand="0" w:firstRowFirstColumn="0" w:firstRowLastColumn="0" w:lastRowFirstColumn="0" w:lastRowLastColumn="0"/>
            </w:pPr>
            <w:r>
              <w:t>+20.26</w:t>
            </w:r>
          </w:p>
        </w:tc>
        <w:tc>
          <w:tcPr>
            <w:tcW w:w="1728" w:type="dxa"/>
          </w:tcPr>
          <w:p w14:paraId="2BE2C72E" w14:textId="77777777" w:rsidR="00074749" w:rsidRDefault="00000000">
            <w:pPr>
              <w:cnfStyle w:val="000000000000" w:firstRow="0" w:lastRow="0" w:firstColumn="0" w:lastColumn="0" w:oddVBand="0" w:evenVBand="0" w:oddHBand="0" w:evenHBand="0" w:firstRowFirstColumn="0" w:firstRowLastColumn="0" w:lastRowFirstColumn="0" w:lastRowLastColumn="0"/>
            </w:pPr>
            <w:r>
              <w:t>-56.47</w:t>
            </w:r>
          </w:p>
        </w:tc>
        <w:tc>
          <w:tcPr>
            <w:tcW w:w="1728" w:type="dxa"/>
          </w:tcPr>
          <w:p w14:paraId="35FFFB17" w14:textId="77777777" w:rsidR="00074749" w:rsidRDefault="00000000">
            <w:pPr>
              <w:cnfStyle w:val="000000000000" w:firstRow="0" w:lastRow="0" w:firstColumn="0" w:lastColumn="0" w:oddVBand="0" w:evenVBand="0" w:oddHBand="0" w:evenHBand="0" w:firstRowFirstColumn="0" w:firstRowLastColumn="0" w:lastRowFirstColumn="0" w:lastRowLastColumn="0"/>
            </w:pPr>
            <w:r>
              <w:t>-31.97</w:t>
            </w:r>
          </w:p>
        </w:tc>
      </w:tr>
    </w:tbl>
    <w:p w14:paraId="010650B0" w14:textId="77777777" w:rsidR="00074749" w:rsidRDefault="00000000">
      <w:r>
        <w:t>Table 2. Realized annualized volatility and maximum drawdown from adjusted prices over the same 2021–2025 window. Source: executed notebook KPI summary.</w:t>
      </w:r>
    </w:p>
    <w:p w14:paraId="6A521C38" w14:textId="77777777" w:rsidR="00074749" w:rsidRDefault="00000000">
      <w:r>
        <w:t>Observed result: All five semiconductor stocks had higher annualized volatility than SPY (17.11%) and deeper maximum drawdowns than SPY (−24.50%). AMD had the highest annualized volatility (52.41%); INTC had the deepest maximum drawdown (−70.80%). Interpretation: higher realized cumulative returns did not eliminate exposure to substantial historical price declines. Volatility and maximum drawdown measure different dimensions of risk and should not be treated as interchangeable.</w:t>
      </w:r>
    </w:p>
    <w:p w14:paraId="6B117798" w14:textId="77777777" w:rsidR="00074749" w:rsidRDefault="00000000">
      <w:pPr>
        <w:pStyle w:val="Heading1"/>
      </w:pPr>
      <w:r>
        <w:t>5.4 Independent Validation and Baseline Comparison</w:t>
      </w:r>
    </w:p>
    <w:p w14:paraId="1825F310" w14:textId="77777777" w:rsidR="00074749" w:rsidRDefault="00000000">
      <w:r>
        <w:t>Week 6 baseline: an independently calculated SPY cumulative return reconciled with the pipeline cumulative return to within 0.0001 proportion; the saved Week 6 notebook status was PASSED. Week 7 adds a different independent reconciliation for NVDA annualized volatility, using adjacent adjusted-price ratios and Python statistics.stdev rather than pandas pct_change/std.</w:t>
      </w:r>
    </w:p>
    <w:tbl>
      <w:tblPr>
        <w:tblStyle w:val="LightShading-Accent1"/>
        <w:tblW w:w="0" w:type="auto"/>
        <w:tblLook w:val="04A0" w:firstRow="1" w:lastRow="0" w:firstColumn="1" w:lastColumn="0" w:noHBand="0" w:noVBand="1"/>
      </w:tblPr>
      <w:tblGrid>
        <w:gridCol w:w="4320"/>
        <w:gridCol w:w="4320"/>
      </w:tblGrid>
      <w:tr w:rsidR="00074749" w14:paraId="484441ED" w14:textId="77777777" w:rsidTr="00074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DCEAF5"/>
          </w:tcPr>
          <w:p w14:paraId="02EA7592" w14:textId="77777777" w:rsidR="00074749" w:rsidRDefault="00000000">
            <w:r>
              <w:t>Validation field</w:t>
            </w:r>
          </w:p>
        </w:tc>
        <w:tc>
          <w:tcPr>
            <w:tcW w:w="4320" w:type="dxa"/>
            <w:shd w:val="clear" w:color="auto" w:fill="DCEAF5"/>
          </w:tcPr>
          <w:p w14:paraId="77AD23D3" w14:textId="77777777" w:rsidR="00074749" w:rsidRDefault="00000000">
            <w:pPr>
              <w:cnfStyle w:val="100000000000" w:firstRow="1" w:lastRow="0" w:firstColumn="0" w:lastColumn="0" w:oddVBand="0" w:evenVBand="0" w:oddHBand="0" w:evenHBand="0" w:firstRowFirstColumn="0" w:firstRowLastColumn="0" w:lastRowFirstColumn="0" w:lastRowLastColumn="0"/>
            </w:pPr>
            <w:r>
              <w:t>Week 7 record</w:t>
            </w:r>
          </w:p>
        </w:tc>
      </w:tr>
      <w:tr w:rsidR="00074749" w14:paraId="7B3CA786"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A1FDA1" w14:textId="77777777" w:rsidR="00074749" w:rsidRDefault="00000000">
            <w:r>
              <w:t>Input / question</w:t>
            </w:r>
          </w:p>
        </w:tc>
        <w:tc>
          <w:tcPr>
            <w:tcW w:w="4320" w:type="dxa"/>
          </w:tcPr>
          <w:p w14:paraId="4A8C1634" w14:textId="77777777" w:rsidR="00074749" w:rsidRDefault="00000000">
            <w:pPr>
              <w:cnfStyle w:val="000000100000" w:firstRow="0" w:lastRow="0" w:firstColumn="0" w:lastColumn="0" w:oddVBand="0" w:evenVBand="0" w:oddHBand="1" w:evenHBand="0" w:firstRowFirstColumn="0" w:firstRowLastColumn="0" w:lastRowFirstColumn="0" w:lastRowLastColumn="0"/>
            </w:pPr>
            <w:r>
              <w:t>Does NVDA annualized volatility calculated independently from 1,255 adjusted closes / 1,254 daily returns match the pipeline KPI?</w:t>
            </w:r>
          </w:p>
        </w:tc>
      </w:tr>
      <w:tr w:rsidR="00074749" w14:paraId="54B94DF8" w14:textId="77777777" w:rsidTr="00074749">
        <w:tc>
          <w:tcPr>
            <w:cnfStyle w:val="001000000000" w:firstRow="0" w:lastRow="0" w:firstColumn="1" w:lastColumn="0" w:oddVBand="0" w:evenVBand="0" w:oddHBand="0" w:evenHBand="0" w:firstRowFirstColumn="0" w:firstRowLastColumn="0" w:lastRowFirstColumn="0" w:lastRowLastColumn="0"/>
            <w:tcW w:w="4320" w:type="dxa"/>
          </w:tcPr>
          <w:p w14:paraId="60F3A954" w14:textId="77777777" w:rsidR="00074749" w:rsidRDefault="00000000">
            <w:r>
              <w:t>Expected result</w:t>
            </w:r>
          </w:p>
        </w:tc>
        <w:tc>
          <w:tcPr>
            <w:tcW w:w="4320" w:type="dxa"/>
          </w:tcPr>
          <w:p w14:paraId="7EB3D9D9" w14:textId="77777777" w:rsidR="00074749" w:rsidRDefault="00000000">
            <w:pPr>
              <w:cnfStyle w:val="000000000000" w:firstRow="0" w:lastRow="0" w:firstColumn="0" w:lastColumn="0" w:oddVBand="0" w:evenVBand="0" w:oddHBand="0" w:evenHBand="0" w:firstRowFirstColumn="0" w:firstRowLastColumn="0" w:lastRowFirstColumn="0" w:lastRowLastColumn="0"/>
            </w:pPr>
            <w:r>
              <w:t>Absolute difference ≤ 0.0001 proportion (0.01 percentage point).</w:t>
            </w:r>
          </w:p>
        </w:tc>
      </w:tr>
      <w:tr w:rsidR="00074749" w14:paraId="371C68EA"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F111E9" w14:textId="77777777" w:rsidR="00074749" w:rsidRDefault="00000000">
            <w:r>
              <w:t>Actual result</w:t>
            </w:r>
          </w:p>
        </w:tc>
        <w:tc>
          <w:tcPr>
            <w:tcW w:w="4320" w:type="dxa"/>
          </w:tcPr>
          <w:p w14:paraId="32490A49" w14:textId="77777777" w:rsidR="00074749" w:rsidRDefault="00000000">
            <w:pPr>
              <w:cnfStyle w:val="000000100000" w:firstRow="0" w:lastRow="0" w:firstColumn="0" w:lastColumn="0" w:oddVBand="0" w:evenVBand="0" w:oddHBand="1" w:evenHBand="0" w:firstRowFirstColumn="0" w:firstRowLastColumn="0" w:lastRowFirstColumn="0" w:lastRowLastColumn="0"/>
            </w:pPr>
            <w:r>
              <w:t>Independent = 0.522247 (52.2247%); pipeline = 0.522247 (52.2247%); saved output reports absolute difference = 0.0.</w:t>
            </w:r>
          </w:p>
        </w:tc>
      </w:tr>
      <w:tr w:rsidR="00074749" w14:paraId="2680D012" w14:textId="77777777" w:rsidTr="00074749">
        <w:tc>
          <w:tcPr>
            <w:cnfStyle w:val="001000000000" w:firstRow="0" w:lastRow="0" w:firstColumn="1" w:lastColumn="0" w:oddVBand="0" w:evenVBand="0" w:oddHBand="0" w:evenHBand="0" w:firstRowFirstColumn="0" w:firstRowLastColumn="0" w:lastRowFirstColumn="0" w:lastRowLastColumn="0"/>
            <w:tcW w:w="4320" w:type="dxa"/>
          </w:tcPr>
          <w:p w14:paraId="57F19D0B" w14:textId="77777777" w:rsidR="00074749" w:rsidRDefault="00000000">
            <w:r>
              <w:t>Status</w:t>
            </w:r>
          </w:p>
        </w:tc>
        <w:tc>
          <w:tcPr>
            <w:tcW w:w="4320" w:type="dxa"/>
          </w:tcPr>
          <w:p w14:paraId="6B228623" w14:textId="77777777" w:rsidR="00074749" w:rsidRDefault="00000000">
            <w:pPr>
              <w:cnfStyle w:val="000000000000" w:firstRow="0" w:lastRow="0" w:firstColumn="0" w:lastColumn="0" w:oddVBand="0" w:evenVBand="0" w:oddHBand="0" w:evenHBand="0" w:firstRowFirstColumn="0" w:firstRowLastColumn="0" w:lastRowFirstColumn="0" w:lastRowLastColumn="0"/>
            </w:pPr>
            <w:r>
              <w:t>PASS (saved executed notebook output, UTC 2026-10-08 00:59:15).</w:t>
            </w:r>
          </w:p>
        </w:tc>
      </w:tr>
      <w:tr w:rsidR="00074749" w14:paraId="0042A9E9"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B16FC" w14:textId="77777777" w:rsidR="00074749" w:rsidRDefault="00000000">
            <w:r>
              <w:t>Evidence</w:t>
            </w:r>
          </w:p>
        </w:tc>
        <w:tc>
          <w:tcPr>
            <w:tcW w:w="4320" w:type="dxa"/>
          </w:tcPr>
          <w:p w14:paraId="426D9039" w14:textId="77777777" w:rsidR="00074749" w:rsidRDefault="00000000">
            <w:pPr>
              <w:cnfStyle w:val="000000100000" w:firstRow="0" w:lastRow="0" w:firstColumn="0" w:lastColumn="0" w:oddVBand="0" w:evenVBand="0" w:oddHBand="1" w:evenHBand="0" w:firstRowFirstColumn="0" w:firstRowLastColumn="0" w:lastRowFirstColumn="0" w:lastRowLastColumn="0"/>
            </w:pPr>
            <w:r>
              <w:t xml:space="preserve">CIS480_Final_Master_Analysis_W07(1).ipynb, Week 7 independent-validation code cell and output; export: week07_validation_record.csv </w:t>
            </w:r>
            <w:r>
              <w:lastRenderedPageBreak/>
              <w:t>(generated by notebook when executed).</w:t>
            </w:r>
          </w:p>
        </w:tc>
      </w:tr>
      <w:tr w:rsidR="00074749" w14:paraId="7F97B3E8" w14:textId="77777777" w:rsidTr="00074749">
        <w:tc>
          <w:tcPr>
            <w:cnfStyle w:val="001000000000" w:firstRow="0" w:lastRow="0" w:firstColumn="1" w:lastColumn="0" w:oddVBand="0" w:evenVBand="0" w:oddHBand="0" w:evenHBand="0" w:firstRowFirstColumn="0" w:firstRowLastColumn="0" w:lastRowFirstColumn="0" w:lastRowLastColumn="0"/>
            <w:tcW w:w="4320" w:type="dxa"/>
          </w:tcPr>
          <w:p w14:paraId="187D02E6" w14:textId="77777777" w:rsidR="00074749" w:rsidRDefault="00000000">
            <w:r>
              <w:lastRenderedPageBreak/>
              <w:t>Decision</w:t>
            </w:r>
          </w:p>
        </w:tc>
        <w:tc>
          <w:tcPr>
            <w:tcW w:w="4320" w:type="dxa"/>
          </w:tcPr>
          <w:p w14:paraId="0EE4EE54" w14:textId="77777777" w:rsidR="00074749" w:rsidRDefault="00000000">
            <w:pPr>
              <w:cnfStyle w:val="000000000000" w:firstRow="0" w:lastRow="0" w:firstColumn="0" w:lastColumn="0" w:oddVBand="0" w:evenVBand="0" w:oddHBand="0" w:evenHBand="0" w:firstRowFirstColumn="0" w:firstRowLastColumn="0" w:lastRowFirstColumn="0" w:lastRowLastColumn="0"/>
            </w:pPr>
            <w:r>
              <w:t>The tested NVDA volatility calculation meets the specified reconciliation tolerance. No broader KPI correctness claim follows from this one test.</w:t>
            </w:r>
          </w:p>
        </w:tc>
      </w:tr>
    </w:tbl>
    <w:p w14:paraId="79DDC1CC" w14:textId="77777777" w:rsidR="00074749" w:rsidRDefault="00000000">
      <w:r>
        <w:t>Table 3. Expected-versus-actual independent validation record. The code assertion and saved result are inspectable in the executed notebook.</w:t>
      </w:r>
    </w:p>
    <w:p w14:paraId="4B609E87" w14:textId="77777777" w:rsidR="00074749" w:rsidRDefault="00000000">
      <w:pPr>
        <w:pStyle w:val="Heading1"/>
      </w:pPr>
      <w:r>
        <w:t>5.5 Alternative Explanations and Next Validation</w:t>
      </w:r>
    </w:p>
    <w:p w14:paraId="54AE7EC7" w14:textId="77777777" w:rsidR="00074749" w:rsidRDefault="00000000">
      <w:r>
        <w:t>Alternative explanations for relative performance include company-specific events, changing market valuations, differences in sector exposure, and the choice of start and end dates. The observed comparisons do not isolate causal effects. To test sensitivity to the time window, compare within-calendar-year first-to-last-trading-day returns and repeat the comparisons across different subperiods; note that these within-year returns are not equivalent to returns from the previous December close. To test whether benchmark choice matters, repeat the comparison with a documented semiconductor-sector benchmark if authorized and available. These tests are proposed or exploratory, not established causal findings.</w:t>
      </w:r>
    </w:p>
    <w:p w14:paraId="45427B0C" w14:textId="77777777" w:rsidR="00074749" w:rsidRDefault="00000000">
      <w:pPr>
        <w:pStyle w:val="Heading1"/>
      </w:pPr>
      <w:r>
        <w:t>5.6 Limitations and Evidence Boundaries</w:t>
      </w:r>
    </w:p>
    <w:p w14:paraId="227764A3" w14:textId="77777777" w:rsidR="00074749" w:rsidRDefault="00000000">
      <w:pPr>
        <w:pStyle w:val="ListBullet"/>
      </w:pPr>
      <w:r>
        <w:t>Only five selected semiconductor companies and one broad-market ETF are included; findings are not representative of all semiconductor securities or the entire market.</w:t>
      </w:r>
    </w:p>
    <w:p w14:paraId="595C7C8F" w14:textId="77777777" w:rsidR="00074749" w:rsidRDefault="00000000">
      <w:pPr>
        <w:pStyle w:val="ListBullet"/>
      </w:pPr>
      <w:r>
        <w:t>The study covers historical adjusted closing-price observations from 2021–2025; results are sensitive to market conditions and observation boundaries.</w:t>
      </w:r>
    </w:p>
    <w:p w14:paraId="4C234E65" w14:textId="77777777" w:rsidR="00074749" w:rsidRDefault="00000000">
      <w:pPr>
        <w:pStyle w:val="ListBullet"/>
      </w:pPr>
      <w:r>
        <w:t>Adjusted-price calculations and provider revisions may change on future downloads; the source snapshot and notebook version must be retained.</w:t>
      </w:r>
    </w:p>
    <w:p w14:paraId="0183475F" w14:textId="77777777" w:rsidR="00074749" w:rsidRDefault="00000000">
      <w:pPr>
        <w:pStyle w:val="ListBullet"/>
      </w:pPr>
      <w:r>
        <w:t>The validation directly reconciles NVDA volatility and the earlier SPY return baseline; it does not independently verify every ticker, KPI, CSV export, or Power BI interaction.</w:t>
      </w:r>
    </w:p>
    <w:p w14:paraId="2455B05A" w14:textId="77777777" w:rsidR="00074749" w:rsidRDefault="00000000">
      <w:pPr>
        <w:pStyle w:val="ListBullet"/>
      </w:pPr>
      <w:r>
        <w:t>Historical volatility and drawdown do not capture every form of investment risk. No causality, future performance, or investment suitability is established.</w:t>
      </w:r>
    </w:p>
    <w:p w14:paraId="065B1FF4" w14:textId="77777777" w:rsidR="00074749" w:rsidRDefault="00000000">
      <w:pPr>
        <w:pStyle w:val="Heading1"/>
      </w:pPr>
      <w:r>
        <w:t>5.7 Current Work Plan and Contribution Evidence</w:t>
      </w:r>
    </w:p>
    <w:tbl>
      <w:tblPr>
        <w:tblStyle w:val="LightShading-Accent1"/>
        <w:tblW w:w="0" w:type="auto"/>
        <w:tblLook w:val="04A0" w:firstRow="1" w:lastRow="0" w:firstColumn="1" w:lastColumn="0" w:noHBand="0" w:noVBand="1"/>
      </w:tblPr>
      <w:tblGrid>
        <w:gridCol w:w="1304"/>
        <w:gridCol w:w="1428"/>
        <w:gridCol w:w="1407"/>
        <w:gridCol w:w="1419"/>
        <w:gridCol w:w="1401"/>
        <w:gridCol w:w="1681"/>
      </w:tblGrid>
      <w:tr w:rsidR="00074749" w14:paraId="0F6A01A5" w14:textId="77777777" w:rsidTr="00074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shd w:val="clear" w:color="auto" w:fill="DCEAF5"/>
          </w:tcPr>
          <w:p w14:paraId="70E5758B" w14:textId="77777777" w:rsidR="00074749" w:rsidRDefault="00000000">
            <w:r>
              <w:t>Owner</w:t>
            </w:r>
          </w:p>
        </w:tc>
        <w:tc>
          <w:tcPr>
            <w:tcW w:w="1440" w:type="dxa"/>
            <w:shd w:val="clear" w:color="auto" w:fill="DCEAF5"/>
          </w:tcPr>
          <w:p w14:paraId="2DDB49E6" w14:textId="77777777" w:rsidR="00074749" w:rsidRDefault="00000000">
            <w:pPr>
              <w:cnfStyle w:val="100000000000" w:firstRow="1" w:lastRow="0" w:firstColumn="0" w:lastColumn="0" w:oddVBand="0" w:evenVBand="0" w:oddHBand="0" w:evenHBand="0" w:firstRowFirstColumn="0" w:firstRowLastColumn="0" w:lastRowFirstColumn="0" w:lastRowLastColumn="0"/>
            </w:pPr>
            <w:r>
              <w:t>Task</w:t>
            </w:r>
          </w:p>
        </w:tc>
        <w:tc>
          <w:tcPr>
            <w:tcW w:w="1440" w:type="dxa"/>
            <w:shd w:val="clear" w:color="auto" w:fill="DCEAF5"/>
          </w:tcPr>
          <w:p w14:paraId="50AECA1B" w14:textId="77777777" w:rsidR="00074749" w:rsidRDefault="00000000">
            <w:pPr>
              <w:cnfStyle w:val="100000000000" w:firstRow="1" w:lastRow="0" w:firstColumn="0" w:lastColumn="0" w:oddVBand="0" w:evenVBand="0" w:oddHBand="0" w:evenHBand="0" w:firstRowFirstColumn="0" w:firstRowLastColumn="0" w:lastRowFirstColumn="0" w:lastRowLastColumn="0"/>
            </w:pPr>
            <w:r>
              <w:t>Status</w:t>
            </w:r>
          </w:p>
        </w:tc>
        <w:tc>
          <w:tcPr>
            <w:tcW w:w="1440" w:type="dxa"/>
            <w:shd w:val="clear" w:color="auto" w:fill="DCEAF5"/>
          </w:tcPr>
          <w:p w14:paraId="5C8C4792" w14:textId="77777777" w:rsidR="00074749" w:rsidRDefault="00000000">
            <w:pPr>
              <w:cnfStyle w:val="100000000000" w:firstRow="1" w:lastRow="0" w:firstColumn="0" w:lastColumn="0" w:oddVBand="0" w:evenVBand="0" w:oddHBand="0" w:evenHBand="0" w:firstRowFirstColumn="0" w:firstRowLastColumn="0" w:lastRowFirstColumn="0" w:lastRowLastColumn="0"/>
            </w:pPr>
            <w:r>
              <w:t>Dependency</w:t>
            </w:r>
          </w:p>
        </w:tc>
        <w:tc>
          <w:tcPr>
            <w:tcW w:w="1440" w:type="dxa"/>
            <w:shd w:val="clear" w:color="auto" w:fill="DCEAF5"/>
          </w:tcPr>
          <w:p w14:paraId="0CA29D1C" w14:textId="77777777" w:rsidR="00074749" w:rsidRDefault="00000000">
            <w:pPr>
              <w:cnfStyle w:val="100000000000" w:firstRow="1" w:lastRow="0" w:firstColumn="0" w:lastColumn="0" w:oddVBand="0" w:evenVBand="0" w:oddHBand="0" w:evenHBand="0" w:firstRowFirstColumn="0" w:firstRowLastColumn="0" w:lastRowFirstColumn="0" w:lastRowLastColumn="0"/>
            </w:pPr>
            <w:r>
              <w:t>Acceptance criterion</w:t>
            </w:r>
          </w:p>
        </w:tc>
        <w:tc>
          <w:tcPr>
            <w:tcW w:w="1440" w:type="dxa"/>
            <w:shd w:val="clear" w:color="auto" w:fill="DCEAF5"/>
          </w:tcPr>
          <w:p w14:paraId="5571F251" w14:textId="77777777" w:rsidR="00074749" w:rsidRDefault="00000000">
            <w:pPr>
              <w:cnfStyle w:val="100000000000" w:firstRow="1" w:lastRow="0" w:firstColumn="0" w:lastColumn="0" w:oddVBand="0" w:evenVBand="0" w:oddHBand="0" w:evenHBand="0" w:firstRowFirstColumn="0" w:firstRowLastColumn="0" w:lastRowFirstColumn="0" w:lastRowLastColumn="0"/>
            </w:pPr>
            <w:r>
              <w:t>Evidence</w:t>
            </w:r>
          </w:p>
        </w:tc>
      </w:tr>
      <w:tr w:rsidR="00074749" w14:paraId="0E2CBE4A"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0CDBFD9" w14:textId="77777777" w:rsidR="00074749" w:rsidRDefault="00000000">
            <w:r>
              <w:t>Luis Ramirez</w:t>
            </w:r>
          </w:p>
        </w:tc>
        <w:tc>
          <w:tcPr>
            <w:tcW w:w="1440" w:type="dxa"/>
          </w:tcPr>
          <w:p w14:paraId="2045EEC8" w14:textId="77777777" w:rsidR="00074749" w:rsidRDefault="00000000">
            <w:pPr>
              <w:cnfStyle w:val="000000100000" w:firstRow="0" w:lastRow="0" w:firstColumn="0" w:lastColumn="0" w:oddVBand="0" w:evenVBand="0" w:oddHBand="1" w:evenHBand="0" w:firstRowFirstColumn="0" w:firstRowLastColumn="0" w:lastRowFirstColumn="0" w:lastRowLastColumn="0"/>
            </w:pPr>
            <w:r>
              <w:t>Integrate Section 5 and Week 7 notebook evidence</w:t>
            </w:r>
          </w:p>
        </w:tc>
        <w:tc>
          <w:tcPr>
            <w:tcW w:w="1440" w:type="dxa"/>
          </w:tcPr>
          <w:p w14:paraId="35E62761" w14:textId="77777777" w:rsidR="00074749" w:rsidRDefault="00000000">
            <w:pPr>
              <w:cnfStyle w:val="000000100000" w:firstRow="0" w:lastRow="0" w:firstColumn="0" w:lastColumn="0" w:oddVBand="0" w:evenVBand="0" w:oddHBand="1" w:evenHBand="0" w:firstRowFirstColumn="0" w:firstRowLastColumn="0" w:lastRowFirstColumn="0" w:lastRowLastColumn="0"/>
            </w:pPr>
            <w:r>
              <w:t>Draft prepared; team review pending</w:t>
            </w:r>
          </w:p>
        </w:tc>
        <w:tc>
          <w:tcPr>
            <w:tcW w:w="1440" w:type="dxa"/>
          </w:tcPr>
          <w:p w14:paraId="59817AF8" w14:textId="77777777" w:rsidR="00074749" w:rsidRDefault="00000000">
            <w:pPr>
              <w:cnfStyle w:val="000000100000" w:firstRow="0" w:lastRow="0" w:firstColumn="0" w:lastColumn="0" w:oddVBand="0" w:evenVBand="0" w:oddHBand="1" w:evenHBand="0" w:firstRowFirstColumn="0" w:firstRowLastColumn="0" w:lastRowFirstColumn="0" w:lastRowLastColumn="0"/>
            </w:pPr>
            <w:r>
              <w:t>Executed notebook and team review</w:t>
            </w:r>
          </w:p>
        </w:tc>
        <w:tc>
          <w:tcPr>
            <w:tcW w:w="1440" w:type="dxa"/>
          </w:tcPr>
          <w:p w14:paraId="575767EA" w14:textId="77777777" w:rsidR="00074749" w:rsidRDefault="00000000">
            <w:pPr>
              <w:cnfStyle w:val="000000100000" w:firstRow="0" w:lastRow="0" w:firstColumn="0" w:lastColumn="0" w:oddVBand="0" w:evenVBand="0" w:oddHBand="1" w:evenHBand="0" w:firstRowFirstColumn="0" w:firstRowLastColumn="0" w:lastRowFirstColumn="0" w:lastRowLastColumn="0"/>
            </w:pPr>
            <w:r>
              <w:t>Traceable report, correct results, accessible submission</w:t>
            </w:r>
          </w:p>
        </w:tc>
        <w:tc>
          <w:tcPr>
            <w:tcW w:w="1440" w:type="dxa"/>
          </w:tcPr>
          <w:p w14:paraId="4F3A6475" w14:textId="77777777" w:rsidR="00074749" w:rsidRDefault="00000000">
            <w:pPr>
              <w:cnfStyle w:val="000000100000" w:firstRow="0" w:lastRow="0" w:firstColumn="0" w:lastColumn="0" w:oddVBand="0" w:evenVBand="0" w:oddHBand="1" w:evenHBand="0" w:firstRowFirstColumn="0" w:firstRowLastColumn="0" w:lastRowFirstColumn="0" w:lastRowLastColumn="0"/>
            </w:pPr>
            <w:r>
              <w:t>This Section 5 draft; executed notebook; GitHub links pending</w:t>
            </w:r>
          </w:p>
        </w:tc>
      </w:tr>
      <w:tr w:rsidR="00074749" w14:paraId="285DE47A" w14:textId="77777777" w:rsidTr="00074749">
        <w:tc>
          <w:tcPr>
            <w:cnfStyle w:val="001000000000" w:firstRow="0" w:lastRow="0" w:firstColumn="1" w:lastColumn="0" w:oddVBand="0" w:evenVBand="0" w:oddHBand="0" w:evenHBand="0" w:firstRowFirstColumn="0" w:firstRowLastColumn="0" w:lastRowFirstColumn="0" w:lastRowLastColumn="0"/>
            <w:tcW w:w="1440" w:type="dxa"/>
          </w:tcPr>
          <w:p w14:paraId="658CD1EE" w14:textId="77777777" w:rsidR="00074749" w:rsidRDefault="00000000">
            <w:r>
              <w:t>Rey Guirette</w:t>
            </w:r>
          </w:p>
        </w:tc>
        <w:tc>
          <w:tcPr>
            <w:tcW w:w="1440" w:type="dxa"/>
          </w:tcPr>
          <w:p w14:paraId="665E8860" w14:textId="77777777" w:rsidR="00074749" w:rsidRDefault="00000000">
            <w:pPr>
              <w:cnfStyle w:val="000000000000" w:firstRow="0" w:lastRow="0" w:firstColumn="0" w:lastColumn="0" w:oddVBand="0" w:evenVBand="0" w:oddHBand="0" w:evenHBand="0" w:firstRowFirstColumn="0" w:firstRowLastColumn="0" w:lastRowFirstColumn="0" w:lastRowLastColumn="0"/>
            </w:pPr>
            <w:r>
              <w:t xml:space="preserve">Review return comparison, source alignment and </w:t>
            </w:r>
            <w:r>
              <w:lastRenderedPageBreak/>
              <w:t>interpretation</w:t>
            </w:r>
          </w:p>
        </w:tc>
        <w:tc>
          <w:tcPr>
            <w:tcW w:w="1440" w:type="dxa"/>
          </w:tcPr>
          <w:p w14:paraId="53A2C0D0" w14:textId="77777777" w:rsidR="00074749" w:rsidRDefault="00000000">
            <w:pPr>
              <w:cnfStyle w:val="000000000000" w:firstRow="0" w:lastRow="0" w:firstColumn="0" w:lastColumn="0" w:oddVBand="0" w:evenVBand="0" w:oddHBand="0" w:evenHBand="0" w:firstRowFirstColumn="0" w:firstRowLastColumn="0" w:lastRowFirstColumn="0" w:lastRowLastColumn="0"/>
            </w:pPr>
            <w:r>
              <w:lastRenderedPageBreak/>
              <w:t>Pending confirmation</w:t>
            </w:r>
          </w:p>
        </w:tc>
        <w:tc>
          <w:tcPr>
            <w:tcW w:w="1440" w:type="dxa"/>
          </w:tcPr>
          <w:p w14:paraId="25CBC1A8" w14:textId="77777777" w:rsidR="00074749" w:rsidRDefault="00000000">
            <w:pPr>
              <w:cnfStyle w:val="000000000000" w:firstRow="0" w:lastRow="0" w:firstColumn="0" w:lastColumn="0" w:oddVBand="0" w:evenVBand="0" w:oddHBand="0" w:evenHBand="0" w:firstRowFirstColumn="0" w:firstRowLastColumn="0" w:lastRowFirstColumn="0" w:lastRowLastColumn="0"/>
            </w:pPr>
            <w:r>
              <w:t>Notebook and report draft</w:t>
            </w:r>
          </w:p>
        </w:tc>
        <w:tc>
          <w:tcPr>
            <w:tcW w:w="1440" w:type="dxa"/>
          </w:tcPr>
          <w:p w14:paraId="14D1188F" w14:textId="77777777" w:rsidR="00074749" w:rsidRDefault="00000000">
            <w:pPr>
              <w:cnfStyle w:val="000000000000" w:firstRow="0" w:lastRow="0" w:firstColumn="0" w:lastColumn="0" w:oddVBand="0" w:evenVBand="0" w:oddHBand="0" w:evenHBand="0" w:firstRowFirstColumn="0" w:firstRowLastColumn="0" w:lastRowFirstColumn="0" w:lastRowLastColumn="0"/>
            </w:pPr>
            <w:r>
              <w:t>Document review findings or corrections</w:t>
            </w:r>
          </w:p>
        </w:tc>
        <w:tc>
          <w:tcPr>
            <w:tcW w:w="1440" w:type="dxa"/>
          </w:tcPr>
          <w:p w14:paraId="34A7E736" w14:textId="77777777" w:rsidR="00074749" w:rsidRDefault="00000000">
            <w:pPr>
              <w:cnfStyle w:val="000000000000" w:firstRow="0" w:lastRow="0" w:firstColumn="0" w:lastColumn="0" w:oddVBand="0" w:evenVBand="0" w:oddHBand="0" w:evenHBand="0" w:firstRowFirstColumn="0" w:firstRowLastColumn="0" w:lastRowFirstColumn="0" w:lastRowLastColumn="0"/>
            </w:pPr>
            <w:r>
              <w:t>GitHub issue review/comment to be added</w:t>
            </w:r>
          </w:p>
        </w:tc>
      </w:tr>
      <w:tr w:rsidR="00074749" w14:paraId="77B8A4C6" w14:textId="77777777" w:rsidTr="00074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512D857" w14:textId="77777777" w:rsidR="00074749" w:rsidRDefault="00000000">
            <w:r>
              <w:t>Colen Wilson</w:t>
            </w:r>
          </w:p>
        </w:tc>
        <w:tc>
          <w:tcPr>
            <w:tcW w:w="1440" w:type="dxa"/>
          </w:tcPr>
          <w:p w14:paraId="2F02480A" w14:textId="77777777" w:rsidR="00074749" w:rsidRDefault="00000000">
            <w:pPr>
              <w:cnfStyle w:val="000000100000" w:firstRow="0" w:lastRow="0" w:firstColumn="0" w:lastColumn="0" w:oddVBand="0" w:evenVBand="0" w:oddHBand="1" w:evenHBand="0" w:firstRowFirstColumn="0" w:firstRowLastColumn="0" w:lastRowFirstColumn="0" w:lastRowLastColumn="0"/>
            </w:pPr>
            <w:r>
              <w:t>Review NVDA independent volatility validation and risk table</w:t>
            </w:r>
          </w:p>
        </w:tc>
        <w:tc>
          <w:tcPr>
            <w:tcW w:w="1440" w:type="dxa"/>
          </w:tcPr>
          <w:p w14:paraId="05927796" w14:textId="77777777" w:rsidR="00074749" w:rsidRDefault="00000000">
            <w:pPr>
              <w:cnfStyle w:val="000000100000" w:firstRow="0" w:lastRow="0" w:firstColumn="0" w:lastColumn="0" w:oddVBand="0" w:evenVBand="0" w:oddHBand="1" w:evenHBand="0" w:firstRowFirstColumn="0" w:firstRowLastColumn="0" w:lastRowFirstColumn="0" w:lastRowLastColumn="0"/>
            </w:pPr>
            <w:r>
              <w:t>Pending confirmation</w:t>
            </w:r>
          </w:p>
        </w:tc>
        <w:tc>
          <w:tcPr>
            <w:tcW w:w="1440" w:type="dxa"/>
          </w:tcPr>
          <w:p w14:paraId="5F0261B3" w14:textId="77777777" w:rsidR="00074749" w:rsidRDefault="00000000">
            <w:pPr>
              <w:cnfStyle w:val="000000100000" w:firstRow="0" w:lastRow="0" w:firstColumn="0" w:lastColumn="0" w:oddVBand="0" w:evenVBand="0" w:oddHBand="1" w:evenHBand="0" w:firstRowFirstColumn="0" w:firstRowLastColumn="0" w:lastRowFirstColumn="0" w:lastRowLastColumn="0"/>
            </w:pPr>
            <w:r>
              <w:t>Executed notebook and validation cell</w:t>
            </w:r>
          </w:p>
        </w:tc>
        <w:tc>
          <w:tcPr>
            <w:tcW w:w="1440" w:type="dxa"/>
          </w:tcPr>
          <w:p w14:paraId="796AF04F" w14:textId="77777777" w:rsidR="00074749" w:rsidRDefault="00000000">
            <w:pPr>
              <w:cnfStyle w:val="000000100000" w:firstRow="0" w:lastRow="0" w:firstColumn="0" w:lastColumn="0" w:oddVBand="0" w:evenVBand="0" w:oddHBand="1" w:evenHBand="0" w:firstRowFirstColumn="0" w:firstRowLastColumn="0" w:lastRowFirstColumn="0" w:lastRowLastColumn="0"/>
            </w:pPr>
            <w:r>
              <w:t>Confirm test method, result, tolerance, and limitations</w:t>
            </w:r>
          </w:p>
        </w:tc>
        <w:tc>
          <w:tcPr>
            <w:tcW w:w="1440" w:type="dxa"/>
          </w:tcPr>
          <w:p w14:paraId="1691F033" w14:textId="77777777" w:rsidR="00074749" w:rsidRDefault="00000000">
            <w:pPr>
              <w:cnfStyle w:val="000000100000" w:firstRow="0" w:lastRow="0" w:firstColumn="0" w:lastColumn="0" w:oddVBand="0" w:evenVBand="0" w:oddHBand="1" w:evenHBand="0" w:firstRowFirstColumn="0" w:firstRowLastColumn="0" w:lastRowFirstColumn="0" w:lastRowLastColumn="0"/>
            </w:pPr>
            <w:r>
              <w:t>GitHub issue review/comment to be added</w:t>
            </w:r>
          </w:p>
        </w:tc>
      </w:tr>
      <w:tr w:rsidR="00074749" w14:paraId="5A0A4CE2" w14:textId="77777777" w:rsidTr="00074749">
        <w:tc>
          <w:tcPr>
            <w:cnfStyle w:val="001000000000" w:firstRow="0" w:lastRow="0" w:firstColumn="1" w:lastColumn="0" w:oddVBand="0" w:evenVBand="0" w:oddHBand="0" w:evenHBand="0" w:firstRowFirstColumn="0" w:firstRowLastColumn="0" w:lastRowFirstColumn="0" w:lastRowLastColumn="0"/>
            <w:tcW w:w="1440" w:type="dxa"/>
          </w:tcPr>
          <w:p w14:paraId="01962E61" w14:textId="77777777" w:rsidR="00074749" w:rsidRDefault="00000000">
            <w:r>
              <w:t>Entire team</w:t>
            </w:r>
          </w:p>
        </w:tc>
        <w:tc>
          <w:tcPr>
            <w:tcW w:w="1440" w:type="dxa"/>
          </w:tcPr>
          <w:p w14:paraId="797DE8D2" w14:textId="77777777" w:rsidR="00074749" w:rsidRDefault="00000000">
            <w:pPr>
              <w:cnfStyle w:val="000000000000" w:firstRow="0" w:lastRow="0" w:firstColumn="0" w:lastColumn="0" w:oddVBand="0" w:evenVBand="0" w:oddHBand="0" w:evenHBand="0" w:firstRowFirstColumn="0" w:firstRowLastColumn="0" w:lastRowFirstColumn="0" w:lastRowLastColumn="0"/>
            </w:pPr>
            <w:r>
              <w:t>Review accuracy, accessibility, limitations, sources, AI use</w:t>
            </w:r>
          </w:p>
        </w:tc>
        <w:tc>
          <w:tcPr>
            <w:tcW w:w="1440" w:type="dxa"/>
          </w:tcPr>
          <w:p w14:paraId="6E59B939" w14:textId="77777777" w:rsidR="00074749" w:rsidRDefault="00000000">
            <w:pPr>
              <w:cnfStyle w:val="000000000000" w:firstRow="0" w:lastRow="0" w:firstColumn="0" w:lastColumn="0" w:oddVBand="0" w:evenVBand="0" w:oddHBand="0" w:evenHBand="0" w:firstRowFirstColumn="0" w:firstRowLastColumn="0" w:lastRowFirstColumn="0" w:lastRowLastColumn="0"/>
            </w:pPr>
            <w:r>
              <w:t>Pending</w:t>
            </w:r>
          </w:p>
        </w:tc>
        <w:tc>
          <w:tcPr>
            <w:tcW w:w="1440" w:type="dxa"/>
          </w:tcPr>
          <w:p w14:paraId="0323AB88" w14:textId="77777777" w:rsidR="00074749" w:rsidRDefault="00000000">
            <w:pPr>
              <w:cnfStyle w:val="000000000000" w:firstRow="0" w:lastRow="0" w:firstColumn="0" w:lastColumn="0" w:oddVBand="0" w:evenVBand="0" w:oddHBand="0" w:evenHBand="0" w:firstRowFirstColumn="0" w:firstRowLastColumn="0" w:lastRowFirstColumn="0" w:lastRowLastColumn="0"/>
            </w:pPr>
            <w:r>
              <w:t>Completed draft and evidence</w:t>
            </w:r>
          </w:p>
        </w:tc>
        <w:tc>
          <w:tcPr>
            <w:tcW w:w="1440" w:type="dxa"/>
          </w:tcPr>
          <w:p w14:paraId="0A784292" w14:textId="77777777" w:rsidR="00074749" w:rsidRDefault="00000000">
            <w:pPr>
              <w:cnfStyle w:val="000000000000" w:firstRow="0" w:lastRow="0" w:firstColumn="0" w:lastColumn="0" w:oddVBand="0" w:evenVBand="0" w:oddHBand="0" w:evenHBand="0" w:firstRowFirstColumn="0" w:firstRowLastColumn="0" w:lastRowFirstColumn="0" w:lastRowLastColumn="0"/>
            </w:pPr>
            <w:r>
              <w:t>Each member confirms final review</w:t>
            </w:r>
          </w:p>
        </w:tc>
        <w:tc>
          <w:tcPr>
            <w:tcW w:w="1440" w:type="dxa"/>
          </w:tcPr>
          <w:p w14:paraId="429E9D6E" w14:textId="77777777" w:rsidR="00074749" w:rsidRDefault="00000000">
            <w:pPr>
              <w:cnfStyle w:val="000000000000" w:firstRow="0" w:lastRow="0" w:firstColumn="0" w:lastColumn="0" w:oddVBand="0" w:evenVBand="0" w:oddHBand="0" w:evenHBand="0" w:firstRowFirstColumn="0" w:firstRowLastColumn="0" w:lastRowFirstColumn="0" w:lastRowLastColumn="0"/>
            </w:pPr>
            <w:r>
              <w:t>GitHub issue checklist to be added</w:t>
            </w:r>
          </w:p>
        </w:tc>
      </w:tr>
    </w:tbl>
    <w:p w14:paraId="5834530A" w14:textId="77777777" w:rsidR="00074749" w:rsidRDefault="00000000">
      <w:r>
        <w:t>Table 4. Proposed Week 7 contribution plan. A proposed role is not proof of completed work; replace pending statuses only after actual student review and inspectable evidence.</w:t>
      </w:r>
    </w:p>
    <w:p w14:paraId="6A6297C6" w14:textId="77777777" w:rsidR="00074749" w:rsidRDefault="00000000">
      <w:pPr>
        <w:pStyle w:val="Heading1"/>
      </w:pPr>
      <w:r>
        <w:t>5.8 Sources, Accessibility, and AI-Use Disclosure</w:t>
      </w:r>
    </w:p>
    <w:p w14:paraId="63656B68" w14:textId="77777777" w:rsidR="00074749" w:rsidRDefault="00000000">
      <w:r>
        <w:t>Sources: Yahoo Finance historical market data retrieved with yfinance; the team’s executed CIS480 master analysis notebook; T06 Section 4 Analytical Methodology and its Week 6 validation record; and the instructor-provided CIS480 exemplar Section 5 for reporting structure only. The exemplar’s housing-model results are not evidence for this project. Final submission should link the exact repository commit, notebook, exported CSVs, and issue review record once uploaded.</w:t>
      </w:r>
    </w:p>
    <w:p w14:paraId="44D664E0" w14:textId="77777777" w:rsidR="00074749" w:rsidRDefault="00000000">
      <w:r>
        <w:t>AI-use disclosure: OpenAI ChatGPT assisted with planning, organization, comparison to the exemplar, and drafting this Week 7 report. Material revisions include separating observed results from interpretation, adding explicit units and denominators, incorporating the NVDA independent reconciliation and SPY baseline, documenting alternative explanations, and keeping unconfirmed team reviews marked pending. Numeric values were checked against the saved executed notebook output; AI output itself is not a source, executed test, approval, or individual student contribution.</w:t>
      </w:r>
    </w:p>
    <w:p w14:paraId="6FE8B505" w14:textId="77777777" w:rsidR="00074749" w:rsidRDefault="00000000">
      <w:r>
        <w:t>Accessibility: Heading styles and real Word tables with header rows are used. Tables have descriptive captions and accompanying text interpretations. No figure relies on color alone. When adding dashboard screenshots or plots, provide descriptive alt text, named axes and units, and a text explanation; screenshots must not replace notebook calculations or CSV evidence.</w:t>
      </w:r>
    </w:p>
    <w:sectPr w:rsidR="0007474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A4C30" w14:textId="77777777" w:rsidR="001906FA" w:rsidRDefault="001906FA">
      <w:pPr>
        <w:spacing w:after="0" w:line="240" w:lineRule="auto"/>
      </w:pPr>
      <w:r>
        <w:separator/>
      </w:r>
    </w:p>
  </w:endnote>
  <w:endnote w:type="continuationSeparator" w:id="0">
    <w:p w14:paraId="20B33546" w14:textId="77777777" w:rsidR="001906FA" w:rsidRDefault="00190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DF2EF" w14:textId="77777777" w:rsidR="00074749" w:rsidRDefault="00000000">
    <w:pPr>
      <w:pStyle w:val="Footer"/>
      <w:jc w:val="center"/>
    </w:pPr>
    <w:r>
      <w:t>CIS480 Semiconductor Market Analysis | T07 Section 5 | Draft for team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0D3CD" w14:textId="77777777" w:rsidR="001906FA" w:rsidRDefault="001906FA">
      <w:pPr>
        <w:spacing w:after="0" w:line="240" w:lineRule="auto"/>
      </w:pPr>
      <w:r>
        <w:separator/>
      </w:r>
    </w:p>
  </w:footnote>
  <w:footnote w:type="continuationSeparator" w:id="0">
    <w:p w14:paraId="03CE63AA" w14:textId="77777777" w:rsidR="001906FA" w:rsidRDefault="00190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5006" w14:textId="77777777" w:rsidR="00074749" w:rsidRDefault="00000000">
    <w:pPr>
      <w:pStyle w:val="Header"/>
    </w:pPr>
    <w:r>
      <w:t>CIS480 | T07 Section 5 | Preliminary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008820">
    <w:abstractNumId w:val="8"/>
  </w:num>
  <w:num w:numId="2" w16cid:durableId="591397934">
    <w:abstractNumId w:val="6"/>
  </w:num>
  <w:num w:numId="3" w16cid:durableId="896479759">
    <w:abstractNumId w:val="5"/>
  </w:num>
  <w:num w:numId="4" w16cid:durableId="950014677">
    <w:abstractNumId w:val="4"/>
  </w:num>
  <w:num w:numId="5" w16cid:durableId="689914183">
    <w:abstractNumId w:val="7"/>
  </w:num>
  <w:num w:numId="6" w16cid:durableId="675154443">
    <w:abstractNumId w:val="3"/>
  </w:num>
  <w:num w:numId="7" w16cid:durableId="1308896675">
    <w:abstractNumId w:val="2"/>
  </w:num>
  <w:num w:numId="8" w16cid:durableId="679896907">
    <w:abstractNumId w:val="1"/>
  </w:num>
  <w:num w:numId="9" w16cid:durableId="1729109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49"/>
    <w:rsid w:val="0015074B"/>
    <w:rsid w:val="001906FA"/>
    <w:rsid w:val="0029639D"/>
    <w:rsid w:val="00326F90"/>
    <w:rsid w:val="00AA1D8D"/>
    <w:rsid w:val="00B47730"/>
    <w:rsid w:val="00B92CBF"/>
    <w:rsid w:val="00CB0664"/>
    <w:rsid w:val="00F873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7F522"/>
  <w14:defaultImageDpi w14:val="300"/>
  <w15:docId w15:val="{2542BF01-09E1-47AA-A951-F83BD805C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6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46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Miguel Ramirez</cp:lastModifiedBy>
  <cp:revision>2</cp:revision>
  <dcterms:created xsi:type="dcterms:W3CDTF">2026-10-08T01:05:00Z</dcterms:created>
  <dcterms:modified xsi:type="dcterms:W3CDTF">2026-10-08T01:05:00Z</dcterms:modified>
  <cp:category/>
</cp:coreProperties>
</file>