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cs="Calibri" w:eastAsia="Calibri"/>
          <w:b/>
          <w:color w:val="154F5E"/>
          <w:sz w:val="48"/>
        </w:rPr>
        <w:t>Quarterly Performance Report</w:t>
      </w:r>
    </w:p>
    <w:p>
      <w:pPr>
        <w:spacing w:after="280"/>
        <w:jc w:val="left"/>
      </w:pPr>
      <w:r>
        <w:rPr>
          <w:rFonts w:ascii="Calibri" w:hAnsi="Calibri" w:cs="Calibri" w:eastAsia="Calibri"/>
          <w:b w:val="0"/>
          <w:color w:val="1F7A8C"/>
          <w:sz w:val="24"/>
        </w:rPr>
        <w:t>Q3 2026 · UAE branches</w:t>
      </w:r>
    </w:p>
    <w:p>
      <w:pPr>
        <w:spacing w:after="240"/>
        <w:jc w:val="left"/>
      </w:pPr>
      <w:r>
        <w:rPr>
          <w:rFonts w:ascii="Calibri" w:hAnsi="Calibri" w:cs="Calibri" w:eastAsia="Calibri"/>
          <w:b w:val="0"/>
          <w:sz w:val="23"/>
        </w:rPr>
        <w:t>The company grew strongly this quarter, driven by higher sales in Dubai and Abu Dhabi and leaner operations.</w:t>
      </w:r>
    </w:p>
    <w:p>
      <w:pPr>
        <w:spacing w:after="120"/>
        <w:jc w:val="left"/>
      </w:pPr>
      <w:r>
        <w:rPr>
          <w:rFonts w:ascii="Calibri" w:hAnsi="Calibri" w:cs="Calibri" w:eastAsia="Calibri"/>
          <w:b/>
          <w:color w:val="1F7A8C"/>
          <w:sz w:val="30"/>
        </w:rPr>
        <w:t>Highlights</w:t>
      </w:r>
    </w:p>
    <w:p>
      <w:pPr>
        <w:spacing w:after="60"/>
        <w:jc w:val="left"/>
      </w:pPr>
      <w:r>
        <w:rPr>
          <w:rFonts w:ascii="Calibri" w:hAnsi="Calibri" w:cs="Calibri" w:eastAsia="Calibri"/>
          <w:b w:val="0"/>
          <w:sz w:val="23"/>
        </w:rPr>
        <w:t>•  Revenue up 18% on the previous quarter</w:t>
      </w:r>
    </w:p>
    <w:p>
      <w:pPr>
        <w:spacing w:after="60"/>
        <w:jc w:val="left"/>
      </w:pPr>
      <w:r>
        <w:rPr>
          <w:rFonts w:ascii="Calibri" w:hAnsi="Calibri" w:cs="Calibri" w:eastAsia="Calibri"/>
          <w:b w:val="0"/>
          <w:sz w:val="23"/>
        </w:rPr>
        <w:t>•  Operating costs down 6%</w:t>
      </w:r>
    </w:p>
    <w:p>
      <w:pPr>
        <w:spacing w:after="60"/>
        <w:jc w:val="left"/>
      </w:pPr>
      <w:r>
        <w:rPr>
          <w:rFonts w:ascii="Calibri" w:hAnsi="Calibri" w:cs="Calibri" w:eastAsia="Calibri"/>
          <w:b w:val="0"/>
          <w:sz w:val="23"/>
        </w:rPr>
        <w:t>•  New branch opened in Sharjah</w:t>
      </w:r>
    </w:p>
    <w:p>
      <w:pPr>
        <w:spacing w:after="120"/>
        <w:jc w:val="left"/>
      </w:pPr>
      <w:r>
        <w:rPr>
          <w:rFonts w:ascii="Calibri" w:hAnsi="Calibri" w:cs="Calibri" w:eastAsia="Calibri"/>
          <w:b w:val="0"/>
          <w:sz w:val="12"/>
        </w:rPr>
      </w:r>
    </w:p>
    <w:p>
      <w:pPr>
        <w:spacing w:after="120"/>
        <w:jc w:val="left"/>
      </w:pPr>
      <w:r>
        <w:rPr>
          <w:rFonts w:ascii="Calibri" w:hAnsi="Calibri" w:cs="Calibri" w:eastAsia="Calibri"/>
          <w:b/>
          <w:color w:val="1F7A8C"/>
          <w:sz w:val="30"/>
        </w:rPr>
        <w:t>Revenue by 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7A8C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2"/>
              </w:rPr>
              <w:t>Branch</w:t>
            </w:r>
          </w:p>
        </w:tc>
        <w:tc>
          <w:tcPr>
            <w:tcW w:type="dxa" w:w="3249"/>
            <w:shd w:val="clear" w:color="auto" w:fill="1F7A8C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2"/>
              </w:rPr>
              <w:t>Revenue (AED)</w:t>
            </w:r>
          </w:p>
        </w:tc>
        <w:tc>
          <w:tcPr>
            <w:tcW w:type="dxa" w:w="3249"/>
            <w:shd w:val="clear" w:color="auto" w:fill="1F7A8C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2"/>
              </w:rPr>
              <w:t>Growth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/>
                <w:sz w:val="22"/>
              </w:rPr>
              <w:t>Dubai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 w:val="0"/>
                <w:sz w:val="22"/>
              </w:rPr>
              <w:t>1,240,000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1B8A4B"/>
                <w:sz w:val="22"/>
              </w:rPr>
              <w:t>+21%</w:t>
            </w:r>
          </w:p>
        </w:tc>
      </w:tr>
      <w:tr>
        <w:tc>
          <w:tcPr>
            <w:tcW w:type="dxa" w:w="3249"/>
            <w:shd w:val="clear" w:color="auto" w:fill="EEF6F8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/>
                <w:sz w:val="22"/>
              </w:rPr>
              <w:t>Abu Dhabi</w:t>
            </w:r>
          </w:p>
        </w:tc>
        <w:tc>
          <w:tcPr>
            <w:tcW w:type="dxa" w:w="3249"/>
            <w:shd w:val="clear" w:color="auto" w:fill="EEF6F8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 w:val="0"/>
                <w:sz w:val="22"/>
              </w:rPr>
              <w:t>980,000</w:t>
            </w:r>
          </w:p>
        </w:tc>
        <w:tc>
          <w:tcPr>
            <w:tcW w:type="dxa" w:w="3249"/>
            <w:shd w:val="clear" w:color="auto" w:fill="EEF6F8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1B8A4B"/>
                <w:sz w:val="22"/>
              </w:rPr>
              <w:t>+17%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/>
                <w:sz w:val="22"/>
              </w:rPr>
              <w:t>Sharjah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 w:val="0"/>
                <w:sz w:val="22"/>
              </w:rPr>
              <w:t>410,000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1B8A4B"/>
                <w:sz w:val="22"/>
              </w:rPr>
              <w:t>+9%</w:t>
            </w:r>
          </w:p>
        </w:tc>
      </w:tr>
    </w:tbl>
    <w:p>
      <w:pPr>
        <w:spacing w:after="120"/>
        <w:jc w:val="left"/>
      </w:pPr>
      <w:r>
        <w:rPr>
          <w:rFonts w:ascii="Calibri" w:hAnsi="Calibri" w:cs="Calibri" w:eastAsia="Calibri"/>
          <w:b w:val="0"/>
          <w:sz w:val="12"/>
        </w:rPr>
      </w:r>
    </w:p>
    <w:p>
      <w:pPr>
        <w:spacing w:after="120"/>
        <w:jc w:val="left"/>
      </w:pPr>
      <w:r>
        <w:rPr>
          <w:rFonts w:ascii="Calibri" w:hAnsi="Calibri" w:cs="Calibri" w:eastAsia="Calibri"/>
          <w:b w:val="0"/>
          <w:color w:val="555F66"/>
          <w:sz w:val="23"/>
        </w:rPr>
        <w:t>Thank you to every team for an outstanding quarter - we look forward to an even stronger Q4.</w:t>
      </w:r>
    </w:p>
    <w:sectPr w:rsidR="00FC693F" w:rsidRPr="0006063C" w:rsidSect="00034616">
      <w:pgSz w:w="12240" w:h="15840"/>
      <w:pgMar w:top="1134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