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  <w:bidi/>
      </w:pPr>
      <w:r>
        <w:rPr>
          <w:rFonts w:ascii="Cairo" w:hAnsi="Cairo" w:cs="Cairo" w:eastAsia="Cairo"/>
          <w:b/>
          <w:color w:val="154F5E"/>
          <w:sz w:val="48"/>
          <w:rtl/>
          <w:szCs w:val="48"/>
          <w:bCs/>
        </w:rPr>
        <w:t>تقرير الأداء الربعي</w:t>
      </w:r>
    </w:p>
    <w:p>
      <w:pPr>
        <w:spacing w:after="280"/>
        <w:jc w:val="right"/>
        <w:bidi/>
      </w:pPr>
      <w:r>
        <w:rPr>
          <w:rFonts w:ascii="Cairo" w:hAnsi="Cairo" w:cs="Cairo" w:eastAsia="Cairo"/>
          <w:b w:val="0"/>
          <w:color w:val="1F7A8C"/>
          <w:sz w:val="24"/>
          <w:rtl/>
          <w:szCs w:val="24"/>
        </w:rPr>
        <w:t>الربع الثالث 2026 · فروع الإمارات</w:t>
      </w:r>
    </w:p>
    <w:p>
      <w:pPr>
        <w:spacing w:after="240"/>
        <w:jc w:val="right"/>
        <w:bidi/>
      </w:pPr>
      <w:r>
        <w:rPr>
          <w:rFonts w:ascii="Cairo" w:hAnsi="Cairo" w:cs="Cairo" w:eastAsia="Cairo"/>
          <w:b w:val="0"/>
          <w:sz w:val="23"/>
          <w:rtl/>
          <w:szCs w:val="23"/>
        </w:rPr>
        <w:t>حققت الشركة نمواً قوياً هذا الربع، مدفوعاً بارتفاع المبيعات في فروع دبي وأبوظبي وتحسّن كفاءة التشغيل.</w:t>
      </w:r>
    </w:p>
    <w:p>
      <w:pPr>
        <w:spacing w:after="120"/>
        <w:jc w:val="right"/>
        <w:bidi/>
      </w:pPr>
      <w:r>
        <w:rPr>
          <w:rFonts w:ascii="Cairo" w:hAnsi="Cairo" w:cs="Cairo" w:eastAsia="Cairo"/>
          <w:b/>
          <w:color w:val="1F7A8C"/>
          <w:sz w:val="30"/>
          <w:rtl/>
          <w:szCs w:val="30"/>
          <w:bCs/>
        </w:rPr>
        <w:t>أبرز النتائج</w:t>
      </w:r>
    </w:p>
    <w:p>
      <w:pPr>
        <w:spacing w:after="60"/>
        <w:jc w:val="right"/>
        <w:bidi/>
      </w:pPr>
      <w:r>
        <w:rPr>
          <w:rFonts w:ascii="Cairo" w:hAnsi="Cairo" w:cs="Cairo" w:eastAsia="Cairo"/>
          <w:b w:val="0"/>
          <w:sz w:val="23"/>
          <w:rtl/>
          <w:szCs w:val="23"/>
        </w:rPr>
        <w:t>•  ارتفعت الإيرادات بنسبة 18% مقارنة بالربع السابق</w:t>
      </w:r>
    </w:p>
    <w:p>
      <w:pPr>
        <w:spacing w:after="60"/>
        <w:jc w:val="right"/>
        <w:bidi/>
      </w:pPr>
      <w:r>
        <w:rPr>
          <w:rFonts w:ascii="Cairo" w:hAnsi="Cairo" w:cs="Cairo" w:eastAsia="Cairo"/>
          <w:b w:val="0"/>
          <w:sz w:val="23"/>
          <w:rtl/>
          <w:szCs w:val="23"/>
        </w:rPr>
        <w:t>•  انخفضت التكاليف التشغيلية بنسبة 6%</w:t>
      </w:r>
    </w:p>
    <w:p>
      <w:pPr>
        <w:spacing w:after="60"/>
        <w:jc w:val="right"/>
        <w:bidi/>
      </w:pPr>
      <w:r>
        <w:rPr>
          <w:rFonts w:ascii="Cairo" w:hAnsi="Cairo" w:cs="Cairo" w:eastAsia="Cairo"/>
          <w:b w:val="0"/>
          <w:sz w:val="23"/>
          <w:rtl/>
          <w:szCs w:val="23"/>
        </w:rPr>
        <w:t>•  افتتاح فرع جديد في الشارقة</w:t>
      </w:r>
    </w:p>
    <w:p>
      <w:pPr>
        <w:spacing w:after="120"/>
        <w:jc w:val="right"/>
        <w:bidi/>
      </w:pPr>
      <w:r>
        <w:rPr>
          <w:rFonts w:ascii="Cairo" w:hAnsi="Cairo" w:cs="Cairo" w:eastAsia="Cairo"/>
          <w:b w:val="0"/>
          <w:sz w:val="12"/>
          <w:rtl/>
          <w:szCs w:val="12"/>
        </w:rPr>
      </w:r>
    </w:p>
    <w:p>
      <w:pPr>
        <w:spacing w:after="120"/>
        <w:jc w:val="right"/>
        <w:bidi/>
      </w:pPr>
      <w:r>
        <w:rPr>
          <w:rFonts w:ascii="Cairo" w:hAnsi="Cairo" w:cs="Cairo" w:eastAsia="Cairo"/>
          <w:b/>
          <w:color w:val="1F7A8C"/>
          <w:sz w:val="30"/>
          <w:rtl/>
          <w:szCs w:val="30"/>
          <w:bCs/>
        </w:rPr>
        <w:t>الإيرادات حسب الفرع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7A8C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/>
                <w:color w:val="FFFFFF"/>
                <w:sz w:val="22"/>
                <w:rtl/>
                <w:szCs w:val="22"/>
                <w:bCs/>
              </w:rPr>
              <w:t>الفرع</w:t>
            </w:r>
          </w:p>
        </w:tc>
        <w:tc>
          <w:tcPr>
            <w:tcW w:type="dxa" w:w="3249"/>
            <w:shd w:val="clear" w:color="auto" w:fill="1F7A8C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/>
                <w:color w:val="FFFFFF"/>
                <w:sz w:val="22"/>
                <w:rtl/>
                <w:szCs w:val="22"/>
                <w:bCs/>
              </w:rPr>
              <w:t>الإيرادات (درهم)</w:t>
            </w:r>
          </w:p>
        </w:tc>
        <w:tc>
          <w:tcPr>
            <w:tcW w:type="dxa" w:w="3249"/>
            <w:shd w:val="clear" w:color="auto" w:fill="1F7A8C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/>
                <w:color w:val="FFFFFF"/>
                <w:sz w:val="22"/>
                <w:rtl/>
                <w:szCs w:val="22"/>
                <w:bCs/>
              </w:rPr>
              <w:t>النمو</w:t>
            </w:r>
          </w:p>
        </w:tc>
      </w:tr>
      <w:tr>
        <w:tc>
          <w:tcPr>
            <w:tcW w:type="dxa" w:w="3249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/>
                <w:sz w:val="22"/>
                <w:rtl/>
                <w:szCs w:val="22"/>
                <w:bCs/>
              </w:rPr>
              <w:t>دبي</w:t>
            </w:r>
          </w:p>
        </w:tc>
        <w:tc>
          <w:tcPr>
            <w:tcW w:type="dxa" w:w="3249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 w:val="0"/>
                <w:sz w:val="22"/>
                <w:rtl/>
                <w:szCs w:val="22"/>
              </w:rPr>
              <w:t>1,240,000</w:t>
            </w:r>
          </w:p>
        </w:tc>
        <w:tc>
          <w:tcPr>
            <w:tcW w:type="dxa" w:w="3249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 w:val="0"/>
                <w:color w:val="1B8A4B"/>
                <w:sz w:val="22"/>
                <w:rtl/>
                <w:szCs w:val="22"/>
              </w:rPr>
              <w:t>+21%</w:t>
            </w:r>
          </w:p>
        </w:tc>
      </w:tr>
      <w:tr>
        <w:tc>
          <w:tcPr>
            <w:tcW w:type="dxa" w:w="3249"/>
            <w:shd w:val="clear" w:color="auto" w:fill="EEF6F8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/>
                <w:sz w:val="22"/>
                <w:rtl/>
                <w:szCs w:val="22"/>
                <w:bCs/>
              </w:rPr>
              <w:t>أبوظبي</w:t>
            </w:r>
          </w:p>
        </w:tc>
        <w:tc>
          <w:tcPr>
            <w:tcW w:type="dxa" w:w="3249"/>
            <w:shd w:val="clear" w:color="auto" w:fill="EEF6F8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 w:val="0"/>
                <w:sz w:val="22"/>
                <w:rtl/>
                <w:szCs w:val="22"/>
              </w:rPr>
              <w:t>980,000</w:t>
            </w:r>
          </w:p>
        </w:tc>
        <w:tc>
          <w:tcPr>
            <w:tcW w:type="dxa" w:w="3249"/>
            <w:shd w:val="clear" w:color="auto" w:fill="EEF6F8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 w:val="0"/>
                <w:color w:val="1B8A4B"/>
                <w:sz w:val="22"/>
                <w:rtl/>
                <w:szCs w:val="22"/>
              </w:rPr>
              <w:t>+17%</w:t>
            </w:r>
          </w:p>
        </w:tc>
      </w:tr>
      <w:tr>
        <w:tc>
          <w:tcPr>
            <w:tcW w:type="dxa" w:w="3249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/>
                <w:sz w:val="22"/>
                <w:rtl/>
                <w:szCs w:val="22"/>
                <w:bCs/>
              </w:rPr>
              <w:t>الشارقة</w:t>
            </w:r>
          </w:p>
        </w:tc>
        <w:tc>
          <w:tcPr>
            <w:tcW w:type="dxa" w:w="3249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 w:val="0"/>
                <w:sz w:val="22"/>
                <w:rtl/>
                <w:szCs w:val="22"/>
              </w:rPr>
              <w:t>410,000</w:t>
            </w:r>
          </w:p>
        </w:tc>
        <w:tc>
          <w:tcPr>
            <w:tcW w:type="dxa" w:w="3249"/>
          </w:tcPr>
          <w:p>
            <w:pPr>
              <w:jc w:val="right"/>
              <w:bidi/>
            </w:pPr>
            <w:r/>
            <w:r>
              <w:rPr>
                <w:rFonts w:ascii="Cairo" w:hAnsi="Cairo" w:cs="Cairo" w:eastAsia="Cairo"/>
                <w:b w:val="0"/>
                <w:color w:val="1B8A4B"/>
                <w:sz w:val="22"/>
                <w:rtl/>
                <w:szCs w:val="22"/>
              </w:rPr>
              <w:t>+9%</w:t>
            </w:r>
          </w:p>
        </w:tc>
      </w:tr>
    </w:tbl>
    <w:p>
      <w:pPr>
        <w:spacing w:after="120"/>
        <w:jc w:val="right"/>
        <w:bidi/>
      </w:pPr>
      <w:r>
        <w:rPr>
          <w:rFonts w:ascii="Cairo" w:hAnsi="Cairo" w:cs="Cairo" w:eastAsia="Cairo"/>
          <w:b w:val="0"/>
          <w:sz w:val="12"/>
          <w:rtl/>
          <w:szCs w:val="12"/>
        </w:rPr>
      </w:r>
    </w:p>
    <w:p>
      <w:pPr>
        <w:spacing w:after="120"/>
        <w:jc w:val="right"/>
        <w:bidi/>
      </w:pPr>
      <w:r>
        <w:rPr>
          <w:rFonts w:ascii="Cairo" w:hAnsi="Cairo" w:cs="Cairo" w:eastAsia="Cairo"/>
          <w:b w:val="0"/>
          <w:color w:val="555F66"/>
          <w:sz w:val="23"/>
          <w:rtl/>
          <w:szCs w:val="23"/>
        </w:rPr>
        <w:t>نشكر جميع فرق العمل على جهودهم المتميزة، ونتطلع إلى ربع رابع أقوى.</w:t>
      </w:r>
    </w:p>
    <w:sectPr w:rsidR="00FC693F" w:rsidRPr="0006063C" w:rsidSect="00034616">
      <w:pgSz w:w="12240" w:h="15840"/>
      <w:pgMar w:top="1134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