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9AE" w:rsidRDefault="00976551" w:rsidP="00B971AA">
      <w:pPr>
        <w:pStyle w:val="Heading2"/>
        <w:spacing w:before="0" w:beforeAutospacing="0" w:after="120"/>
        <w:rPr>
          <w:rFonts w:ascii="Times New Roman" w:hAnsi="Times New Roman"/>
        </w:rPr>
      </w:pPr>
      <w:r>
        <w:rPr>
          <w:rFonts w:ascii="Times New Roman" w:hAnsi="Times New Roman"/>
        </w:rPr>
        <w:t>Spectroscopic Information near N=14</w:t>
      </w:r>
      <w:proofErr w:type="gramStart"/>
      <w:r>
        <w:rPr>
          <w:rFonts w:ascii="Times New Roman" w:hAnsi="Times New Roman"/>
        </w:rPr>
        <w:t>,16</w:t>
      </w:r>
      <w:proofErr w:type="gramEnd"/>
    </w:p>
    <w:p w:rsidR="001609AE" w:rsidRDefault="001609AE" w:rsidP="001609AE">
      <w:pPr>
        <w:pStyle w:val="Heading2"/>
        <w:spacing w:before="0" w:beforeAutospacing="0" w:after="120"/>
        <w:rPr>
          <w:rFonts w:ascii="Times New Roman" w:hAnsi="Times New Roman"/>
          <w:sz w:val="24"/>
        </w:rPr>
      </w:pPr>
      <w:r>
        <w:rPr>
          <w:rFonts w:ascii="Times New Roman" w:hAnsi="Times New Roman"/>
          <w:sz w:val="24"/>
        </w:rPr>
        <w:t>(</w:t>
      </w:r>
      <w:proofErr w:type="gramStart"/>
      <w:r>
        <w:rPr>
          <w:rFonts w:ascii="Times New Roman" w:hAnsi="Times New Roman"/>
          <w:sz w:val="24"/>
        </w:rPr>
        <w:t>all</w:t>
      </w:r>
      <w:proofErr w:type="gramEnd"/>
      <w:r>
        <w:rPr>
          <w:rFonts w:ascii="Times New Roman" w:hAnsi="Times New Roman"/>
          <w:sz w:val="24"/>
        </w:rPr>
        <w:t xml:space="preserve"> sections should be completed)</w:t>
      </w:r>
    </w:p>
    <w:p w:rsidR="00027A25" w:rsidRDefault="002B74E2">
      <w:pPr>
        <w:pStyle w:val="Heading3"/>
        <w:numPr>
          <w:ilvl w:val="0"/>
          <w:numId w:val="6"/>
        </w:numPr>
        <w:spacing w:line="360" w:lineRule="auto"/>
      </w:pPr>
      <w:r>
        <w:t>Physics Justification</w:t>
      </w:r>
    </w:p>
    <w:p w:rsidR="00976551" w:rsidRDefault="00545775" w:rsidP="00976551">
      <w:pPr>
        <w:pStyle w:val="NormalWeb"/>
        <w:spacing w:before="0" w:beforeAutospacing="0" w:after="0" w:afterAutospacing="0" w:line="360" w:lineRule="auto"/>
        <w:ind w:firstLine="360"/>
        <w:rPr>
          <w:rFonts w:eastAsia="Times"/>
          <w:szCs w:val="20"/>
        </w:rPr>
      </w:pPr>
      <w:r>
        <w:rPr>
          <w:rFonts w:eastAsia="Times"/>
          <w:szCs w:val="20"/>
        </w:rPr>
        <w:t xml:space="preserve">Recent advances in </w:t>
      </w:r>
      <w:r>
        <w:rPr>
          <w:rFonts w:eastAsia="Times"/>
          <w:i/>
          <w:szCs w:val="20"/>
        </w:rPr>
        <w:t xml:space="preserve">ab initio </w:t>
      </w:r>
      <w:r>
        <w:rPr>
          <w:rFonts w:eastAsia="Times"/>
          <w:szCs w:val="20"/>
        </w:rPr>
        <w:t>calculations have resulted in the ability to calculate the properties of nuclei with mass greater than 20 [cite].</w:t>
      </w:r>
      <w:r w:rsidR="00976551">
        <w:rPr>
          <w:rFonts w:eastAsia="Times"/>
          <w:szCs w:val="20"/>
        </w:rPr>
        <w:t xml:space="preserve"> These advances place more empha</w:t>
      </w:r>
      <w:r w:rsidR="000354E5">
        <w:rPr>
          <w:rFonts w:eastAsia="Times"/>
          <w:szCs w:val="20"/>
        </w:rPr>
        <w:t>sis on the need to have</w:t>
      </w:r>
      <w:r w:rsidR="00976551">
        <w:rPr>
          <w:rFonts w:eastAsia="Times"/>
          <w:szCs w:val="20"/>
        </w:rPr>
        <w:t xml:space="preserve"> spectroscopic information detailing nuclear structure near the neutron dripline. In particular, there is little known about nuclei one to two protons away from the potentially doubly magic </w:t>
      </w:r>
      <w:r w:rsidR="00976551">
        <w:rPr>
          <w:rFonts w:eastAsia="Times"/>
          <w:szCs w:val="20"/>
          <w:vertAlign w:val="superscript"/>
        </w:rPr>
        <w:t>22</w:t>
      </w:r>
      <w:r w:rsidR="00976551">
        <w:rPr>
          <w:rFonts w:eastAsia="Times"/>
          <w:szCs w:val="20"/>
        </w:rPr>
        <w:t xml:space="preserve">O and the doubly magic </w:t>
      </w:r>
      <w:r w:rsidR="00976551">
        <w:rPr>
          <w:rFonts w:eastAsia="Times"/>
          <w:szCs w:val="20"/>
          <w:vertAlign w:val="superscript"/>
        </w:rPr>
        <w:t>24</w:t>
      </w:r>
      <w:r w:rsidR="00976551">
        <w:rPr>
          <w:rFonts w:eastAsia="Times"/>
          <w:szCs w:val="20"/>
        </w:rPr>
        <w:t>O.</w:t>
      </w:r>
    </w:p>
    <w:p w:rsidR="00976551" w:rsidRDefault="00976551" w:rsidP="00976551">
      <w:pPr>
        <w:pStyle w:val="NormalWeb"/>
        <w:spacing w:before="0" w:beforeAutospacing="0" w:after="0" w:afterAutospacing="0" w:line="360" w:lineRule="auto"/>
        <w:ind w:firstLine="360"/>
        <w:rPr>
          <w:rFonts w:eastAsia="Times"/>
          <w:szCs w:val="20"/>
        </w:rPr>
      </w:pPr>
      <w:r>
        <w:rPr>
          <w:rFonts w:eastAsia="Times"/>
          <w:szCs w:val="20"/>
        </w:rPr>
        <w:t xml:space="preserve">In the case of </w:t>
      </w:r>
      <w:r>
        <w:rPr>
          <w:rFonts w:eastAsia="Times"/>
          <w:szCs w:val="20"/>
          <w:vertAlign w:val="superscript"/>
        </w:rPr>
        <w:t>22</w:t>
      </w:r>
      <w:r>
        <w:rPr>
          <w:rFonts w:eastAsia="Times"/>
          <w:szCs w:val="20"/>
        </w:rPr>
        <w:t>O, much has been studied</w:t>
      </w:r>
      <w:r w:rsidR="00EF7980">
        <w:rPr>
          <w:rFonts w:eastAsia="Times"/>
          <w:szCs w:val="20"/>
        </w:rPr>
        <w:t xml:space="preserve"> experimentally</w:t>
      </w:r>
      <w:r w:rsidR="000354E5">
        <w:rPr>
          <w:rFonts w:eastAsia="Times"/>
          <w:szCs w:val="20"/>
        </w:rPr>
        <w:t xml:space="preserve"> with respect to</w:t>
      </w:r>
      <w:r>
        <w:rPr>
          <w:rFonts w:eastAsia="Times"/>
          <w:szCs w:val="20"/>
        </w:rPr>
        <w:t xml:space="preserve"> n</w:t>
      </w:r>
      <w:r w:rsidR="00EF7980">
        <w:rPr>
          <w:rFonts w:eastAsia="Times"/>
          <w:szCs w:val="20"/>
        </w:rPr>
        <w:t>eutron degrees of freedom, with the primary aim being identifying whether or not</w:t>
      </w:r>
      <w:r w:rsidR="000354E5">
        <w:rPr>
          <w:rFonts w:eastAsia="Times"/>
          <w:szCs w:val="20"/>
        </w:rPr>
        <w:t xml:space="preserve"> the N=14 subshell gap is magic</w:t>
      </w:r>
      <w:r w:rsidR="007C3274">
        <w:rPr>
          <w:rFonts w:eastAsia="Times"/>
          <w:szCs w:val="20"/>
        </w:rPr>
        <w:t xml:space="preserve"> </w:t>
      </w:r>
      <w:r w:rsidR="000C1B67">
        <w:rPr>
          <w:rFonts w:eastAsia="Times"/>
          <w:szCs w:val="20"/>
        </w:rPr>
        <w:t>[THI00</w:t>
      </w:r>
      <w:proofErr w:type="gramStart"/>
      <w:r w:rsidR="000C1B67">
        <w:rPr>
          <w:rFonts w:eastAsia="Times"/>
          <w:szCs w:val="20"/>
        </w:rPr>
        <w:t>,STA04,BEC06</w:t>
      </w:r>
      <w:proofErr w:type="gramEnd"/>
      <w:r w:rsidR="00EF7980">
        <w:rPr>
          <w:rFonts w:eastAsia="Times"/>
          <w:szCs w:val="20"/>
        </w:rPr>
        <w:t>]. The experimental data, however,</w:t>
      </w:r>
      <w:r w:rsidR="007C3274">
        <w:rPr>
          <w:rFonts w:eastAsia="Times"/>
          <w:szCs w:val="20"/>
        </w:rPr>
        <w:t xml:space="preserve"> is lacking for</w:t>
      </w:r>
      <w:r w:rsidR="00EF7980">
        <w:rPr>
          <w:rFonts w:eastAsia="Times"/>
          <w:szCs w:val="20"/>
        </w:rPr>
        <w:t xml:space="preserve"> nuclei that vary by one proton from </w:t>
      </w:r>
      <w:r w:rsidR="00EF7980">
        <w:rPr>
          <w:rFonts w:eastAsia="Times"/>
          <w:szCs w:val="20"/>
          <w:vertAlign w:val="superscript"/>
        </w:rPr>
        <w:t>22</w:t>
      </w:r>
      <w:r w:rsidR="00EF7980">
        <w:rPr>
          <w:rFonts w:eastAsia="Times"/>
          <w:szCs w:val="20"/>
        </w:rPr>
        <w:t xml:space="preserve">O. For example, since </w:t>
      </w:r>
      <w:r w:rsidR="00EF7980">
        <w:rPr>
          <w:rFonts w:eastAsia="Times"/>
          <w:szCs w:val="20"/>
          <w:vertAlign w:val="superscript"/>
        </w:rPr>
        <w:t>21</w:t>
      </w:r>
      <w:r w:rsidR="00EF7980">
        <w:rPr>
          <w:rFonts w:eastAsia="Times"/>
          <w:szCs w:val="20"/>
        </w:rPr>
        <w:t>N wa</w:t>
      </w:r>
      <w:r w:rsidR="0001383B">
        <w:rPr>
          <w:rFonts w:eastAsia="Times"/>
          <w:szCs w:val="20"/>
        </w:rPr>
        <w:t>s first observed in 1970 [ART70</w:t>
      </w:r>
      <w:r w:rsidR="00EF7980">
        <w:rPr>
          <w:rFonts w:eastAsia="Times"/>
          <w:szCs w:val="20"/>
        </w:rPr>
        <w:t>] only two experiments have been performed to identify excited s</w:t>
      </w:r>
      <w:r w:rsidR="00687BBB">
        <w:rPr>
          <w:rFonts w:eastAsia="Times"/>
          <w:szCs w:val="20"/>
        </w:rPr>
        <w:t>tates of this nucleus [SOH08</w:t>
      </w:r>
      <w:proofErr w:type="gramStart"/>
      <w:r w:rsidR="00687BBB">
        <w:rPr>
          <w:rFonts w:eastAsia="Times"/>
          <w:szCs w:val="20"/>
        </w:rPr>
        <w:t>,ELE10</w:t>
      </w:r>
      <w:proofErr w:type="gramEnd"/>
      <w:r w:rsidR="00EF7980">
        <w:rPr>
          <w:rFonts w:eastAsia="Times"/>
          <w:szCs w:val="20"/>
        </w:rPr>
        <w:t>].</w:t>
      </w:r>
      <w:r w:rsidR="00AF1EA7">
        <w:rPr>
          <w:rFonts w:eastAsia="Times"/>
          <w:szCs w:val="20"/>
        </w:rPr>
        <w:t xml:space="preserve"> In the case of Ref. [SOH08</w:t>
      </w:r>
      <w:r w:rsidR="00EF7980">
        <w:rPr>
          <w:rFonts w:eastAsia="Times"/>
          <w:szCs w:val="20"/>
        </w:rPr>
        <w:t>] five excited states were observed by two step fragmentation and were given tentative spin-parity assignments.</w:t>
      </w:r>
      <w:r w:rsidR="007C3274">
        <w:rPr>
          <w:rFonts w:eastAsia="Times"/>
          <w:szCs w:val="20"/>
        </w:rPr>
        <w:t xml:space="preserve"> Similarly, excited states have been measured in </w:t>
      </w:r>
      <w:r w:rsidR="007C3274">
        <w:rPr>
          <w:rFonts w:eastAsia="Times"/>
          <w:szCs w:val="20"/>
          <w:vertAlign w:val="superscript"/>
        </w:rPr>
        <w:t>23</w:t>
      </w:r>
      <w:r w:rsidR="00AF1EA7">
        <w:rPr>
          <w:rFonts w:eastAsia="Times"/>
          <w:szCs w:val="20"/>
        </w:rPr>
        <w:t>F three times</w:t>
      </w:r>
      <w:r w:rsidR="00B37AB5">
        <w:rPr>
          <w:rFonts w:eastAsia="Times"/>
          <w:szCs w:val="20"/>
        </w:rPr>
        <w:t xml:space="preserve"> </w:t>
      </w:r>
      <w:r w:rsidR="00AF1EA7">
        <w:rPr>
          <w:rFonts w:eastAsia="Times"/>
          <w:szCs w:val="20"/>
        </w:rPr>
        <w:t>[ORR89</w:t>
      </w:r>
      <w:proofErr w:type="gramStart"/>
      <w:r w:rsidR="00AF1EA7">
        <w:rPr>
          <w:rFonts w:eastAsia="Times"/>
          <w:szCs w:val="20"/>
        </w:rPr>
        <w:t>,AZA02,MIC06</w:t>
      </w:r>
      <w:proofErr w:type="gramEnd"/>
      <w:r w:rsidR="007C3274">
        <w:rPr>
          <w:rFonts w:eastAsia="Times"/>
          <w:szCs w:val="20"/>
        </w:rPr>
        <w:t xml:space="preserve">]. Most recently a series of four reactions were used to populate excited states, </w:t>
      </w:r>
      <w:r w:rsidR="007C3274">
        <w:rPr>
          <w:rFonts w:eastAsia="Times"/>
          <w:szCs w:val="20"/>
        </w:rPr>
        <w:t xml:space="preserve">including single and multi-nucleon knockout, proton transfer, and </w:t>
      </w:r>
      <w:r w:rsidR="007C3274">
        <w:rPr>
          <w:rFonts w:eastAsia="Times"/>
          <w:szCs w:val="20"/>
        </w:rPr>
        <w:t xml:space="preserve">inelastic scattering </w:t>
      </w:r>
      <w:r w:rsidR="00AF1EA7">
        <w:rPr>
          <w:rFonts w:eastAsia="Times"/>
          <w:szCs w:val="20"/>
        </w:rPr>
        <w:t>[MIC06</w:t>
      </w:r>
      <w:r w:rsidR="007C3274">
        <w:rPr>
          <w:rFonts w:eastAsia="Times"/>
          <w:szCs w:val="20"/>
        </w:rPr>
        <w:t>]</w:t>
      </w:r>
      <w:r w:rsidR="007C3274">
        <w:rPr>
          <w:rFonts w:eastAsia="Times"/>
          <w:szCs w:val="20"/>
        </w:rPr>
        <w:t>.</w:t>
      </w:r>
      <w:r w:rsidR="007C3274" w:rsidRPr="007C3274">
        <w:rPr>
          <w:rFonts w:eastAsia="Times"/>
          <w:szCs w:val="20"/>
        </w:rPr>
        <w:t xml:space="preserve"> </w:t>
      </w:r>
      <w:r w:rsidR="007C3274">
        <w:rPr>
          <w:rFonts w:eastAsia="Times"/>
          <w:szCs w:val="20"/>
        </w:rPr>
        <w:t>T</w:t>
      </w:r>
      <w:r w:rsidR="007C3274">
        <w:rPr>
          <w:rFonts w:eastAsia="Times"/>
          <w:szCs w:val="20"/>
        </w:rPr>
        <w:t xml:space="preserve">hese measurements </w:t>
      </w:r>
      <w:r w:rsidR="007C3274">
        <w:rPr>
          <w:rFonts w:eastAsia="Times"/>
          <w:szCs w:val="20"/>
        </w:rPr>
        <w:t xml:space="preserve">resulted in </w:t>
      </w:r>
      <w:r w:rsidR="007C3274">
        <w:rPr>
          <w:rFonts w:eastAsia="Times"/>
          <w:szCs w:val="20"/>
        </w:rPr>
        <w:t>an analysis of the angular distribution</w:t>
      </w:r>
      <w:r w:rsidR="007C3274">
        <w:rPr>
          <w:rFonts w:eastAsia="Times"/>
          <w:szCs w:val="20"/>
        </w:rPr>
        <w:t>s</w:t>
      </w:r>
      <w:r w:rsidR="007C3274">
        <w:rPr>
          <w:rFonts w:eastAsia="Times"/>
          <w:szCs w:val="20"/>
        </w:rPr>
        <w:t xml:space="preserve"> of charged particles from the (</w:t>
      </w:r>
      <w:r w:rsidR="007C3274">
        <w:rPr>
          <w:rFonts w:eastAsia="Times"/>
          <w:szCs w:val="20"/>
          <w:vertAlign w:val="superscript"/>
        </w:rPr>
        <w:t>4</w:t>
      </w:r>
      <w:r w:rsidR="007C3274">
        <w:rPr>
          <w:rFonts w:eastAsia="Times"/>
          <w:szCs w:val="20"/>
        </w:rPr>
        <w:t>He</w:t>
      </w:r>
      <w:proofErr w:type="gramStart"/>
      <w:r w:rsidR="007C3274">
        <w:rPr>
          <w:rFonts w:eastAsia="Times"/>
          <w:szCs w:val="20"/>
        </w:rPr>
        <w:t>,t</w:t>
      </w:r>
      <w:proofErr w:type="gramEnd"/>
      <w:r w:rsidR="007C3274">
        <w:rPr>
          <w:rFonts w:eastAsia="Times"/>
          <w:szCs w:val="20"/>
        </w:rPr>
        <w:t>) transfer reaction w</w:t>
      </w:r>
      <w:r w:rsidR="007C3274">
        <w:rPr>
          <w:rFonts w:eastAsia="Times"/>
          <w:szCs w:val="20"/>
        </w:rPr>
        <w:t>hich led to the determination of</w:t>
      </w:r>
      <w:r w:rsidR="007C3274">
        <w:rPr>
          <w:rFonts w:eastAsia="Times"/>
          <w:szCs w:val="20"/>
        </w:rPr>
        <w:t xml:space="preserve"> spectroscopic factors for two </w:t>
      </w:r>
      <w:r w:rsidR="007C3274">
        <w:rPr>
          <w:rFonts w:eastAsia="Times"/>
          <w:szCs w:val="20"/>
        </w:rPr>
        <w:t xml:space="preserve">of the observed </w:t>
      </w:r>
      <w:r w:rsidR="007C3274">
        <w:rPr>
          <w:rFonts w:eastAsia="Times"/>
          <w:szCs w:val="20"/>
        </w:rPr>
        <w:t>states.</w:t>
      </w:r>
      <w:r w:rsidR="007C3274">
        <w:rPr>
          <w:rFonts w:eastAsia="Times"/>
          <w:szCs w:val="20"/>
        </w:rPr>
        <w:t xml:space="preserve"> For both </w:t>
      </w:r>
      <w:r w:rsidR="007C3274">
        <w:rPr>
          <w:rFonts w:eastAsia="Times"/>
          <w:szCs w:val="20"/>
          <w:vertAlign w:val="superscript"/>
        </w:rPr>
        <w:t>23</w:t>
      </w:r>
      <w:r w:rsidR="007C3274">
        <w:rPr>
          <w:rFonts w:eastAsia="Times"/>
          <w:szCs w:val="20"/>
        </w:rPr>
        <w:t xml:space="preserve">F and </w:t>
      </w:r>
      <w:r w:rsidR="007C3274">
        <w:rPr>
          <w:rFonts w:eastAsia="Times"/>
          <w:szCs w:val="20"/>
          <w:vertAlign w:val="superscript"/>
        </w:rPr>
        <w:t>21</w:t>
      </w:r>
      <w:r w:rsidR="007C3274">
        <w:rPr>
          <w:rFonts w:eastAsia="Times"/>
          <w:szCs w:val="20"/>
        </w:rPr>
        <w:t>N, there are no firm spin-parity assignments, and spectroscopic factors are either unknown (</w:t>
      </w:r>
      <w:r w:rsidR="007C3274">
        <w:rPr>
          <w:rFonts w:eastAsia="Times"/>
          <w:szCs w:val="20"/>
          <w:vertAlign w:val="superscript"/>
        </w:rPr>
        <w:t>21</w:t>
      </w:r>
      <w:r w:rsidR="007C3274">
        <w:rPr>
          <w:rFonts w:eastAsia="Times"/>
          <w:szCs w:val="20"/>
        </w:rPr>
        <w:t>N) or unconfirmed (</w:t>
      </w:r>
      <w:r w:rsidR="007C3274">
        <w:rPr>
          <w:rFonts w:eastAsia="Times"/>
          <w:szCs w:val="20"/>
          <w:vertAlign w:val="superscript"/>
        </w:rPr>
        <w:t>23</w:t>
      </w:r>
      <w:r w:rsidR="007C3274">
        <w:rPr>
          <w:rFonts w:eastAsia="Times"/>
          <w:szCs w:val="20"/>
        </w:rPr>
        <w:t xml:space="preserve">F).  </w:t>
      </w:r>
      <w:r w:rsidR="007C3274">
        <w:rPr>
          <w:rFonts w:eastAsia="Times"/>
          <w:szCs w:val="20"/>
        </w:rPr>
        <w:t xml:space="preserve">A more thorough study of the excited states in </w:t>
      </w:r>
      <w:r w:rsidR="007C3274">
        <w:rPr>
          <w:rFonts w:eastAsia="Times"/>
          <w:szCs w:val="20"/>
          <w:vertAlign w:val="superscript"/>
        </w:rPr>
        <w:t>23</w:t>
      </w:r>
      <w:r w:rsidR="007C3274">
        <w:rPr>
          <w:rFonts w:eastAsia="Times"/>
          <w:szCs w:val="20"/>
        </w:rPr>
        <w:t xml:space="preserve">F and </w:t>
      </w:r>
      <w:r w:rsidR="007C3274">
        <w:rPr>
          <w:rFonts w:eastAsia="Times"/>
          <w:szCs w:val="20"/>
          <w:vertAlign w:val="superscript"/>
        </w:rPr>
        <w:t>21</w:t>
      </w:r>
      <w:r w:rsidR="007C3274">
        <w:rPr>
          <w:rFonts w:eastAsia="Times"/>
          <w:szCs w:val="20"/>
        </w:rPr>
        <w:t>N,</w:t>
      </w:r>
      <w:r w:rsidR="000354E5">
        <w:rPr>
          <w:rFonts w:eastAsia="Times"/>
          <w:szCs w:val="20"/>
        </w:rPr>
        <w:t xml:space="preserve"> including firm spin-</w:t>
      </w:r>
      <w:r w:rsidR="007C3274">
        <w:rPr>
          <w:rFonts w:eastAsia="Times"/>
          <w:szCs w:val="20"/>
        </w:rPr>
        <w:t>parity assignments and</w:t>
      </w:r>
      <w:r w:rsidR="007C3274">
        <w:rPr>
          <w:rFonts w:eastAsia="Times"/>
          <w:szCs w:val="20"/>
        </w:rPr>
        <w:t xml:space="preserve"> measurements of spectroscopic factors, would provide valuable data for </w:t>
      </w:r>
      <w:r w:rsidR="007C3274">
        <w:rPr>
          <w:rFonts w:eastAsia="Times"/>
          <w:i/>
          <w:szCs w:val="20"/>
        </w:rPr>
        <w:t xml:space="preserve">ab initio </w:t>
      </w:r>
      <w:r w:rsidR="007C3274">
        <w:rPr>
          <w:rFonts w:eastAsia="Times"/>
          <w:szCs w:val="20"/>
        </w:rPr>
        <w:t>calculations.</w:t>
      </w:r>
    </w:p>
    <w:p w:rsidR="007C3274" w:rsidRDefault="00144DF9" w:rsidP="00976551">
      <w:pPr>
        <w:pStyle w:val="NormalWeb"/>
        <w:spacing w:before="0" w:beforeAutospacing="0" w:after="0" w:afterAutospacing="0" w:line="360" w:lineRule="auto"/>
        <w:ind w:firstLine="360"/>
        <w:rPr>
          <w:rFonts w:eastAsia="Times"/>
          <w:szCs w:val="20"/>
        </w:rPr>
      </w:pPr>
      <w:r>
        <w:rPr>
          <w:rFonts w:eastAsia="Times"/>
          <w:szCs w:val="20"/>
        </w:rPr>
        <w:t xml:space="preserve">Approaching the neutron dripline with </w:t>
      </w:r>
      <w:r>
        <w:rPr>
          <w:rFonts w:eastAsia="Times"/>
          <w:szCs w:val="20"/>
          <w:vertAlign w:val="superscript"/>
        </w:rPr>
        <w:t>24</w:t>
      </w:r>
      <w:r>
        <w:rPr>
          <w:rFonts w:eastAsia="Times"/>
          <w:szCs w:val="20"/>
        </w:rPr>
        <w:t xml:space="preserve">O, the experimental data becomes more scarce. Although </w:t>
      </w:r>
      <w:r>
        <w:rPr>
          <w:rFonts w:eastAsia="Times"/>
          <w:szCs w:val="20"/>
          <w:vertAlign w:val="superscript"/>
        </w:rPr>
        <w:t>25</w:t>
      </w:r>
      <w:r>
        <w:rPr>
          <w:rFonts w:eastAsia="Times"/>
          <w:szCs w:val="20"/>
        </w:rPr>
        <w:t>F was also first observed</w:t>
      </w:r>
      <w:r w:rsidR="00045F94">
        <w:rPr>
          <w:rFonts w:eastAsia="Times"/>
          <w:szCs w:val="20"/>
        </w:rPr>
        <w:t xml:space="preserve"> in 1970 [ART70</w:t>
      </w:r>
      <w:r>
        <w:rPr>
          <w:rFonts w:eastAsia="Times"/>
          <w:szCs w:val="20"/>
        </w:rPr>
        <w:t>]</w:t>
      </w:r>
      <w:r w:rsidR="00B72EFE">
        <w:rPr>
          <w:rFonts w:eastAsia="Times"/>
          <w:szCs w:val="20"/>
        </w:rPr>
        <w:t xml:space="preserve"> and several gamma rays were observed in the early 2000’</w:t>
      </w:r>
      <w:r w:rsidR="00045F94">
        <w:rPr>
          <w:rFonts w:eastAsia="Times"/>
          <w:szCs w:val="20"/>
        </w:rPr>
        <w:t>s [BEL01</w:t>
      </w:r>
      <w:proofErr w:type="gramStart"/>
      <w:r w:rsidR="00045F94">
        <w:rPr>
          <w:rFonts w:eastAsia="Times"/>
          <w:szCs w:val="20"/>
        </w:rPr>
        <w:t>,AZA02,ELE04</w:t>
      </w:r>
      <w:proofErr w:type="gramEnd"/>
      <w:r w:rsidR="00B72EFE">
        <w:rPr>
          <w:rFonts w:eastAsia="Times"/>
          <w:szCs w:val="20"/>
        </w:rPr>
        <w:t>],</w:t>
      </w:r>
      <w:r>
        <w:rPr>
          <w:rFonts w:eastAsia="Times"/>
          <w:szCs w:val="20"/>
        </w:rPr>
        <w:t xml:space="preserve"> the first</w:t>
      </w:r>
      <w:r w:rsidR="00B72EFE">
        <w:rPr>
          <w:rFonts w:eastAsia="Times"/>
          <w:szCs w:val="20"/>
        </w:rPr>
        <w:t xml:space="preserve"> detailed</w:t>
      </w:r>
      <w:r>
        <w:rPr>
          <w:rFonts w:eastAsia="Times"/>
          <w:szCs w:val="20"/>
        </w:rPr>
        <w:t xml:space="preserve"> spectroscopy of excited states in </w:t>
      </w:r>
      <w:r>
        <w:rPr>
          <w:rFonts w:eastAsia="Times"/>
          <w:szCs w:val="20"/>
          <w:vertAlign w:val="superscript"/>
        </w:rPr>
        <w:t>25</w:t>
      </w:r>
      <w:r>
        <w:rPr>
          <w:rFonts w:eastAsia="Times"/>
          <w:szCs w:val="20"/>
        </w:rPr>
        <w:t>F was</w:t>
      </w:r>
      <w:r w:rsidR="00B72EFE">
        <w:rPr>
          <w:rFonts w:eastAsia="Times"/>
          <w:szCs w:val="20"/>
        </w:rPr>
        <w:t xml:space="preserve"> not published until </w:t>
      </w:r>
      <w:r w:rsidR="00045F94">
        <w:rPr>
          <w:rFonts w:eastAsia="Times"/>
          <w:szCs w:val="20"/>
        </w:rPr>
        <w:t>2014 [VAJ14</w:t>
      </w:r>
      <w:r>
        <w:rPr>
          <w:rFonts w:eastAsia="Times"/>
          <w:szCs w:val="20"/>
        </w:rPr>
        <w:t>].</w:t>
      </w:r>
      <w:r w:rsidR="00045F94">
        <w:rPr>
          <w:rFonts w:eastAsia="Times"/>
          <w:szCs w:val="20"/>
        </w:rPr>
        <w:t xml:space="preserve"> In Ref [VAJ14</w:t>
      </w:r>
      <w:r w:rsidR="00B72EFE">
        <w:rPr>
          <w:rFonts w:eastAsia="Times"/>
          <w:szCs w:val="20"/>
        </w:rPr>
        <w:t xml:space="preserve">] seven gamma-rays are identified corresponding to five excited states.  The states are </w:t>
      </w:r>
      <w:r w:rsidR="000354E5">
        <w:rPr>
          <w:rFonts w:eastAsia="Times"/>
          <w:szCs w:val="20"/>
        </w:rPr>
        <w:t>given</w:t>
      </w:r>
      <w:r w:rsidR="00B72EFE">
        <w:rPr>
          <w:rFonts w:eastAsia="Times"/>
          <w:szCs w:val="20"/>
        </w:rPr>
        <w:t xml:space="preserve"> tentative spin-parity assignments, but due to the nature of the fragmentation reaction employed, spectroscopic factors were not determined.</w:t>
      </w:r>
    </w:p>
    <w:p w:rsidR="00B37AB5" w:rsidRPr="00B37AB5" w:rsidRDefault="00B37AB5" w:rsidP="00976551">
      <w:pPr>
        <w:pStyle w:val="NormalWeb"/>
        <w:spacing w:before="0" w:beforeAutospacing="0" w:after="0" w:afterAutospacing="0" w:line="360" w:lineRule="auto"/>
        <w:ind w:firstLine="360"/>
        <w:rPr>
          <w:rFonts w:eastAsia="Times"/>
          <w:szCs w:val="20"/>
        </w:rPr>
      </w:pPr>
      <w:r>
        <w:rPr>
          <w:rFonts w:eastAsia="Times"/>
          <w:szCs w:val="20"/>
        </w:rPr>
        <w:lastRenderedPageBreak/>
        <w:t xml:space="preserve">Performing single proton knockout reactions with beams of radioactive </w:t>
      </w:r>
      <w:r>
        <w:rPr>
          <w:rFonts w:eastAsia="Times"/>
          <w:szCs w:val="20"/>
          <w:vertAlign w:val="superscript"/>
        </w:rPr>
        <w:t>24,26</w:t>
      </w:r>
      <w:r>
        <w:rPr>
          <w:rFonts w:eastAsia="Times"/>
          <w:szCs w:val="20"/>
        </w:rPr>
        <w:t xml:space="preserve">Ne and </w:t>
      </w:r>
      <w:r>
        <w:rPr>
          <w:rFonts w:eastAsia="Times"/>
          <w:szCs w:val="20"/>
          <w:vertAlign w:val="superscript"/>
        </w:rPr>
        <w:t>22</w:t>
      </w:r>
      <w:r>
        <w:rPr>
          <w:rFonts w:eastAsia="Times"/>
          <w:szCs w:val="20"/>
        </w:rPr>
        <w:t xml:space="preserve">O will provide a critical means to further develop the current understanding of the structure of neutron rich isotopes near N=14 and N=16. By probing the largely mysterious proton shell structure in this region in a systematic way, as a function of changing isospin, we will gain valuable, currently unknown, knowledge on the structure of the excited states of </w:t>
      </w:r>
      <w:r>
        <w:rPr>
          <w:rFonts w:eastAsia="Times"/>
          <w:szCs w:val="20"/>
          <w:vertAlign w:val="superscript"/>
        </w:rPr>
        <w:t>23</w:t>
      </w:r>
      <w:r>
        <w:rPr>
          <w:rFonts w:eastAsia="Times"/>
          <w:szCs w:val="20"/>
        </w:rPr>
        <w:t xml:space="preserve">F, </w:t>
      </w:r>
      <w:r>
        <w:rPr>
          <w:rFonts w:eastAsia="Times"/>
          <w:szCs w:val="20"/>
          <w:vertAlign w:val="superscript"/>
        </w:rPr>
        <w:t>21</w:t>
      </w:r>
      <w:r>
        <w:rPr>
          <w:rFonts w:eastAsia="Times"/>
          <w:szCs w:val="20"/>
        </w:rPr>
        <w:t xml:space="preserve">N, and </w:t>
      </w:r>
      <w:r>
        <w:rPr>
          <w:rFonts w:eastAsia="Times"/>
          <w:szCs w:val="20"/>
          <w:vertAlign w:val="superscript"/>
        </w:rPr>
        <w:t>25</w:t>
      </w:r>
      <w:r>
        <w:rPr>
          <w:rFonts w:eastAsia="Times"/>
          <w:szCs w:val="20"/>
        </w:rPr>
        <w:t xml:space="preserve">F, as well as information concerning the ground state configuration of the potentially doubly magic </w:t>
      </w:r>
      <w:r>
        <w:rPr>
          <w:rFonts w:eastAsia="Times"/>
          <w:szCs w:val="20"/>
          <w:vertAlign w:val="superscript"/>
        </w:rPr>
        <w:t>22</w:t>
      </w:r>
      <w:r>
        <w:rPr>
          <w:rFonts w:eastAsia="Times"/>
          <w:szCs w:val="20"/>
        </w:rPr>
        <w:t xml:space="preserve">O. </w:t>
      </w:r>
    </w:p>
    <w:p w:rsidR="007C3274" w:rsidRPr="007C3274" w:rsidRDefault="007C3274" w:rsidP="00976551">
      <w:pPr>
        <w:pStyle w:val="NormalWeb"/>
        <w:spacing w:before="0" w:beforeAutospacing="0" w:after="0" w:afterAutospacing="0" w:line="360" w:lineRule="auto"/>
        <w:ind w:firstLine="360"/>
        <w:rPr>
          <w:rFonts w:eastAsia="Times"/>
          <w:szCs w:val="20"/>
        </w:rPr>
      </w:pPr>
    </w:p>
    <w:p w:rsidR="00976551" w:rsidRDefault="00976551">
      <w:pPr>
        <w:pStyle w:val="NormalWeb"/>
        <w:spacing w:before="0" w:beforeAutospacing="0" w:after="0" w:afterAutospacing="0" w:line="360" w:lineRule="auto"/>
        <w:rPr>
          <w:rFonts w:eastAsia="Times"/>
          <w:szCs w:val="20"/>
        </w:rPr>
      </w:pPr>
    </w:p>
    <w:p w:rsidR="00027A25" w:rsidRDefault="002B74E2">
      <w:pPr>
        <w:pStyle w:val="Heading3"/>
        <w:numPr>
          <w:ilvl w:val="0"/>
          <w:numId w:val="6"/>
        </w:numPr>
        <w:spacing w:line="360" w:lineRule="auto"/>
        <w:ind w:left="547" w:hanging="187"/>
      </w:pPr>
      <w:r>
        <w:t>Goals of the proposed experiment</w:t>
      </w:r>
    </w:p>
    <w:p w:rsidR="00027A25" w:rsidRPr="00B56CE3" w:rsidRDefault="00B56CE3" w:rsidP="000354E5">
      <w:pPr>
        <w:pStyle w:val="NormalWeb"/>
        <w:spacing w:before="0" w:beforeAutospacing="0" w:after="0" w:afterAutospacing="0" w:line="360" w:lineRule="auto"/>
        <w:ind w:firstLine="360"/>
        <w:rPr>
          <w:rFonts w:eastAsia="Times"/>
          <w:szCs w:val="20"/>
        </w:rPr>
      </w:pPr>
      <w:r>
        <w:rPr>
          <w:rFonts w:eastAsia="Times"/>
          <w:szCs w:val="20"/>
        </w:rPr>
        <w:t>T</w:t>
      </w:r>
      <w:r w:rsidR="00B37AB5">
        <w:rPr>
          <w:rFonts w:eastAsia="Times"/>
          <w:szCs w:val="20"/>
        </w:rPr>
        <w:t>he primary</w:t>
      </w:r>
      <w:r>
        <w:rPr>
          <w:rFonts w:eastAsia="Times"/>
          <w:szCs w:val="20"/>
        </w:rPr>
        <w:t xml:space="preserve"> goal of this experiment is to measure the spectroscopic factors</w:t>
      </w:r>
      <w:r w:rsidR="000354E5">
        <w:rPr>
          <w:rFonts w:eastAsia="Times"/>
          <w:szCs w:val="20"/>
        </w:rPr>
        <w:t xml:space="preserve"> and spin-</w:t>
      </w:r>
      <w:r w:rsidR="004A753F">
        <w:rPr>
          <w:rFonts w:eastAsia="Times"/>
          <w:szCs w:val="20"/>
        </w:rPr>
        <w:t xml:space="preserve">parities </w:t>
      </w:r>
      <w:r>
        <w:rPr>
          <w:rFonts w:eastAsia="Times"/>
          <w:szCs w:val="20"/>
        </w:rPr>
        <w:t xml:space="preserve">of single particle states in </w:t>
      </w:r>
      <w:r w:rsidR="00B37AB5">
        <w:rPr>
          <w:rFonts w:eastAsia="Times"/>
          <w:szCs w:val="20"/>
          <w:vertAlign w:val="superscript"/>
        </w:rPr>
        <w:t>23</w:t>
      </w:r>
      <w:r w:rsidR="00B37AB5">
        <w:rPr>
          <w:rFonts w:eastAsia="Times"/>
          <w:szCs w:val="20"/>
        </w:rPr>
        <w:t>F,</w:t>
      </w:r>
      <w:r>
        <w:rPr>
          <w:rFonts w:eastAsia="Times"/>
          <w:szCs w:val="20"/>
        </w:rPr>
        <w:t xml:space="preserve"> </w:t>
      </w:r>
      <w:r w:rsidR="00B37AB5">
        <w:rPr>
          <w:rFonts w:eastAsia="Times"/>
          <w:szCs w:val="20"/>
          <w:vertAlign w:val="superscript"/>
        </w:rPr>
        <w:t>21</w:t>
      </w:r>
      <w:r w:rsidR="00B37AB5">
        <w:rPr>
          <w:rFonts w:eastAsia="Times"/>
          <w:szCs w:val="20"/>
        </w:rPr>
        <w:t xml:space="preserve">N, and </w:t>
      </w:r>
      <w:r w:rsidR="00B37AB5">
        <w:rPr>
          <w:rFonts w:eastAsia="Times"/>
          <w:szCs w:val="20"/>
          <w:vertAlign w:val="superscript"/>
        </w:rPr>
        <w:t>25</w:t>
      </w:r>
      <w:r w:rsidR="00B37AB5">
        <w:rPr>
          <w:rFonts w:eastAsia="Times"/>
          <w:szCs w:val="20"/>
        </w:rPr>
        <w:t>F</w:t>
      </w:r>
      <w:r>
        <w:rPr>
          <w:rFonts w:eastAsia="Times"/>
          <w:szCs w:val="20"/>
        </w:rPr>
        <w:t xml:space="preserve"> near the N=14 and N=16 magic numbers. By measuring proton knockout from radioactive </w:t>
      </w:r>
      <w:r>
        <w:rPr>
          <w:rFonts w:eastAsia="Times"/>
          <w:szCs w:val="20"/>
          <w:vertAlign w:val="superscript"/>
        </w:rPr>
        <w:t>24,26</w:t>
      </w:r>
      <w:r>
        <w:rPr>
          <w:rFonts w:eastAsia="Times"/>
          <w:szCs w:val="20"/>
        </w:rPr>
        <w:t xml:space="preserve">Ne we will be able to determine the spectroscopic factors of the low lying states in </w:t>
      </w:r>
      <w:r>
        <w:rPr>
          <w:rFonts w:eastAsia="Times"/>
          <w:szCs w:val="20"/>
          <w:vertAlign w:val="superscript"/>
        </w:rPr>
        <w:t>23,25</w:t>
      </w:r>
      <w:r>
        <w:rPr>
          <w:rFonts w:eastAsia="Times"/>
          <w:szCs w:val="20"/>
        </w:rPr>
        <w:t>F</w:t>
      </w:r>
      <w:r w:rsidR="00DC3FD1">
        <w:rPr>
          <w:rFonts w:eastAsia="Times"/>
          <w:szCs w:val="20"/>
        </w:rPr>
        <w:t xml:space="preserve">. </w:t>
      </w:r>
      <w:r>
        <w:rPr>
          <w:rFonts w:eastAsia="Times"/>
          <w:szCs w:val="20"/>
        </w:rPr>
        <w:t xml:space="preserve">This information is crucial to the further development of </w:t>
      </w:r>
      <w:r>
        <w:rPr>
          <w:rFonts w:eastAsia="Times"/>
          <w:i/>
          <w:szCs w:val="20"/>
        </w:rPr>
        <w:t xml:space="preserve">ab initio </w:t>
      </w:r>
      <w:r>
        <w:rPr>
          <w:rFonts w:eastAsia="Times"/>
          <w:szCs w:val="20"/>
        </w:rPr>
        <w:t>models aiming to correctly describe the behavior of the oxygen</w:t>
      </w:r>
      <w:r w:rsidR="00B37AB5">
        <w:rPr>
          <w:rFonts w:eastAsia="Times"/>
          <w:szCs w:val="20"/>
        </w:rPr>
        <w:t>, and near oxygen</w:t>
      </w:r>
      <w:r>
        <w:rPr>
          <w:rFonts w:eastAsia="Times"/>
          <w:szCs w:val="20"/>
        </w:rPr>
        <w:t xml:space="preserve"> isotopes as they approach the dripline. In additio</w:t>
      </w:r>
      <w:r w:rsidR="00512921">
        <w:rPr>
          <w:rFonts w:eastAsia="Times"/>
          <w:szCs w:val="20"/>
        </w:rPr>
        <w:t>n to the knockout from Ne, prot</w:t>
      </w:r>
      <w:r>
        <w:rPr>
          <w:rFonts w:eastAsia="Times"/>
          <w:szCs w:val="20"/>
        </w:rPr>
        <w:t>on knockout reactions will also be performed using</w:t>
      </w:r>
      <w:r w:rsidR="00B37AB5">
        <w:rPr>
          <w:rFonts w:eastAsia="Times"/>
          <w:szCs w:val="20"/>
        </w:rPr>
        <w:t xml:space="preserve"> a</w:t>
      </w:r>
      <w:r>
        <w:rPr>
          <w:rFonts w:eastAsia="Times"/>
          <w:szCs w:val="20"/>
        </w:rPr>
        <w:t xml:space="preserve"> radioactive </w:t>
      </w:r>
      <w:r w:rsidR="00B37AB5">
        <w:rPr>
          <w:rFonts w:eastAsia="Times"/>
          <w:szCs w:val="20"/>
          <w:vertAlign w:val="superscript"/>
        </w:rPr>
        <w:t>22</w:t>
      </w:r>
      <w:r w:rsidR="00B37AB5">
        <w:rPr>
          <w:rFonts w:eastAsia="Times"/>
          <w:szCs w:val="20"/>
        </w:rPr>
        <w:t>O beam</w:t>
      </w:r>
      <w:r>
        <w:rPr>
          <w:rFonts w:eastAsia="Times"/>
          <w:szCs w:val="20"/>
        </w:rPr>
        <w:t xml:space="preserve">, and a stable </w:t>
      </w:r>
      <w:r>
        <w:rPr>
          <w:rFonts w:eastAsia="Times"/>
          <w:szCs w:val="20"/>
          <w:vertAlign w:val="superscript"/>
        </w:rPr>
        <w:t>16</w:t>
      </w:r>
      <w:r>
        <w:rPr>
          <w:rFonts w:eastAsia="Times"/>
          <w:szCs w:val="20"/>
        </w:rPr>
        <w:t xml:space="preserve">O beam.  The aim of these reactions will be to </w:t>
      </w:r>
      <w:r w:rsidR="00512921">
        <w:rPr>
          <w:rFonts w:eastAsia="Times"/>
          <w:szCs w:val="20"/>
        </w:rPr>
        <w:t xml:space="preserve">understand the underlying structure of the oxygen isotopes. </w:t>
      </w:r>
      <w:r>
        <w:rPr>
          <w:rFonts w:eastAsia="Times"/>
          <w:szCs w:val="20"/>
        </w:rPr>
        <w:t xml:space="preserve">These measurements will further allow us to characterize the nature of the </w:t>
      </w:r>
      <w:r w:rsidR="00B37AB5">
        <w:rPr>
          <w:rFonts w:eastAsia="Times"/>
          <w:szCs w:val="20"/>
        </w:rPr>
        <w:t xml:space="preserve">ground state of the potentially </w:t>
      </w:r>
      <w:r>
        <w:rPr>
          <w:rFonts w:eastAsia="Times"/>
          <w:szCs w:val="20"/>
        </w:rPr>
        <w:t>doubly magic</w:t>
      </w:r>
      <w:r w:rsidR="00B37AB5">
        <w:rPr>
          <w:rFonts w:eastAsia="Times"/>
          <w:szCs w:val="20"/>
        </w:rPr>
        <w:t xml:space="preserve"> </w:t>
      </w:r>
      <w:r w:rsidR="00B37AB5">
        <w:rPr>
          <w:rFonts w:eastAsia="Times"/>
          <w:szCs w:val="20"/>
          <w:vertAlign w:val="superscript"/>
        </w:rPr>
        <w:t>22</w:t>
      </w:r>
      <w:r w:rsidR="00B37AB5">
        <w:rPr>
          <w:rFonts w:eastAsia="Times"/>
          <w:szCs w:val="20"/>
        </w:rPr>
        <w:t>O isotope. At the same time, we will be able to identify excited stat</w:t>
      </w:r>
      <w:r w:rsidR="000C1B67">
        <w:rPr>
          <w:rFonts w:eastAsia="Times"/>
          <w:szCs w:val="20"/>
        </w:rPr>
        <w:t>e</w:t>
      </w:r>
      <w:r w:rsidR="00B37AB5">
        <w:rPr>
          <w:rFonts w:eastAsia="Times"/>
          <w:szCs w:val="20"/>
        </w:rPr>
        <w:t xml:space="preserve">s in </w:t>
      </w:r>
      <w:r w:rsidR="00B37AB5">
        <w:rPr>
          <w:rFonts w:eastAsia="Times"/>
          <w:szCs w:val="20"/>
          <w:vertAlign w:val="superscript"/>
        </w:rPr>
        <w:t>21</w:t>
      </w:r>
      <w:r w:rsidR="00B37AB5">
        <w:rPr>
          <w:rFonts w:eastAsia="Times"/>
          <w:szCs w:val="20"/>
        </w:rPr>
        <w:t>N, an</w:t>
      </w:r>
      <w:r w:rsidR="000C1B67">
        <w:rPr>
          <w:rFonts w:eastAsia="Times"/>
          <w:szCs w:val="20"/>
        </w:rPr>
        <w:t>d make</w:t>
      </w:r>
      <w:r w:rsidR="00B37AB5">
        <w:rPr>
          <w:rFonts w:eastAsia="Times"/>
          <w:szCs w:val="20"/>
        </w:rPr>
        <w:t xml:space="preserve"> spin-parity assignments and </w:t>
      </w:r>
      <w:r w:rsidR="000C1B67">
        <w:rPr>
          <w:rFonts w:eastAsia="Times"/>
          <w:szCs w:val="20"/>
        </w:rPr>
        <w:t xml:space="preserve">determine </w:t>
      </w:r>
      <w:r w:rsidR="00B37AB5">
        <w:rPr>
          <w:rFonts w:eastAsia="Times"/>
          <w:szCs w:val="20"/>
        </w:rPr>
        <w:t>spectroscopic factors to these states.</w:t>
      </w:r>
      <w:r>
        <w:rPr>
          <w:rFonts w:eastAsia="Times"/>
          <w:szCs w:val="20"/>
        </w:rPr>
        <w:t xml:space="preserve"> </w:t>
      </w:r>
      <w:r w:rsidR="000C1B67">
        <w:rPr>
          <w:rFonts w:eastAsia="Times"/>
          <w:szCs w:val="20"/>
        </w:rPr>
        <w:t>Information on these neutron dripline nuclei is crucial for the development of next generation theoretical models.</w:t>
      </w:r>
      <w:r w:rsidR="0001037F">
        <w:rPr>
          <w:rFonts w:eastAsia="Times"/>
          <w:szCs w:val="20"/>
        </w:rPr>
        <w:t xml:space="preserve"> </w:t>
      </w:r>
    </w:p>
    <w:p w:rsidR="00027A25" w:rsidRDefault="002B74E2">
      <w:pPr>
        <w:pStyle w:val="Heading3"/>
        <w:numPr>
          <w:ilvl w:val="0"/>
          <w:numId w:val="6"/>
        </w:numPr>
        <w:spacing w:line="360" w:lineRule="auto"/>
        <w:ind w:left="547" w:hanging="187"/>
      </w:pPr>
      <w:r>
        <w:t>Experimental Details</w:t>
      </w:r>
      <w:r w:rsidR="009349BA">
        <w:t xml:space="preserve"> </w:t>
      </w:r>
    </w:p>
    <w:p w:rsidR="000354E5" w:rsidRDefault="00B20A78" w:rsidP="000354E5">
      <w:pPr>
        <w:pStyle w:val="Heading3"/>
        <w:spacing w:line="360" w:lineRule="auto"/>
        <w:ind w:firstLine="360"/>
        <w:rPr>
          <w:sz w:val="24"/>
          <w:szCs w:val="24"/>
        </w:rPr>
      </w:pPr>
      <w:r w:rsidRPr="0004384E">
        <w:rPr>
          <w:sz w:val="24"/>
          <w:szCs w:val="24"/>
        </w:rPr>
        <w:t xml:space="preserve">We propose to perform one-proton knockout reactions using radioactive </w:t>
      </w:r>
      <w:r w:rsidRPr="0004384E">
        <w:rPr>
          <w:sz w:val="24"/>
          <w:szCs w:val="24"/>
          <w:vertAlign w:val="superscript"/>
        </w:rPr>
        <w:t>24,26</w:t>
      </w:r>
      <w:r w:rsidRPr="0004384E">
        <w:rPr>
          <w:sz w:val="24"/>
          <w:szCs w:val="24"/>
        </w:rPr>
        <w:t xml:space="preserve">Ne and </w:t>
      </w:r>
      <w:r w:rsidR="000354E5">
        <w:rPr>
          <w:sz w:val="24"/>
          <w:szCs w:val="24"/>
          <w:vertAlign w:val="superscript"/>
        </w:rPr>
        <w:t>22</w:t>
      </w:r>
      <w:r w:rsidR="00DA1330" w:rsidRPr="0004384E">
        <w:rPr>
          <w:sz w:val="24"/>
          <w:szCs w:val="24"/>
        </w:rPr>
        <w:t xml:space="preserve">O beams, and a stable </w:t>
      </w:r>
      <w:r w:rsidR="00DA1330" w:rsidRPr="0004384E">
        <w:rPr>
          <w:sz w:val="24"/>
          <w:szCs w:val="24"/>
          <w:vertAlign w:val="superscript"/>
        </w:rPr>
        <w:t>16</w:t>
      </w:r>
      <w:r w:rsidR="00DA1330" w:rsidRPr="0004384E">
        <w:rPr>
          <w:sz w:val="24"/>
          <w:szCs w:val="24"/>
        </w:rPr>
        <w:t>O beam,</w:t>
      </w:r>
      <w:r w:rsidR="00DA1330" w:rsidRPr="0004384E">
        <w:rPr>
          <w:sz w:val="24"/>
          <w:szCs w:val="24"/>
          <w:vertAlign w:val="superscript"/>
        </w:rPr>
        <w:t xml:space="preserve"> </w:t>
      </w:r>
      <w:r w:rsidRPr="0004384E">
        <w:rPr>
          <w:sz w:val="24"/>
          <w:szCs w:val="24"/>
        </w:rPr>
        <w:t>on</w:t>
      </w:r>
      <w:r w:rsidR="0017724F">
        <w:rPr>
          <w:sz w:val="24"/>
          <w:szCs w:val="24"/>
        </w:rPr>
        <w:t xml:space="preserve"> a 281</w:t>
      </w:r>
      <w:r w:rsidRPr="0004384E">
        <w:rPr>
          <w:sz w:val="24"/>
          <w:szCs w:val="24"/>
        </w:rPr>
        <w:t xml:space="preserve"> mg/cm</w:t>
      </w:r>
      <w:r w:rsidRPr="0004384E">
        <w:rPr>
          <w:sz w:val="24"/>
          <w:szCs w:val="24"/>
          <w:vertAlign w:val="superscript"/>
        </w:rPr>
        <w:t>2</w:t>
      </w:r>
      <w:r w:rsidRPr="0004384E">
        <w:rPr>
          <w:sz w:val="24"/>
          <w:szCs w:val="24"/>
        </w:rPr>
        <w:t xml:space="preserve"> thick </w:t>
      </w:r>
      <w:r w:rsidRPr="0004384E">
        <w:rPr>
          <w:sz w:val="24"/>
          <w:szCs w:val="24"/>
          <w:vertAlign w:val="superscript"/>
        </w:rPr>
        <w:t>9</w:t>
      </w:r>
      <w:r w:rsidRPr="0004384E">
        <w:rPr>
          <w:sz w:val="24"/>
          <w:szCs w:val="24"/>
        </w:rPr>
        <w:t>Be target. The target will be placed at the pivot location of the S800 spectrograph, and will be surrounded by the G</w:t>
      </w:r>
      <w:r w:rsidR="00512921">
        <w:rPr>
          <w:sz w:val="24"/>
          <w:szCs w:val="24"/>
        </w:rPr>
        <w:t>RETINA</w:t>
      </w:r>
      <w:r w:rsidRPr="0004384E">
        <w:rPr>
          <w:sz w:val="24"/>
          <w:szCs w:val="24"/>
        </w:rPr>
        <w:t xml:space="preserve"> </w:t>
      </w:r>
      <w:r w:rsidR="000354E5">
        <w:rPr>
          <w:sz w:val="24"/>
          <w:szCs w:val="24"/>
        </w:rPr>
        <w:t>detector setup</w:t>
      </w:r>
      <w:r w:rsidRPr="0004384E">
        <w:rPr>
          <w:sz w:val="24"/>
          <w:szCs w:val="24"/>
        </w:rPr>
        <w:t xml:space="preserve">. The knockout residues will be detected on an event by event basis in the S800 spectrograph, while de-excitation </w:t>
      </w:r>
      <w:r w:rsidRPr="0004384E">
        <w:rPr>
          <w:sz w:val="24"/>
          <w:szCs w:val="24"/>
        </w:rPr>
        <w:t>γ-ray</w:t>
      </w:r>
      <w:r w:rsidRPr="0004384E">
        <w:rPr>
          <w:sz w:val="24"/>
          <w:szCs w:val="24"/>
        </w:rPr>
        <w:t>s are dete</w:t>
      </w:r>
      <w:r w:rsidR="00512921">
        <w:rPr>
          <w:sz w:val="24"/>
          <w:szCs w:val="24"/>
        </w:rPr>
        <w:t>cted in coincidence with GRETINA</w:t>
      </w:r>
      <w:r w:rsidRPr="0004384E">
        <w:rPr>
          <w:sz w:val="24"/>
          <w:szCs w:val="24"/>
        </w:rPr>
        <w:t>.</w:t>
      </w:r>
      <w:r w:rsidR="0004384E" w:rsidRPr="0004384E">
        <w:rPr>
          <w:sz w:val="24"/>
          <w:szCs w:val="24"/>
        </w:rPr>
        <w:t xml:space="preserve"> </w:t>
      </w:r>
      <w:r w:rsidRPr="0004384E">
        <w:rPr>
          <w:sz w:val="24"/>
          <w:szCs w:val="24"/>
        </w:rPr>
        <w:t xml:space="preserve">The </w:t>
      </w:r>
      <w:r w:rsidR="000354E5">
        <w:rPr>
          <w:sz w:val="24"/>
          <w:szCs w:val="24"/>
        </w:rPr>
        <w:t>proposal involves four</w:t>
      </w:r>
      <w:r w:rsidRPr="0004384E">
        <w:rPr>
          <w:sz w:val="24"/>
          <w:szCs w:val="24"/>
        </w:rPr>
        <w:t xml:space="preserve"> secondary beams, all of which are produced from a </w:t>
      </w:r>
      <w:r w:rsidRPr="0004384E">
        <w:rPr>
          <w:sz w:val="24"/>
          <w:szCs w:val="24"/>
          <w:vertAlign w:val="superscript"/>
        </w:rPr>
        <w:t>48</w:t>
      </w:r>
      <w:r w:rsidRPr="0004384E">
        <w:rPr>
          <w:sz w:val="24"/>
          <w:szCs w:val="24"/>
        </w:rPr>
        <w:t>Ca primary beam, being delivered to the S3 vault.</w:t>
      </w:r>
      <w:r w:rsidR="00DA1330" w:rsidRPr="0004384E">
        <w:rPr>
          <w:sz w:val="24"/>
          <w:szCs w:val="24"/>
        </w:rPr>
        <w:t xml:space="preserve"> The rate estimates for the radioactive </w:t>
      </w:r>
      <w:r w:rsidR="0010226C" w:rsidRPr="0004384E">
        <w:rPr>
          <w:sz w:val="24"/>
          <w:szCs w:val="24"/>
          <w:vertAlign w:val="superscript"/>
        </w:rPr>
        <w:t>26</w:t>
      </w:r>
      <w:r w:rsidR="0010226C" w:rsidRPr="0004384E">
        <w:rPr>
          <w:sz w:val="24"/>
          <w:szCs w:val="24"/>
        </w:rPr>
        <w:t xml:space="preserve">Ne and </w:t>
      </w:r>
      <w:r w:rsidR="000354E5">
        <w:rPr>
          <w:sz w:val="24"/>
          <w:szCs w:val="24"/>
          <w:vertAlign w:val="superscript"/>
        </w:rPr>
        <w:t>22</w:t>
      </w:r>
      <w:r w:rsidR="0010226C" w:rsidRPr="0004384E">
        <w:rPr>
          <w:sz w:val="24"/>
          <w:szCs w:val="24"/>
        </w:rPr>
        <w:t xml:space="preserve">O beams are based on yield </w:t>
      </w:r>
      <w:r w:rsidR="0010226C" w:rsidRPr="0004384E">
        <w:rPr>
          <w:sz w:val="24"/>
          <w:szCs w:val="24"/>
        </w:rPr>
        <w:lastRenderedPageBreak/>
        <w:t>measurements performed for NSCL Experiments 07502, 08029</w:t>
      </w:r>
      <w:r w:rsidR="008C069E" w:rsidRPr="0004384E">
        <w:rPr>
          <w:sz w:val="24"/>
          <w:szCs w:val="24"/>
        </w:rPr>
        <w:t xml:space="preserve"> and are scaled using LISE++ calculations with the EPAX31.a parameterization</w:t>
      </w:r>
      <w:r w:rsidR="0010226C" w:rsidRPr="0004384E">
        <w:rPr>
          <w:sz w:val="24"/>
          <w:szCs w:val="24"/>
        </w:rPr>
        <w:t>.</w:t>
      </w:r>
      <w:r w:rsidR="000354E5">
        <w:rPr>
          <w:sz w:val="24"/>
          <w:szCs w:val="24"/>
        </w:rPr>
        <w:t xml:space="preserve"> The rate estimates</w:t>
      </w:r>
      <w:r w:rsidR="0010226C" w:rsidRPr="0004384E">
        <w:rPr>
          <w:sz w:val="24"/>
          <w:szCs w:val="24"/>
        </w:rPr>
        <w:t xml:space="preserve"> for the radioactive </w:t>
      </w:r>
      <w:r w:rsidR="0010226C" w:rsidRPr="0004384E">
        <w:rPr>
          <w:sz w:val="24"/>
          <w:szCs w:val="24"/>
          <w:vertAlign w:val="superscript"/>
        </w:rPr>
        <w:t>24</w:t>
      </w:r>
      <w:r w:rsidR="0010226C" w:rsidRPr="0004384E">
        <w:rPr>
          <w:sz w:val="24"/>
          <w:szCs w:val="24"/>
        </w:rPr>
        <w:t xml:space="preserve">Ne beam, and the stable </w:t>
      </w:r>
      <w:r w:rsidR="0010226C" w:rsidRPr="0004384E">
        <w:rPr>
          <w:sz w:val="24"/>
          <w:szCs w:val="24"/>
          <w:vertAlign w:val="superscript"/>
        </w:rPr>
        <w:t>16</w:t>
      </w:r>
      <w:r w:rsidR="0010226C" w:rsidRPr="0004384E">
        <w:rPr>
          <w:sz w:val="24"/>
          <w:szCs w:val="24"/>
        </w:rPr>
        <w:t>O beam are estimated through LISE++ calculations</w:t>
      </w:r>
      <w:r w:rsidR="008C069E" w:rsidRPr="0004384E">
        <w:rPr>
          <w:sz w:val="24"/>
          <w:szCs w:val="24"/>
        </w:rPr>
        <w:t>, also</w:t>
      </w:r>
      <w:r w:rsidR="0010226C" w:rsidRPr="0004384E">
        <w:rPr>
          <w:sz w:val="24"/>
          <w:szCs w:val="24"/>
        </w:rPr>
        <w:t xml:space="preserve"> using the </w:t>
      </w:r>
      <w:r w:rsidR="009F2E72" w:rsidRPr="0004384E">
        <w:rPr>
          <w:sz w:val="24"/>
          <w:szCs w:val="24"/>
        </w:rPr>
        <w:t>EPAX3.1a parameterization.</w:t>
      </w:r>
      <w:r w:rsidR="008C069E" w:rsidRPr="0004384E">
        <w:rPr>
          <w:sz w:val="24"/>
          <w:szCs w:val="24"/>
        </w:rPr>
        <w:t xml:space="preserve"> For the radioactive </w:t>
      </w:r>
      <w:r w:rsidR="000354E5">
        <w:rPr>
          <w:sz w:val="24"/>
          <w:szCs w:val="24"/>
          <w:vertAlign w:val="superscript"/>
        </w:rPr>
        <w:t>22</w:t>
      </w:r>
      <w:r w:rsidR="000354E5">
        <w:rPr>
          <w:sz w:val="24"/>
          <w:szCs w:val="24"/>
        </w:rPr>
        <w:t>O beams</w:t>
      </w:r>
      <w:r w:rsidR="008C069E" w:rsidRPr="0004384E">
        <w:rPr>
          <w:sz w:val="24"/>
          <w:szCs w:val="24"/>
        </w:rPr>
        <w:t xml:space="preserve"> the primary </w:t>
      </w:r>
      <w:r w:rsidR="0004384E" w:rsidRPr="0004384E">
        <w:rPr>
          <w:sz w:val="24"/>
          <w:szCs w:val="24"/>
        </w:rPr>
        <w:t xml:space="preserve">9Be </w:t>
      </w:r>
      <w:r w:rsidR="008C069E" w:rsidRPr="0004384E">
        <w:rPr>
          <w:sz w:val="24"/>
          <w:szCs w:val="24"/>
        </w:rPr>
        <w:t>target will be 1128 mg/cm</w:t>
      </w:r>
      <w:r w:rsidR="008C069E" w:rsidRPr="0004384E">
        <w:rPr>
          <w:sz w:val="24"/>
          <w:szCs w:val="24"/>
          <w:vertAlign w:val="superscript"/>
        </w:rPr>
        <w:t xml:space="preserve">2 </w:t>
      </w:r>
      <w:r w:rsidR="008C069E" w:rsidRPr="0004384E">
        <w:rPr>
          <w:sz w:val="24"/>
          <w:szCs w:val="24"/>
        </w:rPr>
        <w:t>while the aluminum wedge used will be 1000 mg/cm</w:t>
      </w:r>
      <w:r w:rsidR="008C069E" w:rsidRPr="0004384E">
        <w:rPr>
          <w:sz w:val="24"/>
          <w:szCs w:val="24"/>
          <w:vertAlign w:val="superscript"/>
        </w:rPr>
        <w:t>2</w:t>
      </w:r>
      <w:r w:rsidR="008C069E" w:rsidRPr="0004384E">
        <w:rPr>
          <w:sz w:val="24"/>
          <w:szCs w:val="24"/>
        </w:rPr>
        <w:t>.  The combination of thick primary target and wedge were c</w:t>
      </w:r>
      <w:r w:rsidR="0004384E" w:rsidRPr="0004384E">
        <w:rPr>
          <w:sz w:val="24"/>
          <w:szCs w:val="24"/>
        </w:rPr>
        <w:t>hosen such that th</w:t>
      </w:r>
      <w:r w:rsidR="008C069E" w:rsidRPr="0004384E">
        <w:rPr>
          <w:sz w:val="24"/>
          <w:szCs w:val="24"/>
        </w:rPr>
        <w:t xml:space="preserve">e </w:t>
      </w:r>
      <w:r w:rsidR="00B00335" w:rsidRPr="0004384E">
        <w:rPr>
          <w:sz w:val="24"/>
          <w:szCs w:val="24"/>
        </w:rPr>
        <w:t xml:space="preserve">knockout residues will be at a </w:t>
      </w:r>
      <w:r w:rsidR="0004384E" w:rsidRPr="0004384E">
        <w:rPr>
          <w:sz w:val="24"/>
          <w:szCs w:val="24"/>
        </w:rPr>
        <w:t>low enough energy to be detectable</w:t>
      </w:r>
      <w:r w:rsidR="00B00335" w:rsidRPr="0004384E">
        <w:rPr>
          <w:sz w:val="24"/>
          <w:szCs w:val="24"/>
        </w:rPr>
        <w:t xml:space="preserve"> by the S800. The estimated beam rate for </w:t>
      </w:r>
      <w:r w:rsidR="00B00335" w:rsidRPr="0004384E">
        <w:rPr>
          <w:sz w:val="24"/>
          <w:szCs w:val="24"/>
          <w:vertAlign w:val="superscript"/>
        </w:rPr>
        <w:t>22</w:t>
      </w:r>
      <w:r w:rsidR="00B00335" w:rsidRPr="0004384E">
        <w:rPr>
          <w:sz w:val="24"/>
          <w:szCs w:val="24"/>
        </w:rPr>
        <w:t xml:space="preserve">O is 111 </w:t>
      </w:r>
      <w:proofErr w:type="spellStart"/>
      <w:r w:rsidR="00B00335" w:rsidRPr="0004384E">
        <w:rPr>
          <w:sz w:val="24"/>
          <w:szCs w:val="24"/>
        </w:rPr>
        <w:t>pps</w:t>
      </w:r>
      <w:proofErr w:type="spellEnd"/>
      <w:r w:rsidR="00B00335" w:rsidRPr="0004384E">
        <w:rPr>
          <w:sz w:val="24"/>
          <w:szCs w:val="24"/>
        </w:rPr>
        <w:t>/</w:t>
      </w:r>
      <w:proofErr w:type="spellStart"/>
      <w:r w:rsidR="00B00335" w:rsidRPr="0004384E">
        <w:rPr>
          <w:sz w:val="24"/>
          <w:szCs w:val="24"/>
        </w:rPr>
        <w:t>pnA</w:t>
      </w:r>
      <w:proofErr w:type="spellEnd"/>
      <w:r w:rsidR="00B00335" w:rsidRPr="0004384E">
        <w:rPr>
          <w:sz w:val="24"/>
          <w:szCs w:val="24"/>
        </w:rPr>
        <w:t>, with the momentum acceptance</w:t>
      </w:r>
      <w:r w:rsidR="0049410D" w:rsidRPr="0004384E">
        <w:rPr>
          <w:sz w:val="24"/>
          <w:szCs w:val="24"/>
        </w:rPr>
        <w:t xml:space="preserve"> for the A1900</w:t>
      </w:r>
      <w:r w:rsidR="00B00335" w:rsidRPr="0004384E">
        <w:rPr>
          <w:sz w:val="24"/>
          <w:szCs w:val="24"/>
        </w:rPr>
        <w:t xml:space="preserve"> set to 3%.  With the full primary beam intensity of 80 </w:t>
      </w:r>
      <w:proofErr w:type="spellStart"/>
      <w:r w:rsidR="00B00335" w:rsidRPr="0004384E">
        <w:rPr>
          <w:sz w:val="24"/>
          <w:szCs w:val="24"/>
        </w:rPr>
        <w:t>pnA</w:t>
      </w:r>
      <w:proofErr w:type="spellEnd"/>
      <w:r w:rsidR="00B00335" w:rsidRPr="0004384E">
        <w:rPr>
          <w:sz w:val="24"/>
          <w:szCs w:val="24"/>
        </w:rPr>
        <w:t xml:space="preserve"> the result is an absolute </w:t>
      </w:r>
      <w:r w:rsidR="00B00335" w:rsidRPr="0004384E">
        <w:rPr>
          <w:sz w:val="24"/>
          <w:szCs w:val="24"/>
          <w:vertAlign w:val="superscript"/>
        </w:rPr>
        <w:t>22</w:t>
      </w:r>
      <w:r w:rsidR="00B00335" w:rsidRPr="0004384E">
        <w:rPr>
          <w:sz w:val="24"/>
          <w:szCs w:val="24"/>
        </w:rPr>
        <w:t>O beam rate of 8.8x10</w:t>
      </w:r>
      <w:r w:rsidR="00B00335" w:rsidRPr="0004384E">
        <w:rPr>
          <w:sz w:val="24"/>
          <w:szCs w:val="24"/>
          <w:vertAlign w:val="superscript"/>
        </w:rPr>
        <w:t xml:space="preserve">3 </w:t>
      </w:r>
      <w:proofErr w:type="spellStart"/>
      <w:r w:rsidR="00B00335" w:rsidRPr="0004384E">
        <w:rPr>
          <w:sz w:val="24"/>
          <w:szCs w:val="24"/>
        </w:rPr>
        <w:t>pps</w:t>
      </w:r>
      <w:proofErr w:type="spellEnd"/>
      <w:r w:rsidR="00B00335" w:rsidRPr="0004384E">
        <w:rPr>
          <w:sz w:val="24"/>
          <w:szCs w:val="24"/>
        </w:rPr>
        <w:t xml:space="preserve">. </w:t>
      </w:r>
    </w:p>
    <w:p w:rsidR="004779EA" w:rsidRDefault="00B00335" w:rsidP="000354E5">
      <w:pPr>
        <w:pStyle w:val="Heading3"/>
        <w:spacing w:line="360" w:lineRule="auto"/>
        <w:ind w:firstLine="360"/>
        <w:rPr>
          <w:sz w:val="24"/>
          <w:szCs w:val="24"/>
        </w:rPr>
      </w:pPr>
      <w:r w:rsidRPr="0004384E">
        <w:rPr>
          <w:sz w:val="24"/>
          <w:szCs w:val="24"/>
        </w:rPr>
        <w:t xml:space="preserve">The radioactive </w:t>
      </w:r>
      <w:r w:rsidRPr="0004384E">
        <w:rPr>
          <w:sz w:val="24"/>
          <w:szCs w:val="24"/>
          <w:vertAlign w:val="superscript"/>
        </w:rPr>
        <w:t>24,26</w:t>
      </w:r>
      <w:r w:rsidRPr="0004384E">
        <w:rPr>
          <w:sz w:val="24"/>
          <w:szCs w:val="24"/>
        </w:rPr>
        <w:t xml:space="preserve">Ne beams will be produced </w:t>
      </w:r>
      <w:r w:rsidR="0049410D" w:rsidRPr="0004384E">
        <w:rPr>
          <w:sz w:val="24"/>
          <w:szCs w:val="24"/>
        </w:rPr>
        <w:t xml:space="preserve">using </w:t>
      </w:r>
      <w:r w:rsidRPr="0004384E">
        <w:rPr>
          <w:sz w:val="24"/>
          <w:szCs w:val="24"/>
        </w:rPr>
        <w:t xml:space="preserve">primary </w:t>
      </w:r>
      <w:r w:rsidRPr="0004384E">
        <w:rPr>
          <w:sz w:val="24"/>
          <w:szCs w:val="24"/>
          <w:vertAlign w:val="superscript"/>
        </w:rPr>
        <w:t>9</w:t>
      </w:r>
      <w:r w:rsidRPr="0004384E">
        <w:rPr>
          <w:sz w:val="24"/>
          <w:szCs w:val="24"/>
        </w:rPr>
        <w:t>Be target</w:t>
      </w:r>
      <w:r w:rsidR="0049410D" w:rsidRPr="0004384E">
        <w:rPr>
          <w:sz w:val="24"/>
          <w:szCs w:val="24"/>
        </w:rPr>
        <w:t xml:space="preserve">s with thicknesses of </w:t>
      </w:r>
      <w:r w:rsidRPr="0004384E">
        <w:rPr>
          <w:sz w:val="24"/>
          <w:szCs w:val="24"/>
        </w:rPr>
        <w:t>770 mg/cm</w:t>
      </w:r>
      <w:r w:rsidRPr="0004384E">
        <w:rPr>
          <w:sz w:val="24"/>
          <w:szCs w:val="24"/>
          <w:vertAlign w:val="superscript"/>
        </w:rPr>
        <w:t>2</w:t>
      </w:r>
      <w:r w:rsidRPr="0004384E">
        <w:rPr>
          <w:sz w:val="24"/>
          <w:szCs w:val="24"/>
        </w:rPr>
        <w:t xml:space="preserve"> </w:t>
      </w:r>
      <w:r w:rsidR="0049410D" w:rsidRPr="0004384E">
        <w:rPr>
          <w:sz w:val="24"/>
          <w:szCs w:val="24"/>
        </w:rPr>
        <w:t>and 1222 mg/cm</w:t>
      </w:r>
      <w:r w:rsidR="0049410D" w:rsidRPr="0004384E">
        <w:rPr>
          <w:sz w:val="24"/>
          <w:szCs w:val="24"/>
          <w:vertAlign w:val="superscript"/>
        </w:rPr>
        <w:t>2</w:t>
      </w:r>
      <w:r w:rsidR="0049410D" w:rsidRPr="0004384E">
        <w:rPr>
          <w:sz w:val="24"/>
          <w:szCs w:val="24"/>
        </w:rPr>
        <w:t xml:space="preserve"> and</w:t>
      </w:r>
      <w:r w:rsidR="004779EA">
        <w:rPr>
          <w:sz w:val="24"/>
          <w:szCs w:val="24"/>
        </w:rPr>
        <w:t xml:space="preserve"> an</w:t>
      </w:r>
      <w:r w:rsidR="0049410D" w:rsidRPr="0004384E">
        <w:rPr>
          <w:sz w:val="24"/>
          <w:szCs w:val="24"/>
        </w:rPr>
        <w:t xml:space="preserve"> Al</w:t>
      </w:r>
      <w:r w:rsidRPr="0004384E">
        <w:rPr>
          <w:sz w:val="24"/>
          <w:szCs w:val="24"/>
        </w:rPr>
        <w:t xml:space="preserve"> wedge</w:t>
      </w:r>
      <w:r w:rsidR="0049410D" w:rsidRPr="0004384E">
        <w:rPr>
          <w:sz w:val="24"/>
          <w:szCs w:val="24"/>
        </w:rPr>
        <w:t xml:space="preserve"> degrader</w:t>
      </w:r>
      <w:r w:rsidRPr="0004384E">
        <w:rPr>
          <w:sz w:val="24"/>
          <w:szCs w:val="24"/>
        </w:rPr>
        <w:t xml:space="preserve"> of thickness</w:t>
      </w:r>
      <w:r w:rsidR="0049410D" w:rsidRPr="0004384E">
        <w:rPr>
          <w:sz w:val="24"/>
          <w:szCs w:val="24"/>
        </w:rPr>
        <w:t>es</w:t>
      </w:r>
      <w:r w:rsidRPr="0004384E">
        <w:rPr>
          <w:sz w:val="24"/>
          <w:szCs w:val="24"/>
        </w:rPr>
        <w:t xml:space="preserve"> </w:t>
      </w:r>
      <w:r w:rsidR="0049410D" w:rsidRPr="0004384E">
        <w:rPr>
          <w:sz w:val="24"/>
          <w:szCs w:val="24"/>
        </w:rPr>
        <w:t>of 400 mg/cm</w:t>
      </w:r>
      <w:r w:rsidR="0049410D" w:rsidRPr="0004384E">
        <w:rPr>
          <w:sz w:val="24"/>
          <w:szCs w:val="24"/>
          <w:vertAlign w:val="superscript"/>
        </w:rPr>
        <w:t>2</w:t>
      </w:r>
      <w:r w:rsidR="0049410D" w:rsidRPr="0004384E">
        <w:rPr>
          <w:sz w:val="24"/>
          <w:szCs w:val="24"/>
        </w:rPr>
        <w:t xml:space="preserve"> and 510 mg/cm</w:t>
      </w:r>
      <w:r w:rsidR="0049410D" w:rsidRPr="0004384E">
        <w:rPr>
          <w:sz w:val="24"/>
          <w:szCs w:val="24"/>
          <w:vertAlign w:val="superscript"/>
        </w:rPr>
        <w:t>2</w:t>
      </w:r>
      <w:r w:rsidR="0049410D" w:rsidRPr="0004384E">
        <w:rPr>
          <w:sz w:val="24"/>
          <w:szCs w:val="24"/>
        </w:rPr>
        <w:t xml:space="preserve"> respectively.  The estimated absolute beam rate for the </w:t>
      </w:r>
      <w:r w:rsidR="0049410D" w:rsidRPr="0004384E">
        <w:rPr>
          <w:sz w:val="24"/>
          <w:szCs w:val="24"/>
          <w:vertAlign w:val="superscript"/>
        </w:rPr>
        <w:t>24</w:t>
      </w:r>
      <w:r w:rsidR="0049410D" w:rsidRPr="0004384E">
        <w:rPr>
          <w:sz w:val="24"/>
          <w:szCs w:val="24"/>
        </w:rPr>
        <w:t>Ne is 3.8x10</w:t>
      </w:r>
      <w:r w:rsidR="0049410D" w:rsidRPr="0004384E">
        <w:rPr>
          <w:sz w:val="24"/>
          <w:szCs w:val="24"/>
          <w:vertAlign w:val="superscript"/>
        </w:rPr>
        <w:t>5</w:t>
      </w:r>
      <w:r w:rsidR="0049410D" w:rsidRPr="0004384E">
        <w:rPr>
          <w:sz w:val="24"/>
          <w:szCs w:val="24"/>
        </w:rPr>
        <w:t xml:space="preserve"> </w:t>
      </w:r>
      <w:proofErr w:type="spellStart"/>
      <w:r w:rsidR="0049410D" w:rsidRPr="0004384E">
        <w:rPr>
          <w:sz w:val="24"/>
          <w:szCs w:val="24"/>
        </w:rPr>
        <w:t>pps</w:t>
      </w:r>
      <w:proofErr w:type="spellEnd"/>
      <w:r w:rsidR="0049410D" w:rsidRPr="0004384E">
        <w:rPr>
          <w:sz w:val="24"/>
          <w:szCs w:val="24"/>
        </w:rPr>
        <w:t xml:space="preserve">, while the estimated absolute beam rate for the </w:t>
      </w:r>
      <w:r w:rsidR="0049410D" w:rsidRPr="0004384E">
        <w:rPr>
          <w:sz w:val="24"/>
          <w:szCs w:val="24"/>
          <w:vertAlign w:val="superscript"/>
        </w:rPr>
        <w:t>26</w:t>
      </w:r>
      <w:r w:rsidR="0049410D" w:rsidRPr="0004384E">
        <w:rPr>
          <w:sz w:val="24"/>
          <w:szCs w:val="24"/>
        </w:rPr>
        <w:t>Ne beam is 4.2x10</w:t>
      </w:r>
      <w:r w:rsidR="0049410D" w:rsidRPr="0004384E">
        <w:rPr>
          <w:sz w:val="24"/>
          <w:szCs w:val="24"/>
          <w:vertAlign w:val="superscript"/>
        </w:rPr>
        <w:t>4</w:t>
      </w:r>
      <w:r w:rsidR="0049410D" w:rsidRPr="0004384E">
        <w:rPr>
          <w:sz w:val="24"/>
          <w:szCs w:val="24"/>
        </w:rPr>
        <w:t xml:space="preserve"> </w:t>
      </w:r>
      <w:proofErr w:type="spellStart"/>
      <w:r w:rsidR="0049410D" w:rsidRPr="0004384E">
        <w:rPr>
          <w:sz w:val="24"/>
          <w:szCs w:val="24"/>
        </w:rPr>
        <w:t>pps</w:t>
      </w:r>
      <w:proofErr w:type="spellEnd"/>
      <w:r w:rsidR="0049410D" w:rsidRPr="0004384E">
        <w:rPr>
          <w:sz w:val="24"/>
          <w:szCs w:val="24"/>
        </w:rPr>
        <w:t>. The momentum acceptances for the A1900 will be 1% for both of these beams.</w:t>
      </w:r>
      <w:r w:rsidR="00545775">
        <w:rPr>
          <w:sz w:val="24"/>
          <w:szCs w:val="24"/>
        </w:rPr>
        <w:t xml:space="preserve"> </w:t>
      </w:r>
    </w:p>
    <w:p w:rsidR="0049410D" w:rsidRPr="006E447D" w:rsidRDefault="00545775" w:rsidP="004779EA">
      <w:pPr>
        <w:pStyle w:val="Heading3"/>
        <w:spacing w:line="360" w:lineRule="auto"/>
        <w:ind w:firstLine="540"/>
        <w:rPr>
          <w:sz w:val="24"/>
          <w:szCs w:val="24"/>
        </w:rPr>
      </w:pPr>
      <w:r>
        <w:rPr>
          <w:sz w:val="24"/>
          <w:szCs w:val="24"/>
        </w:rPr>
        <w:t xml:space="preserve">A summary of the </w:t>
      </w:r>
      <w:r w:rsidR="006E447D">
        <w:rPr>
          <w:sz w:val="24"/>
          <w:szCs w:val="24"/>
        </w:rPr>
        <w:t xml:space="preserve">beams requested on target, as well as their absolute beam rates, and the time needed to develop and take measurements with each beam is displayed in Table 1. Also in Table 1 the sensitivity, in </w:t>
      </w:r>
      <w:proofErr w:type="spellStart"/>
      <w:r w:rsidR="006E447D">
        <w:rPr>
          <w:sz w:val="24"/>
          <w:szCs w:val="24"/>
        </w:rPr>
        <w:t>millibarns</w:t>
      </w:r>
      <w:proofErr w:type="spellEnd"/>
      <w:r w:rsidR="006E447D">
        <w:rPr>
          <w:sz w:val="24"/>
          <w:szCs w:val="24"/>
        </w:rPr>
        <w:t>, of the measurement with the requested time on target is shown with the desired number of counts to achieve this sensitivity.</w:t>
      </w:r>
      <w:r w:rsidR="001A625B">
        <w:rPr>
          <w:sz w:val="24"/>
          <w:szCs w:val="24"/>
        </w:rPr>
        <w:t xml:space="preserve"> All calculations performed in Table 1 utilized an efficiency of 8% for GRETINA and 100% for the S800.</w:t>
      </w:r>
      <w:r w:rsidR="006E447D">
        <w:rPr>
          <w:sz w:val="24"/>
          <w:szCs w:val="24"/>
        </w:rPr>
        <w:t xml:space="preserve"> It should be noted that due to the similarity in the magnetic rigidity settings for the A1900, the time required to retune between the oxygen and neon isotopes is reduced from 3 hours to 0 hours; this is the reason for the reduction in the time required to ch</w:t>
      </w:r>
      <w:bookmarkStart w:id="0" w:name="_GoBack"/>
      <w:bookmarkEnd w:id="0"/>
      <w:r w:rsidR="006E447D">
        <w:rPr>
          <w:sz w:val="24"/>
          <w:szCs w:val="24"/>
        </w:rPr>
        <w:t xml:space="preserve">ange the beam after the first beam is produced. </w:t>
      </w:r>
      <w:r w:rsidR="00133825">
        <w:rPr>
          <w:sz w:val="24"/>
          <w:szCs w:val="24"/>
        </w:rPr>
        <w:t>In addition, the change time is composed of 6 hours to dev</w:t>
      </w:r>
      <w:r w:rsidR="001A625B">
        <w:rPr>
          <w:sz w:val="24"/>
          <w:szCs w:val="24"/>
        </w:rPr>
        <w:t xml:space="preserve">elop the </w:t>
      </w:r>
      <w:r w:rsidR="0001037F">
        <w:rPr>
          <w:sz w:val="24"/>
          <w:szCs w:val="24"/>
        </w:rPr>
        <w:t>secondary</w:t>
      </w:r>
      <w:r w:rsidR="001A625B">
        <w:rPr>
          <w:sz w:val="24"/>
          <w:szCs w:val="24"/>
        </w:rPr>
        <w:t xml:space="preserve"> beam, and 4</w:t>
      </w:r>
      <w:r w:rsidR="00133825">
        <w:rPr>
          <w:sz w:val="24"/>
          <w:szCs w:val="24"/>
        </w:rPr>
        <w:t xml:space="preserve"> hour</w:t>
      </w:r>
      <w:r w:rsidR="001A625B">
        <w:rPr>
          <w:sz w:val="24"/>
          <w:szCs w:val="24"/>
        </w:rPr>
        <w:t>s</w:t>
      </w:r>
      <w:r w:rsidR="00133825">
        <w:rPr>
          <w:sz w:val="24"/>
          <w:szCs w:val="24"/>
        </w:rPr>
        <w:t xml:space="preserve"> to tune the S800 to the correct setting. Taking t</w:t>
      </w:r>
      <w:r w:rsidR="001A625B">
        <w:rPr>
          <w:sz w:val="24"/>
          <w:szCs w:val="24"/>
        </w:rPr>
        <w:t xml:space="preserve">hese factors into consideration, the total requested beam time for the entire measurement is </w:t>
      </w:r>
      <w:r w:rsidR="0001037F">
        <w:rPr>
          <w:sz w:val="24"/>
          <w:szCs w:val="24"/>
        </w:rPr>
        <w:t>70</w:t>
      </w:r>
      <w:r w:rsidR="001A625B">
        <w:rPr>
          <w:sz w:val="24"/>
          <w:szCs w:val="24"/>
        </w:rPr>
        <w:t xml:space="preserve"> hours.</w:t>
      </w:r>
    </w:p>
    <w:p w:rsidR="00027A25" w:rsidRDefault="00EB2A03">
      <w:pPr>
        <w:pStyle w:val="Heading3"/>
        <w:numPr>
          <w:ilvl w:val="0"/>
          <w:numId w:val="6"/>
        </w:numPr>
        <w:spacing w:line="360" w:lineRule="auto"/>
      </w:pPr>
      <w:r w:rsidRPr="009349BA">
        <w:t>Supplemental Information (</w:t>
      </w:r>
      <w:r w:rsidR="009349BA">
        <w:t>F</w:t>
      </w:r>
      <w:r w:rsidRPr="009349BA">
        <w:t xml:space="preserve">igures, </w:t>
      </w:r>
      <w:r w:rsidR="009349BA">
        <w:t>T</w:t>
      </w:r>
      <w:r w:rsidRPr="009349BA">
        <w:t xml:space="preserve">ables, </w:t>
      </w:r>
      <w:r w:rsidR="009349BA">
        <w:t>R</w:t>
      </w:r>
      <w:r w:rsidRPr="009349BA">
        <w:t>eferences,</w:t>
      </w:r>
      <w:r w:rsidR="0083580B">
        <w:t xml:space="preserve"> etc.</w:t>
      </w:r>
      <w:r w:rsidR="004F784A">
        <w:t>,</w:t>
      </w:r>
      <w:r w:rsidR="004F784A" w:rsidRPr="004F784A">
        <w:t xml:space="preserve"> </w:t>
      </w:r>
      <w:r w:rsidR="004F784A">
        <w:t>including one figure that depicts the layout of the experimental apparatus)</w:t>
      </w:r>
    </w:p>
    <w:p w:rsidR="001A625B" w:rsidRDefault="001A625B" w:rsidP="001A625B"/>
    <w:p w:rsidR="001A625B" w:rsidRDefault="001A625B" w:rsidP="001A625B"/>
    <w:p w:rsidR="001A625B" w:rsidRDefault="001A625B" w:rsidP="001A625B"/>
    <w:p w:rsidR="001A625B" w:rsidRDefault="001A625B" w:rsidP="001A625B"/>
    <w:p w:rsidR="001A625B" w:rsidRDefault="001A625B" w:rsidP="001A625B"/>
    <w:p w:rsidR="001A625B" w:rsidRDefault="001A625B" w:rsidP="001A625B"/>
    <w:p w:rsidR="001A625B" w:rsidRPr="001A625B" w:rsidRDefault="001A625B" w:rsidP="001A625B"/>
    <w:tbl>
      <w:tblPr>
        <w:tblStyle w:val="TableGrid"/>
        <w:tblW w:w="0" w:type="auto"/>
        <w:tblLook w:val="04A0" w:firstRow="1" w:lastRow="0" w:firstColumn="1" w:lastColumn="0" w:noHBand="0" w:noVBand="1"/>
      </w:tblPr>
      <w:tblGrid>
        <w:gridCol w:w="809"/>
        <w:gridCol w:w="1169"/>
        <w:gridCol w:w="1373"/>
        <w:gridCol w:w="1304"/>
        <w:gridCol w:w="1116"/>
        <w:gridCol w:w="1653"/>
        <w:gridCol w:w="1147"/>
        <w:gridCol w:w="779"/>
      </w:tblGrid>
      <w:tr w:rsidR="00133825" w:rsidTr="00133825">
        <w:tc>
          <w:tcPr>
            <w:tcW w:w="809" w:type="dxa"/>
            <w:vAlign w:val="center"/>
          </w:tcPr>
          <w:p w:rsidR="00133825" w:rsidRDefault="00133825" w:rsidP="006E447D">
            <w:pPr>
              <w:jc w:val="center"/>
            </w:pPr>
            <w:r>
              <w:t>Beam</w:t>
            </w:r>
          </w:p>
        </w:tc>
        <w:tc>
          <w:tcPr>
            <w:tcW w:w="1169" w:type="dxa"/>
            <w:vAlign w:val="center"/>
          </w:tcPr>
          <w:p w:rsidR="00133825" w:rsidRDefault="00133825" w:rsidP="006E447D">
            <w:pPr>
              <w:jc w:val="center"/>
            </w:pPr>
            <w:r>
              <w:t>Beam Rate [</w:t>
            </w:r>
            <w:proofErr w:type="spellStart"/>
            <w:r>
              <w:t>pps</w:t>
            </w:r>
            <w:proofErr w:type="spellEnd"/>
            <w:r>
              <w:t>]</w:t>
            </w:r>
          </w:p>
        </w:tc>
        <w:tc>
          <w:tcPr>
            <w:tcW w:w="1373" w:type="dxa"/>
            <w:vAlign w:val="center"/>
          </w:tcPr>
          <w:p w:rsidR="00133825" w:rsidRPr="006E447D" w:rsidRDefault="00133825" w:rsidP="006E447D">
            <w:pPr>
              <w:jc w:val="center"/>
              <w:rPr>
                <w:rFonts w:ascii="Times New Roman" w:hAnsi="Times New Roman"/>
              </w:rPr>
            </w:pPr>
            <w:r>
              <w:rPr>
                <w:rFonts w:ascii="Times New Roman" w:hAnsi="Times New Roman"/>
              </w:rPr>
              <w:t>A1900 D4 Magnetic Rigidity [Tm]</w:t>
            </w:r>
          </w:p>
        </w:tc>
        <w:tc>
          <w:tcPr>
            <w:tcW w:w="1304" w:type="dxa"/>
            <w:vAlign w:val="center"/>
          </w:tcPr>
          <w:p w:rsidR="00133825" w:rsidRPr="0067247C" w:rsidRDefault="00133825" w:rsidP="006E447D">
            <w:pPr>
              <w:jc w:val="center"/>
              <w:rPr>
                <w:rFonts w:ascii="Times New Roman" w:hAnsi="Times New Roman"/>
              </w:rPr>
            </w:pPr>
            <w:r>
              <w:rPr>
                <w:rFonts w:ascii="Gabriola" w:hAnsi="Gabriola"/>
              </w:rPr>
              <w:t xml:space="preserve">σ </w:t>
            </w:r>
            <w:r>
              <w:rPr>
                <w:rFonts w:ascii="Times New Roman" w:hAnsi="Times New Roman"/>
              </w:rPr>
              <w:t>sensitivity [</w:t>
            </w:r>
            <w:proofErr w:type="spellStart"/>
            <w:r>
              <w:rPr>
                <w:rFonts w:ascii="Times New Roman" w:hAnsi="Times New Roman"/>
              </w:rPr>
              <w:t>mb</w:t>
            </w:r>
            <w:proofErr w:type="spellEnd"/>
            <w:r>
              <w:rPr>
                <w:rFonts w:ascii="Times New Roman" w:hAnsi="Times New Roman"/>
              </w:rPr>
              <w:t>]</w:t>
            </w:r>
          </w:p>
        </w:tc>
        <w:tc>
          <w:tcPr>
            <w:tcW w:w="1116" w:type="dxa"/>
            <w:vAlign w:val="center"/>
          </w:tcPr>
          <w:p w:rsidR="00133825" w:rsidRDefault="00133825" w:rsidP="006E447D">
            <w:pPr>
              <w:jc w:val="center"/>
            </w:pPr>
            <w:r>
              <w:t>Counts in Peak</w:t>
            </w:r>
          </w:p>
        </w:tc>
        <w:tc>
          <w:tcPr>
            <w:tcW w:w="1653" w:type="dxa"/>
            <w:vAlign w:val="center"/>
          </w:tcPr>
          <w:p w:rsidR="00133825" w:rsidRDefault="00133825" w:rsidP="006E447D">
            <w:pPr>
              <w:jc w:val="center"/>
            </w:pPr>
            <w:r>
              <w:t>Measurement Time [</w:t>
            </w:r>
            <w:proofErr w:type="spellStart"/>
            <w:r>
              <w:t>hrs</w:t>
            </w:r>
            <w:proofErr w:type="spellEnd"/>
            <w:r>
              <w:t>]</w:t>
            </w:r>
          </w:p>
        </w:tc>
        <w:tc>
          <w:tcPr>
            <w:tcW w:w="1147" w:type="dxa"/>
            <w:vAlign w:val="center"/>
          </w:tcPr>
          <w:p w:rsidR="00133825" w:rsidRDefault="00133825" w:rsidP="006E447D">
            <w:pPr>
              <w:jc w:val="center"/>
            </w:pPr>
            <w:r>
              <w:t>Change Time [</w:t>
            </w:r>
            <w:proofErr w:type="spellStart"/>
            <w:r>
              <w:t>hrs</w:t>
            </w:r>
            <w:proofErr w:type="spellEnd"/>
            <w:r>
              <w:t>]</w:t>
            </w:r>
          </w:p>
        </w:tc>
        <w:tc>
          <w:tcPr>
            <w:tcW w:w="779" w:type="dxa"/>
          </w:tcPr>
          <w:p w:rsidR="00133825" w:rsidRDefault="00133825" w:rsidP="006E447D">
            <w:pPr>
              <w:jc w:val="center"/>
            </w:pPr>
            <w:r>
              <w:t>Total Time</w:t>
            </w:r>
          </w:p>
          <w:p w:rsidR="00133825" w:rsidRDefault="00133825" w:rsidP="006E447D">
            <w:pPr>
              <w:jc w:val="center"/>
            </w:pPr>
            <w:r>
              <w:t>[</w:t>
            </w:r>
            <w:proofErr w:type="spellStart"/>
            <w:r>
              <w:t>hrs</w:t>
            </w:r>
            <w:proofErr w:type="spellEnd"/>
            <w:r>
              <w:t>]</w:t>
            </w:r>
          </w:p>
        </w:tc>
      </w:tr>
      <w:tr w:rsidR="00133825" w:rsidTr="00133825">
        <w:tc>
          <w:tcPr>
            <w:tcW w:w="809" w:type="dxa"/>
            <w:vAlign w:val="center"/>
          </w:tcPr>
          <w:p w:rsidR="00133825" w:rsidRPr="00545775" w:rsidRDefault="00133825" w:rsidP="006E447D">
            <w:pPr>
              <w:jc w:val="center"/>
            </w:pPr>
            <w:r>
              <w:rPr>
                <w:vertAlign w:val="superscript"/>
              </w:rPr>
              <w:t>22</w:t>
            </w:r>
            <w:r>
              <w:t>O</w:t>
            </w:r>
          </w:p>
        </w:tc>
        <w:tc>
          <w:tcPr>
            <w:tcW w:w="1169" w:type="dxa"/>
            <w:vAlign w:val="center"/>
          </w:tcPr>
          <w:p w:rsidR="00133825" w:rsidRDefault="00133825" w:rsidP="006E447D">
            <w:pPr>
              <w:jc w:val="center"/>
            </w:pPr>
            <w:r>
              <w:t>8800</w:t>
            </w:r>
          </w:p>
        </w:tc>
        <w:tc>
          <w:tcPr>
            <w:tcW w:w="1373" w:type="dxa"/>
            <w:vAlign w:val="center"/>
          </w:tcPr>
          <w:p w:rsidR="00133825" w:rsidRDefault="00133825" w:rsidP="006E447D">
            <w:pPr>
              <w:jc w:val="center"/>
            </w:pPr>
            <w:r>
              <w:t>3.65</w:t>
            </w:r>
          </w:p>
        </w:tc>
        <w:tc>
          <w:tcPr>
            <w:tcW w:w="1304" w:type="dxa"/>
            <w:vAlign w:val="center"/>
          </w:tcPr>
          <w:p w:rsidR="00133825" w:rsidRDefault="00133825" w:rsidP="006E447D">
            <w:pPr>
              <w:jc w:val="center"/>
            </w:pPr>
            <w:r>
              <w:t>0.1</w:t>
            </w:r>
          </w:p>
        </w:tc>
        <w:tc>
          <w:tcPr>
            <w:tcW w:w="1116" w:type="dxa"/>
            <w:vAlign w:val="center"/>
          </w:tcPr>
          <w:p w:rsidR="00133825" w:rsidRDefault="00133825" w:rsidP="006E447D">
            <w:pPr>
              <w:jc w:val="center"/>
            </w:pPr>
            <w:r>
              <w:t>100</w:t>
            </w:r>
          </w:p>
        </w:tc>
        <w:tc>
          <w:tcPr>
            <w:tcW w:w="1653" w:type="dxa"/>
            <w:vAlign w:val="center"/>
          </w:tcPr>
          <w:p w:rsidR="00133825" w:rsidRDefault="0017724F" w:rsidP="006E447D">
            <w:pPr>
              <w:jc w:val="center"/>
            </w:pPr>
            <w:r>
              <w:t>21</w:t>
            </w:r>
          </w:p>
        </w:tc>
        <w:tc>
          <w:tcPr>
            <w:tcW w:w="1147" w:type="dxa"/>
            <w:vAlign w:val="center"/>
          </w:tcPr>
          <w:p w:rsidR="00133825" w:rsidRDefault="001A625B" w:rsidP="006E447D">
            <w:pPr>
              <w:jc w:val="center"/>
            </w:pPr>
            <w:r>
              <w:t>10</w:t>
            </w:r>
          </w:p>
        </w:tc>
        <w:tc>
          <w:tcPr>
            <w:tcW w:w="779" w:type="dxa"/>
          </w:tcPr>
          <w:p w:rsidR="00133825" w:rsidRDefault="0017724F" w:rsidP="006E447D">
            <w:pPr>
              <w:jc w:val="center"/>
            </w:pPr>
            <w:r>
              <w:t>31</w:t>
            </w:r>
          </w:p>
        </w:tc>
      </w:tr>
      <w:tr w:rsidR="00133825" w:rsidTr="00133825">
        <w:tc>
          <w:tcPr>
            <w:tcW w:w="809" w:type="dxa"/>
            <w:vAlign w:val="center"/>
          </w:tcPr>
          <w:p w:rsidR="00133825" w:rsidRPr="00545775" w:rsidRDefault="00133825" w:rsidP="006E447D">
            <w:pPr>
              <w:jc w:val="center"/>
            </w:pPr>
            <w:r>
              <w:rPr>
                <w:vertAlign w:val="superscript"/>
              </w:rPr>
              <w:t>16</w:t>
            </w:r>
            <w:r>
              <w:t>O</w:t>
            </w:r>
          </w:p>
        </w:tc>
        <w:tc>
          <w:tcPr>
            <w:tcW w:w="1169" w:type="dxa"/>
            <w:vAlign w:val="center"/>
          </w:tcPr>
          <w:p w:rsidR="00133825" w:rsidRDefault="0017724F" w:rsidP="006E447D">
            <w:pPr>
              <w:jc w:val="center"/>
            </w:pPr>
            <w:r>
              <w:t>38000</w:t>
            </w:r>
            <w:r w:rsidR="0001037F">
              <w:t>0</w:t>
            </w:r>
          </w:p>
        </w:tc>
        <w:tc>
          <w:tcPr>
            <w:tcW w:w="1373" w:type="dxa"/>
            <w:vAlign w:val="center"/>
          </w:tcPr>
          <w:p w:rsidR="00133825" w:rsidRDefault="0001037F" w:rsidP="006E447D">
            <w:pPr>
              <w:jc w:val="center"/>
            </w:pPr>
            <w:r>
              <w:t>3.43</w:t>
            </w:r>
          </w:p>
        </w:tc>
        <w:tc>
          <w:tcPr>
            <w:tcW w:w="1304" w:type="dxa"/>
            <w:vAlign w:val="center"/>
          </w:tcPr>
          <w:p w:rsidR="00133825" w:rsidRDefault="00133825" w:rsidP="006E447D">
            <w:pPr>
              <w:jc w:val="center"/>
            </w:pPr>
            <w:r>
              <w:t>0.1</w:t>
            </w:r>
          </w:p>
        </w:tc>
        <w:tc>
          <w:tcPr>
            <w:tcW w:w="1116" w:type="dxa"/>
            <w:vAlign w:val="center"/>
          </w:tcPr>
          <w:p w:rsidR="00133825" w:rsidRDefault="00133825" w:rsidP="006E447D">
            <w:pPr>
              <w:jc w:val="center"/>
            </w:pPr>
            <w:r>
              <w:t>100</w:t>
            </w:r>
          </w:p>
        </w:tc>
        <w:tc>
          <w:tcPr>
            <w:tcW w:w="1653" w:type="dxa"/>
            <w:vAlign w:val="center"/>
          </w:tcPr>
          <w:p w:rsidR="00133825" w:rsidRDefault="0001037F" w:rsidP="006E447D">
            <w:pPr>
              <w:jc w:val="center"/>
            </w:pPr>
            <w:r>
              <w:t>2</w:t>
            </w:r>
          </w:p>
        </w:tc>
        <w:tc>
          <w:tcPr>
            <w:tcW w:w="1147" w:type="dxa"/>
            <w:vAlign w:val="center"/>
          </w:tcPr>
          <w:p w:rsidR="00133825" w:rsidRDefault="001A625B" w:rsidP="006E447D">
            <w:pPr>
              <w:jc w:val="center"/>
            </w:pPr>
            <w:r>
              <w:t>10</w:t>
            </w:r>
          </w:p>
        </w:tc>
        <w:tc>
          <w:tcPr>
            <w:tcW w:w="779" w:type="dxa"/>
          </w:tcPr>
          <w:p w:rsidR="00133825" w:rsidRDefault="0001037F" w:rsidP="006E447D">
            <w:pPr>
              <w:jc w:val="center"/>
            </w:pPr>
            <w:r>
              <w:t>12</w:t>
            </w:r>
          </w:p>
        </w:tc>
      </w:tr>
      <w:tr w:rsidR="00133825" w:rsidTr="00133825">
        <w:tc>
          <w:tcPr>
            <w:tcW w:w="809" w:type="dxa"/>
            <w:vAlign w:val="center"/>
          </w:tcPr>
          <w:p w:rsidR="00133825" w:rsidRPr="00545775" w:rsidRDefault="00133825" w:rsidP="006E447D">
            <w:pPr>
              <w:jc w:val="center"/>
            </w:pPr>
            <w:r>
              <w:rPr>
                <w:vertAlign w:val="superscript"/>
              </w:rPr>
              <w:t>26</w:t>
            </w:r>
            <w:r>
              <w:t>Ne</w:t>
            </w:r>
          </w:p>
        </w:tc>
        <w:tc>
          <w:tcPr>
            <w:tcW w:w="1169" w:type="dxa"/>
            <w:vAlign w:val="center"/>
          </w:tcPr>
          <w:p w:rsidR="00133825" w:rsidRDefault="00133825" w:rsidP="006E447D">
            <w:pPr>
              <w:jc w:val="center"/>
            </w:pPr>
            <w:r>
              <w:t>42000</w:t>
            </w:r>
          </w:p>
        </w:tc>
        <w:tc>
          <w:tcPr>
            <w:tcW w:w="1373" w:type="dxa"/>
            <w:vAlign w:val="center"/>
          </w:tcPr>
          <w:p w:rsidR="00133825" w:rsidRDefault="00133825" w:rsidP="006E447D">
            <w:pPr>
              <w:jc w:val="center"/>
            </w:pPr>
            <w:r>
              <w:t>3.5</w:t>
            </w:r>
          </w:p>
        </w:tc>
        <w:tc>
          <w:tcPr>
            <w:tcW w:w="1304" w:type="dxa"/>
            <w:vAlign w:val="center"/>
          </w:tcPr>
          <w:p w:rsidR="00133825" w:rsidRDefault="00133825" w:rsidP="006E447D">
            <w:pPr>
              <w:jc w:val="center"/>
            </w:pPr>
            <w:r>
              <w:t>0.1</w:t>
            </w:r>
          </w:p>
        </w:tc>
        <w:tc>
          <w:tcPr>
            <w:tcW w:w="1116" w:type="dxa"/>
            <w:vAlign w:val="center"/>
          </w:tcPr>
          <w:p w:rsidR="00133825" w:rsidRDefault="00133825" w:rsidP="006E447D">
            <w:pPr>
              <w:jc w:val="center"/>
            </w:pPr>
            <w:r>
              <w:t>100</w:t>
            </w:r>
          </w:p>
        </w:tc>
        <w:tc>
          <w:tcPr>
            <w:tcW w:w="1653" w:type="dxa"/>
            <w:vAlign w:val="center"/>
          </w:tcPr>
          <w:p w:rsidR="00133825" w:rsidRDefault="0017724F" w:rsidP="006E447D">
            <w:pPr>
              <w:jc w:val="center"/>
            </w:pPr>
            <w:r>
              <w:t>5</w:t>
            </w:r>
          </w:p>
        </w:tc>
        <w:tc>
          <w:tcPr>
            <w:tcW w:w="1147" w:type="dxa"/>
            <w:vAlign w:val="center"/>
          </w:tcPr>
          <w:p w:rsidR="00133825" w:rsidRDefault="001A625B" w:rsidP="006E447D">
            <w:pPr>
              <w:jc w:val="center"/>
            </w:pPr>
            <w:r>
              <w:t>10</w:t>
            </w:r>
          </w:p>
        </w:tc>
        <w:tc>
          <w:tcPr>
            <w:tcW w:w="779" w:type="dxa"/>
          </w:tcPr>
          <w:p w:rsidR="00133825" w:rsidRDefault="001A625B" w:rsidP="006E447D">
            <w:pPr>
              <w:jc w:val="center"/>
            </w:pPr>
            <w:r>
              <w:t>15</w:t>
            </w:r>
          </w:p>
        </w:tc>
      </w:tr>
      <w:tr w:rsidR="00133825" w:rsidTr="00133825">
        <w:tc>
          <w:tcPr>
            <w:tcW w:w="809" w:type="dxa"/>
            <w:vAlign w:val="center"/>
          </w:tcPr>
          <w:p w:rsidR="00133825" w:rsidRPr="0067247C" w:rsidRDefault="00133825" w:rsidP="006E447D">
            <w:pPr>
              <w:jc w:val="center"/>
            </w:pPr>
            <w:r>
              <w:rPr>
                <w:vertAlign w:val="superscript"/>
              </w:rPr>
              <w:t>24</w:t>
            </w:r>
            <w:r>
              <w:t>Ne</w:t>
            </w:r>
          </w:p>
        </w:tc>
        <w:tc>
          <w:tcPr>
            <w:tcW w:w="1169" w:type="dxa"/>
            <w:vAlign w:val="center"/>
          </w:tcPr>
          <w:p w:rsidR="00133825" w:rsidRDefault="00133825" w:rsidP="006E447D">
            <w:pPr>
              <w:jc w:val="center"/>
            </w:pPr>
            <w:r>
              <w:t>380000</w:t>
            </w:r>
          </w:p>
        </w:tc>
        <w:tc>
          <w:tcPr>
            <w:tcW w:w="1373" w:type="dxa"/>
            <w:vAlign w:val="center"/>
          </w:tcPr>
          <w:p w:rsidR="00133825" w:rsidRDefault="00133825" w:rsidP="006E447D">
            <w:pPr>
              <w:jc w:val="center"/>
            </w:pPr>
            <w:r>
              <w:t>3.6</w:t>
            </w:r>
          </w:p>
        </w:tc>
        <w:tc>
          <w:tcPr>
            <w:tcW w:w="1304" w:type="dxa"/>
            <w:vAlign w:val="center"/>
          </w:tcPr>
          <w:p w:rsidR="00133825" w:rsidRDefault="00133825" w:rsidP="006E447D">
            <w:pPr>
              <w:jc w:val="center"/>
            </w:pPr>
            <w:r>
              <w:t>0.1</w:t>
            </w:r>
          </w:p>
        </w:tc>
        <w:tc>
          <w:tcPr>
            <w:tcW w:w="1116" w:type="dxa"/>
            <w:vAlign w:val="center"/>
          </w:tcPr>
          <w:p w:rsidR="00133825" w:rsidRDefault="00133825" w:rsidP="006E447D">
            <w:pPr>
              <w:jc w:val="center"/>
            </w:pPr>
            <w:r>
              <w:t>100</w:t>
            </w:r>
          </w:p>
        </w:tc>
        <w:tc>
          <w:tcPr>
            <w:tcW w:w="1653" w:type="dxa"/>
            <w:vAlign w:val="center"/>
          </w:tcPr>
          <w:p w:rsidR="00133825" w:rsidRDefault="00133825" w:rsidP="006E447D">
            <w:pPr>
              <w:jc w:val="center"/>
            </w:pPr>
            <w:r>
              <w:t>2</w:t>
            </w:r>
          </w:p>
        </w:tc>
        <w:tc>
          <w:tcPr>
            <w:tcW w:w="1147" w:type="dxa"/>
            <w:vAlign w:val="center"/>
          </w:tcPr>
          <w:p w:rsidR="00133825" w:rsidRDefault="001A625B" w:rsidP="006E447D">
            <w:pPr>
              <w:jc w:val="center"/>
            </w:pPr>
            <w:r>
              <w:t>10</w:t>
            </w:r>
          </w:p>
        </w:tc>
        <w:tc>
          <w:tcPr>
            <w:tcW w:w="779" w:type="dxa"/>
          </w:tcPr>
          <w:p w:rsidR="00133825" w:rsidRDefault="001A625B" w:rsidP="006E447D">
            <w:pPr>
              <w:jc w:val="center"/>
            </w:pPr>
            <w:r>
              <w:t>12</w:t>
            </w:r>
          </w:p>
        </w:tc>
      </w:tr>
      <w:tr w:rsidR="00133825" w:rsidTr="00133825">
        <w:tc>
          <w:tcPr>
            <w:tcW w:w="809" w:type="dxa"/>
            <w:vAlign w:val="center"/>
          </w:tcPr>
          <w:p w:rsidR="001A625B" w:rsidRDefault="001A625B" w:rsidP="001A625B">
            <w:pPr>
              <w:jc w:val="center"/>
              <w:rPr>
                <w:vertAlign w:val="superscript"/>
              </w:rPr>
            </w:pPr>
            <w:r>
              <w:rPr>
                <w:vertAlign w:val="superscript"/>
              </w:rPr>
              <w:t>--</w:t>
            </w:r>
          </w:p>
        </w:tc>
        <w:tc>
          <w:tcPr>
            <w:tcW w:w="1169" w:type="dxa"/>
            <w:vAlign w:val="center"/>
          </w:tcPr>
          <w:p w:rsidR="00133825" w:rsidRDefault="001A625B" w:rsidP="006E447D">
            <w:pPr>
              <w:jc w:val="center"/>
            </w:pPr>
            <w:r>
              <w:t>--</w:t>
            </w:r>
          </w:p>
        </w:tc>
        <w:tc>
          <w:tcPr>
            <w:tcW w:w="1373" w:type="dxa"/>
            <w:vAlign w:val="center"/>
          </w:tcPr>
          <w:p w:rsidR="00133825" w:rsidRDefault="001A625B" w:rsidP="006E447D">
            <w:pPr>
              <w:jc w:val="center"/>
            </w:pPr>
            <w:r>
              <w:t>--</w:t>
            </w:r>
          </w:p>
        </w:tc>
        <w:tc>
          <w:tcPr>
            <w:tcW w:w="1304" w:type="dxa"/>
            <w:vAlign w:val="center"/>
          </w:tcPr>
          <w:p w:rsidR="00133825" w:rsidRDefault="001A625B" w:rsidP="006E447D">
            <w:pPr>
              <w:jc w:val="center"/>
            </w:pPr>
            <w:r>
              <w:t>--</w:t>
            </w:r>
          </w:p>
        </w:tc>
        <w:tc>
          <w:tcPr>
            <w:tcW w:w="1116" w:type="dxa"/>
            <w:vAlign w:val="center"/>
          </w:tcPr>
          <w:p w:rsidR="00133825" w:rsidRDefault="001A625B" w:rsidP="006E447D">
            <w:pPr>
              <w:jc w:val="center"/>
            </w:pPr>
            <w:r>
              <w:t>--</w:t>
            </w:r>
          </w:p>
        </w:tc>
        <w:tc>
          <w:tcPr>
            <w:tcW w:w="1653" w:type="dxa"/>
            <w:vAlign w:val="center"/>
          </w:tcPr>
          <w:p w:rsidR="00133825" w:rsidRDefault="001A625B" w:rsidP="006E447D">
            <w:pPr>
              <w:jc w:val="center"/>
            </w:pPr>
            <w:r>
              <w:t>--</w:t>
            </w:r>
          </w:p>
        </w:tc>
        <w:tc>
          <w:tcPr>
            <w:tcW w:w="1147" w:type="dxa"/>
            <w:vAlign w:val="center"/>
          </w:tcPr>
          <w:p w:rsidR="00133825" w:rsidRDefault="001A625B" w:rsidP="006E447D">
            <w:pPr>
              <w:jc w:val="center"/>
            </w:pPr>
            <w:r>
              <w:t>--</w:t>
            </w:r>
          </w:p>
        </w:tc>
        <w:tc>
          <w:tcPr>
            <w:tcW w:w="779" w:type="dxa"/>
          </w:tcPr>
          <w:p w:rsidR="00133825" w:rsidRDefault="0001037F" w:rsidP="006E447D">
            <w:pPr>
              <w:jc w:val="center"/>
            </w:pPr>
            <w:r>
              <w:t>70</w:t>
            </w:r>
          </w:p>
        </w:tc>
      </w:tr>
    </w:tbl>
    <w:p w:rsidR="00545775" w:rsidRPr="001A625B" w:rsidRDefault="001A625B" w:rsidP="00545775">
      <w:pPr>
        <w:rPr>
          <w:rFonts w:ascii="Times New Roman" w:hAnsi="Times New Roman"/>
        </w:rPr>
      </w:pPr>
      <w:r>
        <w:rPr>
          <w:rFonts w:ascii="Times New Roman" w:hAnsi="Times New Roman"/>
          <w:b/>
        </w:rPr>
        <w:t>Table 1:</w:t>
      </w:r>
      <w:r>
        <w:rPr>
          <w:rFonts w:ascii="Times New Roman" w:hAnsi="Times New Roman"/>
        </w:rPr>
        <w:t xml:space="preserve"> The estimated beam rates for the secondary beams are shown, as well as the magnetic rigidity calculated for the final magnet (D4) in the A1900. The desired cross section sensitivities are shown, and the resulting required number of counts, and time needed on target to obtain these sensitivities are displayed. The time required to change beams is shown, and the total time required for the experiment is displayed in the final row and column.</w:t>
      </w:r>
    </w:p>
    <w:p w:rsidR="00027A25" w:rsidRDefault="000C1B67">
      <w:pPr>
        <w:pStyle w:val="Heading2"/>
        <w:spacing w:line="360" w:lineRule="auto"/>
        <w:jc w:val="left"/>
        <w:rPr>
          <w:rFonts w:ascii="Times New Roman" w:hAnsi="Times New Roman"/>
          <w:sz w:val="24"/>
          <w:szCs w:val="24"/>
        </w:rPr>
      </w:pPr>
      <w:r>
        <w:rPr>
          <w:rFonts w:ascii="Times New Roman" w:hAnsi="Times New Roman"/>
          <w:sz w:val="24"/>
          <w:szCs w:val="24"/>
        </w:rPr>
        <w:t>References:</w:t>
      </w:r>
    </w:p>
    <w:p w:rsidR="000C1B67" w:rsidRDefault="000C1B67" w:rsidP="00045F94">
      <w:pPr>
        <w:pStyle w:val="Heading2"/>
        <w:jc w:val="left"/>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cite</w:t>
      </w:r>
      <w:proofErr w:type="gramEnd"/>
      <w:r>
        <w:rPr>
          <w:rFonts w:ascii="Times New Roman" w:hAnsi="Times New Roman"/>
          <w:sz w:val="24"/>
          <w:szCs w:val="24"/>
        </w:rPr>
        <w:t>]</w:t>
      </w:r>
    </w:p>
    <w:p w:rsidR="000C1B67" w:rsidRDefault="000C1B67" w:rsidP="00045F94">
      <w:pPr>
        <w:pStyle w:val="Heading2"/>
        <w:jc w:val="left"/>
        <w:rPr>
          <w:rFonts w:ascii="Times New Roman" w:hAnsi="Times New Roman"/>
          <w:sz w:val="24"/>
          <w:szCs w:val="24"/>
        </w:rPr>
      </w:pPr>
      <w:r>
        <w:rPr>
          <w:rFonts w:ascii="Times New Roman" w:hAnsi="Times New Roman"/>
          <w:sz w:val="24"/>
          <w:szCs w:val="24"/>
        </w:rPr>
        <w:t>[THI00]</w:t>
      </w:r>
      <w:r>
        <w:rPr>
          <w:rFonts w:ascii="Times New Roman" w:hAnsi="Times New Roman"/>
          <w:sz w:val="24"/>
          <w:szCs w:val="24"/>
        </w:rPr>
        <w:tab/>
        <w:t xml:space="preserve">P.G. </w:t>
      </w:r>
      <w:proofErr w:type="spellStart"/>
      <w:r>
        <w:rPr>
          <w:rFonts w:ascii="Times New Roman" w:hAnsi="Times New Roman"/>
          <w:sz w:val="24"/>
          <w:szCs w:val="24"/>
        </w:rPr>
        <w:t>Thirolf</w:t>
      </w:r>
      <w:proofErr w:type="spellEnd"/>
      <w:r>
        <w:rPr>
          <w:rFonts w:ascii="Times New Roman" w:hAnsi="Times New Roman"/>
          <w:sz w:val="24"/>
          <w:szCs w:val="24"/>
        </w:rPr>
        <w:t xml:space="preserve"> et al., Phys. Lett. B 485, 16-22 (2000).</w:t>
      </w:r>
    </w:p>
    <w:p w:rsidR="000C1B67" w:rsidRDefault="000C1B67" w:rsidP="00045F94">
      <w:pPr>
        <w:pStyle w:val="Heading2"/>
        <w:jc w:val="left"/>
        <w:rPr>
          <w:rFonts w:ascii="Times New Roman" w:hAnsi="Times New Roman"/>
          <w:sz w:val="24"/>
          <w:szCs w:val="24"/>
        </w:rPr>
      </w:pPr>
      <w:r>
        <w:rPr>
          <w:rFonts w:ascii="Times New Roman" w:hAnsi="Times New Roman"/>
          <w:sz w:val="24"/>
          <w:szCs w:val="24"/>
        </w:rPr>
        <w:t>[STA04]</w:t>
      </w:r>
      <w:r>
        <w:rPr>
          <w:rFonts w:ascii="Times New Roman" w:hAnsi="Times New Roman"/>
          <w:sz w:val="24"/>
          <w:szCs w:val="24"/>
        </w:rPr>
        <w:tab/>
        <w:t xml:space="preserve">M. </w:t>
      </w:r>
      <w:proofErr w:type="spellStart"/>
      <w:r>
        <w:rPr>
          <w:rFonts w:ascii="Times New Roman" w:hAnsi="Times New Roman"/>
          <w:sz w:val="24"/>
          <w:szCs w:val="24"/>
        </w:rPr>
        <w:t>Stanoiu</w:t>
      </w:r>
      <w:proofErr w:type="spellEnd"/>
      <w:r>
        <w:rPr>
          <w:rFonts w:ascii="Times New Roman" w:hAnsi="Times New Roman"/>
          <w:sz w:val="24"/>
          <w:szCs w:val="24"/>
        </w:rPr>
        <w:t xml:space="preserve"> et al., Phys. Rev. C 69, 034312 (2004).</w:t>
      </w:r>
    </w:p>
    <w:p w:rsidR="000C1B67" w:rsidRDefault="000C1B67" w:rsidP="00045F94">
      <w:pPr>
        <w:pStyle w:val="Heading2"/>
        <w:jc w:val="left"/>
        <w:rPr>
          <w:rFonts w:ascii="Times New Roman" w:hAnsi="Times New Roman"/>
          <w:sz w:val="24"/>
          <w:szCs w:val="24"/>
        </w:rPr>
      </w:pPr>
      <w:r>
        <w:rPr>
          <w:rFonts w:ascii="Times New Roman" w:hAnsi="Times New Roman"/>
          <w:sz w:val="24"/>
          <w:szCs w:val="24"/>
        </w:rPr>
        <w:t>[BEC06]</w:t>
      </w:r>
      <w:r>
        <w:rPr>
          <w:rFonts w:ascii="Times New Roman" w:hAnsi="Times New Roman"/>
          <w:sz w:val="24"/>
          <w:szCs w:val="24"/>
        </w:rPr>
        <w:tab/>
        <w:t xml:space="preserve">E. </w:t>
      </w:r>
      <w:proofErr w:type="spellStart"/>
      <w:r>
        <w:rPr>
          <w:rFonts w:ascii="Times New Roman" w:hAnsi="Times New Roman"/>
          <w:sz w:val="24"/>
          <w:szCs w:val="24"/>
        </w:rPr>
        <w:t>Becheva</w:t>
      </w:r>
      <w:proofErr w:type="spellEnd"/>
      <w:r>
        <w:rPr>
          <w:rFonts w:ascii="Times New Roman" w:hAnsi="Times New Roman"/>
          <w:sz w:val="24"/>
          <w:szCs w:val="24"/>
        </w:rPr>
        <w:t xml:space="preserve"> et al., Phys. Rev. Lett. 96, 012501 (2006).</w:t>
      </w:r>
    </w:p>
    <w:p w:rsidR="0001383B" w:rsidRDefault="0001383B" w:rsidP="00045F94">
      <w:pPr>
        <w:pStyle w:val="Heading2"/>
        <w:jc w:val="left"/>
        <w:rPr>
          <w:rFonts w:ascii="Times New Roman" w:hAnsi="Times New Roman"/>
          <w:sz w:val="24"/>
          <w:szCs w:val="24"/>
        </w:rPr>
      </w:pPr>
      <w:r>
        <w:rPr>
          <w:rFonts w:ascii="Times New Roman" w:hAnsi="Times New Roman"/>
          <w:sz w:val="24"/>
          <w:szCs w:val="24"/>
        </w:rPr>
        <w:t>[ART70]</w:t>
      </w:r>
      <w:r>
        <w:rPr>
          <w:rFonts w:ascii="Times New Roman" w:hAnsi="Times New Roman"/>
          <w:sz w:val="24"/>
          <w:szCs w:val="24"/>
        </w:rPr>
        <w:tab/>
      </w:r>
      <w:r w:rsidR="002065EB">
        <w:rPr>
          <w:rFonts w:ascii="Times New Roman" w:hAnsi="Times New Roman"/>
          <w:sz w:val="24"/>
          <w:szCs w:val="24"/>
        </w:rPr>
        <w:t xml:space="preserve">A.G. </w:t>
      </w:r>
      <w:proofErr w:type="spellStart"/>
      <w:r w:rsidR="002065EB">
        <w:rPr>
          <w:rFonts w:ascii="Times New Roman" w:hAnsi="Times New Roman"/>
          <w:sz w:val="24"/>
          <w:szCs w:val="24"/>
        </w:rPr>
        <w:t>Artukh</w:t>
      </w:r>
      <w:proofErr w:type="spellEnd"/>
      <w:r w:rsidR="002065EB">
        <w:rPr>
          <w:rFonts w:ascii="Times New Roman" w:hAnsi="Times New Roman"/>
          <w:sz w:val="24"/>
          <w:szCs w:val="24"/>
        </w:rPr>
        <w:t xml:space="preserve"> et al., Phys. Lett. 32B, 43-44 (1970).</w:t>
      </w:r>
    </w:p>
    <w:p w:rsidR="00687BBB" w:rsidRDefault="00687BBB" w:rsidP="00045F94">
      <w:pPr>
        <w:pStyle w:val="Heading2"/>
        <w:jc w:val="left"/>
        <w:rPr>
          <w:rFonts w:ascii="Times New Roman" w:hAnsi="Times New Roman"/>
          <w:sz w:val="24"/>
          <w:szCs w:val="24"/>
        </w:rPr>
      </w:pPr>
      <w:r>
        <w:rPr>
          <w:rFonts w:ascii="Times New Roman" w:hAnsi="Times New Roman"/>
          <w:sz w:val="24"/>
          <w:szCs w:val="24"/>
        </w:rPr>
        <w:t>[SOH08]</w:t>
      </w:r>
      <w:r>
        <w:rPr>
          <w:rFonts w:ascii="Times New Roman" w:hAnsi="Times New Roman"/>
          <w:sz w:val="24"/>
          <w:szCs w:val="24"/>
        </w:rPr>
        <w:tab/>
        <w:t xml:space="preserve">D. </w:t>
      </w:r>
      <w:proofErr w:type="spellStart"/>
      <w:r>
        <w:rPr>
          <w:rFonts w:ascii="Times New Roman" w:hAnsi="Times New Roman"/>
          <w:sz w:val="24"/>
          <w:szCs w:val="24"/>
        </w:rPr>
        <w:t>Sohler</w:t>
      </w:r>
      <w:proofErr w:type="spellEnd"/>
      <w:r>
        <w:rPr>
          <w:rFonts w:ascii="Times New Roman" w:hAnsi="Times New Roman"/>
          <w:sz w:val="24"/>
          <w:szCs w:val="24"/>
        </w:rPr>
        <w:t xml:space="preserve"> et al., Phys. Rev. C 77, 044303 (2008).</w:t>
      </w:r>
    </w:p>
    <w:p w:rsidR="00687BBB" w:rsidRDefault="00687BBB" w:rsidP="00045F94">
      <w:pPr>
        <w:pStyle w:val="Heading2"/>
        <w:jc w:val="left"/>
        <w:rPr>
          <w:rFonts w:ascii="Times New Roman" w:hAnsi="Times New Roman"/>
          <w:sz w:val="24"/>
          <w:szCs w:val="24"/>
        </w:rPr>
      </w:pPr>
      <w:r>
        <w:rPr>
          <w:rFonts w:ascii="Times New Roman" w:hAnsi="Times New Roman"/>
          <w:sz w:val="24"/>
          <w:szCs w:val="24"/>
        </w:rPr>
        <w:t>[ELE10]</w:t>
      </w:r>
      <w:r>
        <w:rPr>
          <w:rFonts w:ascii="Times New Roman" w:hAnsi="Times New Roman"/>
          <w:sz w:val="24"/>
          <w:szCs w:val="24"/>
        </w:rPr>
        <w:tab/>
        <w:t xml:space="preserve">Z. </w:t>
      </w:r>
      <w:proofErr w:type="spellStart"/>
      <w:r>
        <w:rPr>
          <w:rFonts w:ascii="Times New Roman" w:hAnsi="Times New Roman"/>
          <w:sz w:val="24"/>
          <w:szCs w:val="24"/>
        </w:rPr>
        <w:t>Elekes</w:t>
      </w:r>
      <w:proofErr w:type="spellEnd"/>
      <w:r>
        <w:rPr>
          <w:rFonts w:ascii="Times New Roman" w:hAnsi="Times New Roman"/>
          <w:sz w:val="24"/>
          <w:szCs w:val="24"/>
        </w:rPr>
        <w:t xml:space="preserve"> et al., Phys. Rev. C 82, 027305 (2010).</w:t>
      </w:r>
    </w:p>
    <w:p w:rsidR="00AB422B" w:rsidRDefault="00AB422B" w:rsidP="00045F94">
      <w:pPr>
        <w:pStyle w:val="Heading2"/>
        <w:jc w:val="left"/>
        <w:rPr>
          <w:rFonts w:ascii="Times New Roman" w:hAnsi="Times New Roman"/>
          <w:sz w:val="24"/>
          <w:szCs w:val="24"/>
        </w:rPr>
      </w:pPr>
      <w:r>
        <w:rPr>
          <w:rFonts w:ascii="Times New Roman" w:hAnsi="Times New Roman"/>
          <w:sz w:val="24"/>
          <w:szCs w:val="24"/>
        </w:rPr>
        <w:t>[ORR89]</w:t>
      </w:r>
      <w:r>
        <w:rPr>
          <w:rFonts w:ascii="Times New Roman" w:hAnsi="Times New Roman"/>
          <w:sz w:val="24"/>
          <w:szCs w:val="24"/>
        </w:rPr>
        <w:tab/>
        <w:t xml:space="preserve">N.A. Orr et al., </w:t>
      </w:r>
      <w:proofErr w:type="spellStart"/>
      <w:r>
        <w:rPr>
          <w:rFonts w:ascii="Times New Roman" w:hAnsi="Times New Roman"/>
          <w:sz w:val="24"/>
          <w:szCs w:val="24"/>
        </w:rPr>
        <w:t>Nucl</w:t>
      </w:r>
      <w:proofErr w:type="spellEnd"/>
      <w:r>
        <w:rPr>
          <w:rFonts w:ascii="Times New Roman" w:hAnsi="Times New Roman"/>
          <w:sz w:val="24"/>
          <w:szCs w:val="24"/>
        </w:rPr>
        <w:t>. Phys. A 491, 457-467 (1989).</w:t>
      </w:r>
    </w:p>
    <w:p w:rsidR="00AB422B" w:rsidRDefault="00AB422B" w:rsidP="00045F94">
      <w:pPr>
        <w:pStyle w:val="Heading2"/>
        <w:jc w:val="left"/>
        <w:rPr>
          <w:rFonts w:ascii="Times New Roman" w:hAnsi="Times New Roman"/>
          <w:sz w:val="24"/>
          <w:szCs w:val="24"/>
        </w:rPr>
      </w:pPr>
      <w:r>
        <w:rPr>
          <w:rFonts w:ascii="Times New Roman" w:hAnsi="Times New Roman"/>
          <w:sz w:val="24"/>
          <w:szCs w:val="24"/>
        </w:rPr>
        <w:t>[AZA02]</w:t>
      </w:r>
      <w:r>
        <w:rPr>
          <w:rFonts w:ascii="Times New Roman" w:hAnsi="Times New Roman"/>
          <w:sz w:val="24"/>
          <w:szCs w:val="24"/>
        </w:rPr>
        <w:tab/>
        <w:t xml:space="preserve">F. </w:t>
      </w:r>
      <w:proofErr w:type="spellStart"/>
      <w:r>
        <w:rPr>
          <w:rFonts w:ascii="Times New Roman" w:hAnsi="Times New Roman"/>
          <w:sz w:val="24"/>
          <w:szCs w:val="24"/>
        </w:rPr>
        <w:t>Azaiez</w:t>
      </w:r>
      <w:proofErr w:type="spellEnd"/>
      <w:r>
        <w:rPr>
          <w:rFonts w:ascii="Times New Roman" w:hAnsi="Times New Roman"/>
          <w:sz w:val="24"/>
          <w:szCs w:val="24"/>
        </w:rPr>
        <w:t xml:space="preserve">, </w:t>
      </w:r>
      <w:proofErr w:type="spellStart"/>
      <w:r>
        <w:rPr>
          <w:rFonts w:ascii="Times New Roman" w:hAnsi="Times New Roman"/>
          <w:sz w:val="24"/>
          <w:szCs w:val="24"/>
        </w:rPr>
        <w:t>Nucl</w:t>
      </w:r>
      <w:proofErr w:type="spellEnd"/>
      <w:r>
        <w:rPr>
          <w:rFonts w:ascii="Times New Roman" w:hAnsi="Times New Roman"/>
          <w:sz w:val="24"/>
          <w:szCs w:val="24"/>
        </w:rPr>
        <w:t>. Phys. A 704, 37c-49c (2002).</w:t>
      </w:r>
    </w:p>
    <w:p w:rsidR="00AB422B" w:rsidRDefault="00AB422B" w:rsidP="00045F94">
      <w:pPr>
        <w:pStyle w:val="Heading2"/>
        <w:jc w:val="left"/>
        <w:rPr>
          <w:rFonts w:ascii="Times New Roman" w:hAnsi="Times New Roman"/>
          <w:sz w:val="24"/>
          <w:szCs w:val="24"/>
        </w:rPr>
      </w:pPr>
      <w:r>
        <w:rPr>
          <w:rFonts w:ascii="Times New Roman" w:hAnsi="Times New Roman"/>
          <w:sz w:val="24"/>
          <w:szCs w:val="24"/>
        </w:rPr>
        <w:t>[MIC06]</w:t>
      </w:r>
      <w:r>
        <w:rPr>
          <w:rFonts w:ascii="Times New Roman" w:hAnsi="Times New Roman"/>
          <w:sz w:val="24"/>
          <w:szCs w:val="24"/>
        </w:rPr>
        <w:tab/>
        <w:t xml:space="preserve">S. </w:t>
      </w:r>
      <w:proofErr w:type="spellStart"/>
      <w:r>
        <w:rPr>
          <w:rFonts w:ascii="Times New Roman" w:hAnsi="Times New Roman"/>
          <w:sz w:val="24"/>
          <w:szCs w:val="24"/>
        </w:rPr>
        <w:t>Michimasa</w:t>
      </w:r>
      <w:proofErr w:type="spellEnd"/>
      <w:r>
        <w:rPr>
          <w:rFonts w:ascii="Times New Roman" w:hAnsi="Times New Roman"/>
          <w:sz w:val="24"/>
          <w:szCs w:val="24"/>
        </w:rPr>
        <w:t xml:space="preserve"> et al., Phys. Lett. B 638, 146-152 (2006).</w:t>
      </w:r>
    </w:p>
    <w:p w:rsidR="00045F94" w:rsidRDefault="00045F94" w:rsidP="00045F94">
      <w:pPr>
        <w:pStyle w:val="Heading2"/>
        <w:jc w:val="left"/>
        <w:rPr>
          <w:rFonts w:ascii="Times New Roman" w:hAnsi="Times New Roman"/>
          <w:sz w:val="24"/>
          <w:szCs w:val="24"/>
        </w:rPr>
      </w:pPr>
      <w:r>
        <w:rPr>
          <w:rFonts w:ascii="Times New Roman" w:hAnsi="Times New Roman"/>
          <w:sz w:val="24"/>
          <w:szCs w:val="24"/>
        </w:rPr>
        <w:t>[BEL01]</w:t>
      </w:r>
      <w:r>
        <w:rPr>
          <w:rFonts w:ascii="Times New Roman" w:hAnsi="Times New Roman"/>
          <w:sz w:val="24"/>
          <w:szCs w:val="24"/>
        </w:rPr>
        <w:tab/>
        <w:t xml:space="preserve">M. </w:t>
      </w:r>
      <w:proofErr w:type="spellStart"/>
      <w:r>
        <w:rPr>
          <w:rFonts w:ascii="Times New Roman" w:hAnsi="Times New Roman"/>
          <w:sz w:val="24"/>
          <w:szCs w:val="24"/>
        </w:rPr>
        <w:t>Belleguic</w:t>
      </w:r>
      <w:proofErr w:type="spellEnd"/>
      <w:r>
        <w:rPr>
          <w:rFonts w:ascii="Times New Roman" w:hAnsi="Times New Roman"/>
          <w:sz w:val="24"/>
          <w:szCs w:val="24"/>
        </w:rPr>
        <w:t xml:space="preserve"> et al., </w:t>
      </w:r>
      <w:proofErr w:type="spellStart"/>
      <w:r>
        <w:rPr>
          <w:rFonts w:ascii="Times New Roman" w:hAnsi="Times New Roman"/>
          <w:sz w:val="24"/>
          <w:szCs w:val="24"/>
        </w:rPr>
        <w:t>Nucl</w:t>
      </w:r>
      <w:proofErr w:type="spellEnd"/>
      <w:r>
        <w:rPr>
          <w:rFonts w:ascii="Times New Roman" w:hAnsi="Times New Roman"/>
          <w:sz w:val="24"/>
          <w:szCs w:val="24"/>
        </w:rPr>
        <w:t>. Phys. A 682, 136c-142c (2001).</w:t>
      </w:r>
    </w:p>
    <w:p w:rsidR="00045F94" w:rsidRDefault="00045F94" w:rsidP="00045F94">
      <w:pPr>
        <w:pStyle w:val="Heading2"/>
        <w:jc w:val="left"/>
        <w:rPr>
          <w:rFonts w:ascii="Times New Roman" w:hAnsi="Times New Roman"/>
          <w:sz w:val="24"/>
          <w:szCs w:val="24"/>
        </w:rPr>
      </w:pPr>
      <w:r>
        <w:rPr>
          <w:rFonts w:ascii="Times New Roman" w:hAnsi="Times New Roman"/>
          <w:sz w:val="24"/>
          <w:szCs w:val="24"/>
        </w:rPr>
        <w:t>[AZA02]</w:t>
      </w:r>
      <w:r>
        <w:rPr>
          <w:rFonts w:ascii="Times New Roman" w:hAnsi="Times New Roman"/>
          <w:sz w:val="24"/>
          <w:szCs w:val="24"/>
        </w:rPr>
        <w:tab/>
        <w:t xml:space="preserve">F. </w:t>
      </w:r>
      <w:proofErr w:type="spellStart"/>
      <w:r>
        <w:rPr>
          <w:rFonts w:ascii="Times New Roman" w:hAnsi="Times New Roman"/>
          <w:sz w:val="24"/>
          <w:szCs w:val="24"/>
        </w:rPr>
        <w:t>Azaiez</w:t>
      </w:r>
      <w:proofErr w:type="spellEnd"/>
      <w:r>
        <w:rPr>
          <w:rFonts w:ascii="Times New Roman" w:hAnsi="Times New Roman"/>
          <w:sz w:val="24"/>
          <w:szCs w:val="24"/>
        </w:rPr>
        <w:t xml:space="preserve"> et al., Euro. Phys. Journal </w:t>
      </w:r>
      <w:proofErr w:type="gramStart"/>
      <w:r>
        <w:rPr>
          <w:rFonts w:ascii="Times New Roman" w:hAnsi="Times New Roman"/>
          <w:sz w:val="24"/>
          <w:szCs w:val="24"/>
        </w:rPr>
        <w:t>A</w:t>
      </w:r>
      <w:proofErr w:type="gramEnd"/>
      <w:r>
        <w:rPr>
          <w:rFonts w:ascii="Times New Roman" w:hAnsi="Times New Roman"/>
          <w:sz w:val="24"/>
          <w:szCs w:val="24"/>
        </w:rPr>
        <w:t xml:space="preserve"> 15, 93-97 (2002).</w:t>
      </w:r>
    </w:p>
    <w:p w:rsidR="00045F94" w:rsidRDefault="00045F94" w:rsidP="00045F94">
      <w:pPr>
        <w:pStyle w:val="Heading2"/>
        <w:jc w:val="left"/>
        <w:rPr>
          <w:rFonts w:ascii="Times New Roman" w:hAnsi="Times New Roman"/>
          <w:sz w:val="24"/>
          <w:szCs w:val="24"/>
        </w:rPr>
      </w:pPr>
      <w:r>
        <w:rPr>
          <w:rFonts w:ascii="Times New Roman" w:hAnsi="Times New Roman"/>
          <w:sz w:val="24"/>
          <w:szCs w:val="24"/>
        </w:rPr>
        <w:t>[ELE04]</w:t>
      </w:r>
      <w:r>
        <w:rPr>
          <w:rFonts w:ascii="Times New Roman" w:hAnsi="Times New Roman"/>
          <w:sz w:val="24"/>
          <w:szCs w:val="24"/>
        </w:rPr>
        <w:tab/>
        <w:t xml:space="preserve">Z. </w:t>
      </w:r>
      <w:proofErr w:type="spellStart"/>
      <w:r>
        <w:rPr>
          <w:rFonts w:ascii="Times New Roman" w:hAnsi="Times New Roman"/>
          <w:sz w:val="24"/>
          <w:szCs w:val="24"/>
        </w:rPr>
        <w:t>Elekes</w:t>
      </w:r>
      <w:proofErr w:type="spellEnd"/>
      <w:r>
        <w:rPr>
          <w:rFonts w:ascii="Times New Roman" w:hAnsi="Times New Roman"/>
          <w:sz w:val="24"/>
          <w:szCs w:val="24"/>
        </w:rPr>
        <w:t xml:space="preserve"> et al., Phys. Lett. B 599, 17-22 (2004).</w:t>
      </w:r>
    </w:p>
    <w:p w:rsidR="00045F94" w:rsidRDefault="00045F94" w:rsidP="00045F94">
      <w:pPr>
        <w:pStyle w:val="Heading2"/>
        <w:jc w:val="left"/>
        <w:rPr>
          <w:rFonts w:ascii="Times New Roman" w:hAnsi="Times New Roman"/>
          <w:sz w:val="24"/>
          <w:szCs w:val="24"/>
        </w:rPr>
      </w:pPr>
      <w:r>
        <w:rPr>
          <w:rFonts w:ascii="Times New Roman" w:hAnsi="Times New Roman"/>
          <w:sz w:val="24"/>
          <w:szCs w:val="24"/>
        </w:rPr>
        <w:t>[VAJ14]</w:t>
      </w:r>
      <w:r>
        <w:rPr>
          <w:rFonts w:ascii="Times New Roman" w:hAnsi="Times New Roman"/>
          <w:sz w:val="24"/>
          <w:szCs w:val="24"/>
        </w:rPr>
        <w:tab/>
      </w:r>
      <w:proofErr w:type="spellStart"/>
      <w:r>
        <w:rPr>
          <w:rFonts w:ascii="Times New Roman" w:hAnsi="Times New Roman"/>
          <w:sz w:val="24"/>
          <w:szCs w:val="24"/>
        </w:rPr>
        <w:t>Zs</w:t>
      </w:r>
      <w:proofErr w:type="spellEnd"/>
      <w:r>
        <w:rPr>
          <w:rFonts w:ascii="Times New Roman" w:hAnsi="Times New Roman"/>
          <w:sz w:val="24"/>
          <w:szCs w:val="24"/>
        </w:rPr>
        <w:t xml:space="preserve">. </w:t>
      </w:r>
      <w:proofErr w:type="spellStart"/>
      <w:r>
        <w:rPr>
          <w:rFonts w:ascii="Times New Roman" w:hAnsi="Times New Roman"/>
          <w:sz w:val="24"/>
          <w:szCs w:val="24"/>
        </w:rPr>
        <w:t>Vajta</w:t>
      </w:r>
      <w:proofErr w:type="spellEnd"/>
      <w:r>
        <w:rPr>
          <w:rFonts w:ascii="Times New Roman" w:hAnsi="Times New Roman"/>
          <w:sz w:val="24"/>
          <w:szCs w:val="24"/>
        </w:rPr>
        <w:t xml:space="preserve"> et al., Phys. Rev. C 89, 054323 (2014).</w:t>
      </w:r>
    </w:p>
    <w:p w:rsidR="00687BBB" w:rsidRDefault="00687BBB">
      <w:pPr>
        <w:pStyle w:val="Heading2"/>
        <w:spacing w:line="360" w:lineRule="auto"/>
        <w:jc w:val="left"/>
        <w:rPr>
          <w:rFonts w:ascii="Times New Roman" w:hAnsi="Times New Roman"/>
          <w:sz w:val="24"/>
          <w:szCs w:val="24"/>
        </w:rPr>
      </w:pPr>
    </w:p>
    <w:p w:rsidR="002065EB" w:rsidRDefault="002065EB">
      <w:pPr>
        <w:pStyle w:val="Heading2"/>
        <w:spacing w:line="360" w:lineRule="auto"/>
        <w:jc w:val="left"/>
        <w:rPr>
          <w:rFonts w:ascii="Times New Roman" w:hAnsi="Times New Roman"/>
          <w:sz w:val="24"/>
          <w:szCs w:val="24"/>
        </w:rPr>
      </w:pPr>
    </w:p>
    <w:p w:rsidR="00027A25" w:rsidRDefault="002B74E2">
      <w:pPr>
        <w:pStyle w:val="Heading2"/>
        <w:spacing w:line="360" w:lineRule="auto"/>
        <w:rPr>
          <w:rFonts w:ascii="Times New Roman" w:hAnsi="Times New Roman"/>
        </w:rPr>
      </w:pPr>
      <w:r>
        <w:br w:type="page"/>
      </w:r>
      <w:r w:rsidRPr="00611997">
        <w:rPr>
          <w:rFonts w:ascii="Times New Roman" w:hAnsi="Times New Roman"/>
        </w:rPr>
        <w:lastRenderedPageBreak/>
        <w:t>Status of Previous Experiments</w:t>
      </w:r>
    </w:p>
    <w:p w:rsidR="002B74E2" w:rsidRDefault="002B74E2">
      <w:pPr>
        <w:pStyle w:val="BodyTextIndent"/>
        <w:ind w:left="0" w:firstLine="0"/>
        <w:jc w:val="both"/>
        <w:rPr>
          <w:sz w:val="24"/>
        </w:rPr>
      </w:pPr>
      <w:r>
        <w:rPr>
          <w:sz w:val="24"/>
        </w:rPr>
        <w:t xml:space="preserve">Results from, or status of analysis of, previous experiments at the CCF listed by experiment number. Please indicate publications, invited talks, </w:t>
      </w:r>
      <w:proofErr w:type="spellStart"/>
      <w:r>
        <w:rPr>
          <w:sz w:val="24"/>
        </w:rPr>
        <w:t>Ph.D.s</w:t>
      </w:r>
      <w:proofErr w:type="spellEnd"/>
      <w:r>
        <w:rPr>
          <w:sz w:val="24"/>
        </w:rPr>
        <w:t xml:space="preserve"> awarded, Master’s degrees awarded, undergraduate theses completed.</w:t>
      </w: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pPr>
    </w:p>
    <w:p w:rsidR="002B74E2" w:rsidRDefault="002B74E2">
      <w:pPr>
        <w:pStyle w:val="BodyTextIndent"/>
        <w:ind w:hanging="5040"/>
        <w:rPr>
          <w:sz w:val="24"/>
        </w:rPr>
        <w:sectPr w:rsidR="002B74E2" w:rsidSect="00B971AA">
          <w:headerReference w:type="default" r:id="rId8"/>
          <w:headerReference w:type="first" r:id="rId9"/>
          <w:pgSz w:w="12240" w:h="15840" w:code="1"/>
          <w:pgMar w:top="1440" w:right="1440" w:bottom="720" w:left="1440" w:header="720" w:footer="720" w:gutter="0"/>
          <w:cols w:space="720"/>
          <w:docGrid w:linePitch="326"/>
        </w:sectPr>
      </w:pPr>
    </w:p>
    <w:p w:rsidR="002B74E2" w:rsidRPr="00611997" w:rsidRDefault="002B74E2">
      <w:pPr>
        <w:pStyle w:val="Heading2"/>
        <w:rPr>
          <w:rFonts w:ascii="Times New Roman" w:hAnsi="Times New Roman"/>
        </w:rPr>
      </w:pPr>
      <w:r w:rsidRPr="00611997">
        <w:rPr>
          <w:rFonts w:ascii="Times New Roman" w:hAnsi="Times New Roman"/>
        </w:rPr>
        <w:lastRenderedPageBreak/>
        <w:t>Educational Impact of Proposed Experiment</w:t>
      </w:r>
    </w:p>
    <w:p w:rsidR="002B74E2" w:rsidRDefault="002B74E2">
      <w:pPr>
        <w:pStyle w:val="BodyTextIndent"/>
        <w:ind w:left="0" w:firstLine="0"/>
        <w:jc w:val="both"/>
        <w:rPr>
          <w:sz w:val="24"/>
        </w:rPr>
      </w:pPr>
      <w:r>
        <w:rPr>
          <w:sz w:val="24"/>
        </w:rPr>
        <w:t xml:space="preserve">If the experiment will be part of a thesis project, please include </w:t>
      </w:r>
      <w:r w:rsidR="009E2955">
        <w:rPr>
          <w:sz w:val="24"/>
        </w:rPr>
        <w:t xml:space="preserve">the total number of </w:t>
      </w:r>
      <w:r>
        <w:rPr>
          <w:sz w:val="24"/>
        </w:rPr>
        <w:t xml:space="preserve"> years the student has been in </w:t>
      </w:r>
      <w:r w:rsidR="009E2955">
        <w:rPr>
          <w:sz w:val="24"/>
        </w:rPr>
        <w:t xml:space="preserve">graduate </w:t>
      </w:r>
      <w:r>
        <w:rPr>
          <w:sz w:val="24"/>
        </w:rPr>
        <w:t>school, what other experiments the student has participated in at the NSCL and elsewhere (explicitly identify the experiments done as part of thesis work), and wh</w:t>
      </w:r>
      <w:r w:rsidR="009E2955">
        <w:rPr>
          <w:sz w:val="24"/>
        </w:rPr>
        <w:t>at part</w:t>
      </w:r>
      <w:r>
        <w:rPr>
          <w:sz w:val="24"/>
        </w:rPr>
        <w:t xml:space="preserve"> the proposed measurement </w:t>
      </w:r>
      <w:r w:rsidR="009E2955">
        <w:rPr>
          <w:sz w:val="24"/>
        </w:rPr>
        <w:t>plays in the</w:t>
      </w:r>
      <w:r w:rsidR="00E84743">
        <w:rPr>
          <w:sz w:val="24"/>
        </w:rPr>
        <w:t xml:space="preserve"> </w:t>
      </w:r>
      <w:r>
        <w:rPr>
          <w:sz w:val="24"/>
        </w:rPr>
        <w:t xml:space="preserve">complete thesis </w:t>
      </w:r>
      <w:r w:rsidR="009E2955">
        <w:rPr>
          <w:sz w:val="24"/>
        </w:rPr>
        <w:t>project</w:t>
      </w:r>
      <w:r>
        <w:rPr>
          <w:sz w:val="24"/>
        </w:rPr>
        <w:t xml:space="preserve">. </w:t>
      </w:r>
    </w:p>
    <w:p w:rsidR="002B74E2" w:rsidRDefault="002B74E2">
      <w:pPr>
        <w:pStyle w:val="BodyTextIndent"/>
        <w:ind w:left="0" w:firstLine="0"/>
        <w:rPr>
          <w:sz w:val="24"/>
        </w:rPr>
      </w:pPr>
    </w:p>
    <w:p w:rsidR="002B74E2" w:rsidRPr="00B971AA" w:rsidRDefault="002B74E2" w:rsidP="00B971AA">
      <w:pPr>
        <w:tabs>
          <w:tab w:val="left" w:pos="2652"/>
        </w:tabs>
      </w:pPr>
    </w:p>
    <w:sectPr w:rsidR="002B74E2" w:rsidRPr="00B971AA" w:rsidSect="00F0354A">
      <w:headerReference w:type="first" r:id="rId10"/>
      <w:pgSz w:w="12240" w:h="15840" w:code="1"/>
      <w:pgMar w:top="144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4C2" w:rsidRDefault="00AD04C2">
      <w:r>
        <w:separator/>
      </w:r>
    </w:p>
  </w:endnote>
  <w:endnote w:type="continuationSeparator" w:id="0">
    <w:p w:rsidR="00AD04C2" w:rsidRDefault="00AD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4C2" w:rsidRDefault="00AD04C2">
      <w:r>
        <w:separator/>
      </w:r>
    </w:p>
  </w:footnote>
  <w:footnote w:type="continuationSeparator" w:id="0">
    <w:p w:rsidR="00AD04C2" w:rsidRDefault="00AD0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F8" w:rsidRPr="00611997" w:rsidRDefault="00EB44F8">
    <w:pPr>
      <w:pStyle w:val="Header"/>
      <w:tabs>
        <w:tab w:val="clear" w:pos="8640"/>
        <w:tab w:val="right" w:pos="9360"/>
      </w:tabs>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F8" w:rsidRPr="00611997" w:rsidRDefault="00B971AA">
    <w:pPr>
      <w:pStyle w:val="Header"/>
      <w:rPr>
        <w:rFonts w:ascii="Times New Roman" w:hAnsi="Times New Roman"/>
      </w:rPr>
    </w:pPr>
    <w:r>
      <w:rPr>
        <w:rFonts w:ascii="Times New Roman" w:hAnsi="Times New Roman"/>
      </w:rPr>
      <w:t>NSCL PAC 38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F8" w:rsidRDefault="00EB4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CB1"/>
    <w:multiLevelType w:val="hybridMultilevel"/>
    <w:tmpl w:val="5A9431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A865A2"/>
    <w:multiLevelType w:val="multilevel"/>
    <w:tmpl w:val="56E4E51A"/>
    <w:lvl w:ilvl="0">
      <w:start w:val="1"/>
      <w:numFmt w:val="low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A55D5E"/>
    <w:multiLevelType w:val="hybridMultilevel"/>
    <w:tmpl w:val="52C82170"/>
    <w:lvl w:ilvl="0" w:tplc="3C247CD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AC74DAF"/>
    <w:multiLevelType w:val="hybridMultilevel"/>
    <w:tmpl w:val="DD3CE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D737C9"/>
    <w:multiLevelType w:val="hybridMultilevel"/>
    <w:tmpl w:val="8F5072B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DD503C"/>
    <w:multiLevelType w:val="hybridMultilevel"/>
    <w:tmpl w:val="A622048C"/>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F21906"/>
    <w:multiLevelType w:val="hybridMultilevel"/>
    <w:tmpl w:val="ADF63F7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E9862B0"/>
    <w:multiLevelType w:val="hybridMultilevel"/>
    <w:tmpl w:val="A68CDD1E"/>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53040745"/>
    <w:multiLevelType w:val="hybridMultilevel"/>
    <w:tmpl w:val="2D6603BE"/>
    <w:lvl w:ilvl="0" w:tplc="6AFA69C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F7C3C98"/>
    <w:multiLevelType w:val="hybridMultilevel"/>
    <w:tmpl w:val="9412EC06"/>
    <w:lvl w:ilvl="0" w:tplc="A9328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D44706E"/>
    <w:multiLevelType w:val="hybridMultilevel"/>
    <w:tmpl w:val="43B270A0"/>
    <w:lvl w:ilvl="0" w:tplc="0409000F">
      <w:start w:val="1"/>
      <w:numFmt w:val="decimal"/>
      <w:lvlText w:val="%1."/>
      <w:lvlJc w:val="left"/>
      <w:pPr>
        <w:tabs>
          <w:tab w:val="num" w:pos="360"/>
        </w:tabs>
        <w:ind w:left="360" w:hanging="360"/>
      </w:pPr>
    </w:lvl>
    <w:lvl w:ilvl="1" w:tplc="165890A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6"/>
  </w:num>
  <w:num w:numId="3">
    <w:abstractNumId w:val="3"/>
  </w:num>
  <w:num w:numId="4">
    <w:abstractNumId w:val="9"/>
  </w:num>
  <w:num w:numId="5">
    <w:abstractNumId w:val="0"/>
  </w:num>
  <w:num w:numId="6">
    <w:abstractNumId w:val="5"/>
  </w:num>
  <w:num w:numId="7">
    <w:abstractNumId w:val="4"/>
  </w:num>
  <w:num w:numId="8">
    <w:abstractNumId w:val="8"/>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CC4"/>
    <w:rsid w:val="0001037F"/>
    <w:rsid w:val="0001383B"/>
    <w:rsid w:val="00027A25"/>
    <w:rsid w:val="000354E5"/>
    <w:rsid w:val="0004384E"/>
    <w:rsid w:val="00045F94"/>
    <w:rsid w:val="00076176"/>
    <w:rsid w:val="00080DC3"/>
    <w:rsid w:val="00090C3B"/>
    <w:rsid w:val="00090DE5"/>
    <w:rsid w:val="000C1B67"/>
    <w:rsid w:val="0010226C"/>
    <w:rsid w:val="00133433"/>
    <w:rsid w:val="00133436"/>
    <w:rsid w:val="00133825"/>
    <w:rsid w:val="00144DF9"/>
    <w:rsid w:val="00152F98"/>
    <w:rsid w:val="001609AE"/>
    <w:rsid w:val="00163190"/>
    <w:rsid w:val="0017724F"/>
    <w:rsid w:val="00197282"/>
    <w:rsid w:val="001A381F"/>
    <w:rsid w:val="001A625B"/>
    <w:rsid w:val="001C2E4F"/>
    <w:rsid w:val="001D62AE"/>
    <w:rsid w:val="001D65C6"/>
    <w:rsid w:val="001E0778"/>
    <w:rsid w:val="002065EB"/>
    <w:rsid w:val="00222C29"/>
    <w:rsid w:val="00226D02"/>
    <w:rsid w:val="00232E37"/>
    <w:rsid w:val="00253DF8"/>
    <w:rsid w:val="002768E2"/>
    <w:rsid w:val="002B74E2"/>
    <w:rsid w:val="002E59D0"/>
    <w:rsid w:val="002E6F98"/>
    <w:rsid w:val="00342B28"/>
    <w:rsid w:val="00350F1A"/>
    <w:rsid w:val="003A6252"/>
    <w:rsid w:val="003E211F"/>
    <w:rsid w:val="00433C68"/>
    <w:rsid w:val="0046146A"/>
    <w:rsid w:val="0047195A"/>
    <w:rsid w:val="004779EA"/>
    <w:rsid w:val="0049410D"/>
    <w:rsid w:val="00494254"/>
    <w:rsid w:val="00496E3E"/>
    <w:rsid w:val="004A753F"/>
    <w:rsid w:val="004D5061"/>
    <w:rsid w:val="004F784A"/>
    <w:rsid w:val="0051135B"/>
    <w:rsid w:val="00512921"/>
    <w:rsid w:val="00545775"/>
    <w:rsid w:val="00554C46"/>
    <w:rsid w:val="005602BF"/>
    <w:rsid w:val="00567E4C"/>
    <w:rsid w:val="00567FEA"/>
    <w:rsid w:val="00584A7B"/>
    <w:rsid w:val="0058771F"/>
    <w:rsid w:val="005E2F6A"/>
    <w:rsid w:val="00601439"/>
    <w:rsid w:val="00603916"/>
    <w:rsid w:val="00606AF5"/>
    <w:rsid w:val="00611997"/>
    <w:rsid w:val="00621814"/>
    <w:rsid w:val="00632416"/>
    <w:rsid w:val="00637210"/>
    <w:rsid w:val="0067247C"/>
    <w:rsid w:val="006828AE"/>
    <w:rsid w:val="00686546"/>
    <w:rsid w:val="00687BBB"/>
    <w:rsid w:val="00697D1F"/>
    <w:rsid w:val="006C2CC4"/>
    <w:rsid w:val="006E1061"/>
    <w:rsid w:val="006E1123"/>
    <w:rsid w:val="006E28AB"/>
    <w:rsid w:val="006E447D"/>
    <w:rsid w:val="006F25D8"/>
    <w:rsid w:val="00710B32"/>
    <w:rsid w:val="007154F0"/>
    <w:rsid w:val="0073633F"/>
    <w:rsid w:val="00752B3C"/>
    <w:rsid w:val="00797261"/>
    <w:rsid w:val="007C3274"/>
    <w:rsid w:val="007C4381"/>
    <w:rsid w:val="00806CB0"/>
    <w:rsid w:val="00835487"/>
    <w:rsid w:val="0083580B"/>
    <w:rsid w:val="008754AA"/>
    <w:rsid w:val="008B1AEF"/>
    <w:rsid w:val="008C069E"/>
    <w:rsid w:val="008C2891"/>
    <w:rsid w:val="00912235"/>
    <w:rsid w:val="009349BA"/>
    <w:rsid w:val="00976551"/>
    <w:rsid w:val="00976C2E"/>
    <w:rsid w:val="009A2B58"/>
    <w:rsid w:val="009E2955"/>
    <w:rsid w:val="009F2E72"/>
    <w:rsid w:val="00A357EC"/>
    <w:rsid w:val="00A364BE"/>
    <w:rsid w:val="00A55112"/>
    <w:rsid w:val="00A57918"/>
    <w:rsid w:val="00A808F8"/>
    <w:rsid w:val="00A94C2F"/>
    <w:rsid w:val="00AB422B"/>
    <w:rsid w:val="00AD04C2"/>
    <w:rsid w:val="00AF1EA7"/>
    <w:rsid w:val="00B00335"/>
    <w:rsid w:val="00B04054"/>
    <w:rsid w:val="00B20A78"/>
    <w:rsid w:val="00B317B0"/>
    <w:rsid w:val="00B337CC"/>
    <w:rsid w:val="00B37AB5"/>
    <w:rsid w:val="00B56CE3"/>
    <w:rsid w:val="00B72EFE"/>
    <w:rsid w:val="00B83D3E"/>
    <w:rsid w:val="00B971AA"/>
    <w:rsid w:val="00BA3705"/>
    <w:rsid w:val="00BC58BD"/>
    <w:rsid w:val="00BC665F"/>
    <w:rsid w:val="00BD3A3E"/>
    <w:rsid w:val="00BE776B"/>
    <w:rsid w:val="00C04888"/>
    <w:rsid w:val="00C24211"/>
    <w:rsid w:val="00C45690"/>
    <w:rsid w:val="00C52E22"/>
    <w:rsid w:val="00C8113F"/>
    <w:rsid w:val="00C903B6"/>
    <w:rsid w:val="00CA535A"/>
    <w:rsid w:val="00CB4C95"/>
    <w:rsid w:val="00CE6277"/>
    <w:rsid w:val="00D04EFC"/>
    <w:rsid w:val="00D1135E"/>
    <w:rsid w:val="00D44A90"/>
    <w:rsid w:val="00D7477C"/>
    <w:rsid w:val="00D7630D"/>
    <w:rsid w:val="00D95ACE"/>
    <w:rsid w:val="00DA1330"/>
    <w:rsid w:val="00DC3FD1"/>
    <w:rsid w:val="00E57512"/>
    <w:rsid w:val="00E84743"/>
    <w:rsid w:val="00EB2A03"/>
    <w:rsid w:val="00EB44F8"/>
    <w:rsid w:val="00EE4667"/>
    <w:rsid w:val="00EF7980"/>
    <w:rsid w:val="00EF7E37"/>
    <w:rsid w:val="00F0354A"/>
    <w:rsid w:val="00F16519"/>
    <w:rsid w:val="00F63EC7"/>
    <w:rsid w:val="00F732B1"/>
    <w:rsid w:val="00F92229"/>
    <w:rsid w:val="00F93F1A"/>
    <w:rsid w:val="00FA5DFA"/>
    <w:rsid w:val="00FC4F07"/>
    <w:rsid w:val="00FD057D"/>
    <w:rsid w:val="00FE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338F31-F77F-4D38-AC32-094E9E7D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4A"/>
    <w:rPr>
      <w:rFonts w:ascii="Trebuchet MS" w:hAnsi="Trebuchet MS"/>
      <w:sz w:val="24"/>
    </w:rPr>
  </w:style>
  <w:style w:type="paragraph" w:styleId="Heading1">
    <w:name w:val="heading 1"/>
    <w:basedOn w:val="Normal"/>
    <w:next w:val="Normal"/>
    <w:qFormat/>
    <w:rsid w:val="00F0354A"/>
    <w:pPr>
      <w:keepNext/>
      <w:tabs>
        <w:tab w:val="left" w:pos="3690"/>
        <w:tab w:val="left" w:pos="7830"/>
        <w:tab w:val="left" w:pos="8730"/>
      </w:tabs>
      <w:outlineLvl w:val="0"/>
    </w:pPr>
    <w:rPr>
      <w:rFonts w:ascii="Times New Roman" w:hAnsi="Times New Roman"/>
      <w:sz w:val="20"/>
      <w:u w:val="single"/>
    </w:rPr>
  </w:style>
  <w:style w:type="paragraph" w:styleId="Heading2">
    <w:name w:val="heading 2"/>
    <w:basedOn w:val="Normal"/>
    <w:link w:val="Heading2Char"/>
    <w:qFormat/>
    <w:rsid w:val="00F0354A"/>
    <w:pPr>
      <w:spacing w:before="100" w:beforeAutospacing="1" w:after="240"/>
      <w:jc w:val="center"/>
      <w:outlineLvl w:val="1"/>
    </w:pPr>
    <w:rPr>
      <w:rFonts w:ascii="Palatino" w:eastAsia="Times New Roman" w:hAnsi="Palatino"/>
      <w:bCs/>
      <w:sz w:val="32"/>
      <w:szCs w:val="36"/>
    </w:rPr>
  </w:style>
  <w:style w:type="paragraph" w:styleId="Heading3">
    <w:name w:val="heading 3"/>
    <w:basedOn w:val="Normal"/>
    <w:next w:val="Normal"/>
    <w:qFormat/>
    <w:rsid w:val="00F0354A"/>
    <w:pPr>
      <w:keepNext/>
      <w:spacing w:before="240" w:after="240"/>
      <w:outlineLvl w:val="2"/>
    </w:pPr>
    <w:rPr>
      <w:rFonts w:ascii="Times New Roman" w:hAnsi="Times New Roman"/>
      <w:sz w:val="28"/>
    </w:rPr>
  </w:style>
  <w:style w:type="paragraph" w:styleId="Heading4">
    <w:name w:val="heading 4"/>
    <w:basedOn w:val="Normal"/>
    <w:next w:val="Normal"/>
    <w:qFormat/>
    <w:rsid w:val="00F0354A"/>
    <w:pPr>
      <w:keepNext/>
      <w:tabs>
        <w:tab w:val="left" w:pos="720"/>
        <w:tab w:val="left" w:pos="2160"/>
        <w:tab w:val="left" w:pos="3600"/>
        <w:tab w:val="left" w:pos="5760"/>
        <w:tab w:val="right" w:pos="10530"/>
      </w:tabs>
      <w:outlineLvl w:val="3"/>
    </w:pPr>
    <w:rPr>
      <w:rFonts w:ascii="Times New Roman" w:hAnsi="Times New Roman"/>
      <w:b/>
      <w:bCs/>
    </w:rPr>
  </w:style>
  <w:style w:type="paragraph" w:styleId="Heading5">
    <w:name w:val="heading 5"/>
    <w:basedOn w:val="Normal"/>
    <w:next w:val="Normal"/>
    <w:qFormat/>
    <w:rsid w:val="00F0354A"/>
    <w:pPr>
      <w:keepNext/>
      <w:tabs>
        <w:tab w:val="left" w:pos="720"/>
        <w:tab w:val="left" w:pos="2160"/>
        <w:tab w:val="left" w:pos="3600"/>
        <w:tab w:val="left" w:pos="5760"/>
        <w:tab w:val="right" w:pos="10530"/>
      </w:tabs>
      <w:outlineLvl w:val="4"/>
    </w:pPr>
    <w:rPr>
      <w:rFonts w:ascii="Times New Roman" w:hAnsi="Times New Roman"/>
      <w:b/>
      <w:bCs/>
      <w:sz w:val="20"/>
    </w:rPr>
  </w:style>
  <w:style w:type="paragraph" w:styleId="Heading6">
    <w:name w:val="heading 6"/>
    <w:basedOn w:val="Normal"/>
    <w:next w:val="Normal"/>
    <w:qFormat/>
    <w:rsid w:val="00F0354A"/>
    <w:pPr>
      <w:keepNext/>
      <w:tabs>
        <w:tab w:val="left" w:pos="720"/>
        <w:tab w:val="left" w:pos="2160"/>
        <w:tab w:val="left" w:pos="2880"/>
        <w:tab w:val="left" w:pos="5760"/>
        <w:tab w:val="right" w:pos="10530"/>
      </w:tabs>
      <w:outlineLvl w:val="5"/>
    </w:pPr>
    <w:rPr>
      <w:rFonts w:ascii="Times New Roman" w:hAnsi="Times New Roman"/>
      <w:b/>
      <w:bCs/>
      <w:sz w:val="28"/>
    </w:rPr>
  </w:style>
  <w:style w:type="paragraph" w:styleId="Heading7">
    <w:name w:val="heading 7"/>
    <w:basedOn w:val="Normal"/>
    <w:next w:val="Normal"/>
    <w:qFormat/>
    <w:rsid w:val="00F0354A"/>
    <w:pPr>
      <w:keepNext/>
      <w:tabs>
        <w:tab w:val="center" w:pos="8910"/>
        <w:tab w:val="center" w:pos="10080"/>
      </w:tabs>
      <w:jc w:val="both"/>
      <w:outlineLvl w:val="6"/>
    </w:pPr>
    <w:rPr>
      <w:rFonts w:ascii="Times New Roman" w:hAnsi="Times New Roman"/>
      <w:b/>
      <w:bCs/>
      <w:sz w:val="20"/>
    </w:rPr>
  </w:style>
  <w:style w:type="paragraph" w:styleId="Heading8">
    <w:name w:val="heading 8"/>
    <w:basedOn w:val="Normal"/>
    <w:next w:val="Normal"/>
    <w:qFormat/>
    <w:rsid w:val="00F0354A"/>
    <w:pPr>
      <w:keepNext/>
      <w:jc w:val="center"/>
      <w:outlineLvl w:val="7"/>
    </w:pPr>
    <w:rPr>
      <w:rFonts w:ascii="Times New Roman" w:hAnsi="Times New Roman"/>
      <w:b/>
      <w:bCs/>
      <w:sz w:val="20"/>
    </w:rPr>
  </w:style>
  <w:style w:type="paragraph" w:styleId="Heading9">
    <w:name w:val="heading 9"/>
    <w:basedOn w:val="Normal"/>
    <w:next w:val="Normal"/>
    <w:qFormat/>
    <w:rsid w:val="00F0354A"/>
    <w:pPr>
      <w:keepNext/>
      <w:jc w:val="center"/>
      <w:outlineLvl w:val="8"/>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F0354A"/>
    <w:pPr>
      <w:ind w:left="5040" w:hanging="5130"/>
    </w:pPr>
    <w:rPr>
      <w:rFonts w:ascii="Times New Roman" w:hAnsi="Times New Roman"/>
      <w:sz w:val="20"/>
    </w:rPr>
  </w:style>
  <w:style w:type="paragraph" w:styleId="BodyTextIndent2">
    <w:name w:val="Body Text Indent 2"/>
    <w:basedOn w:val="Normal"/>
    <w:semiHidden/>
    <w:rsid w:val="00F0354A"/>
    <w:pPr>
      <w:ind w:left="270" w:hanging="270"/>
    </w:pPr>
    <w:rPr>
      <w:rFonts w:ascii="Times New Roman" w:hAnsi="Times New Roman"/>
      <w:sz w:val="20"/>
    </w:rPr>
  </w:style>
  <w:style w:type="paragraph" w:styleId="BodyText">
    <w:name w:val="Body Text"/>
    <w:basedOn w:val="Normal"/>
    <w:semiHidden/>
    <w:rsid w:val="00F0354A"/>
    <w:rPr>
      <w:rFonts w:ascii="Times New Roman" w:hAnsi="Times New Roman"/>
      <w:sz w:val="20"/>
    </w:rPr>
  </w:style>
  <w:style w:type="character" w:styleId="Hyperlink">
    <w:name w:val="Hyperlink"/>
    <w:semiHidden/>
    <w:rsid w:val="00F0354A"/>
    <w:rPr>
      <w:color w:val="0000FF"/>
      <w:u w:val="single"/>
    </w:rPr>
  </w:style>
  <w:style w:type="paragraph" w:styleId="z-TopofForm">
    <w:name w:val="HTML Top of Form"/>
    <w:basedOn w:val="Normal"/>
    <w:next w:val="Normal"/>
    <w:hidden/>
    <w:rsid w:val="00F0354A"/>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F0354A"/>
    <w:pPr>
      <w:pBdr>
        <w:top w:val="single" w:sz="6" w:space="1" w:color="auto"/>
      </w:pBdr>
      <w:jc w:val="center"/>
    </w:pPr>
    <w:rPr>
      <w:rFonts w:ascii="Arial" w:hAnsi="Arial" w:cs="Arial"/>
      <w:vanish/>
      <w:sz w:val="16"/>
      <w:szCs w:val="16"/>
    </w:rPr>
  </w:style>
  <w:style w:type="character" w:styleId="Strong">
    <w:name w:val="Strong"/>
    <w:qFormat/>
    <w:rsid w:val="00F0354A"/>
    <w:rPr>
      <w:b/>
      <w:bCs/>
    </w:rPr>
  </w:style>
  <w:style w:type="paragraph" w:styleId="NormalWeb">
    <w:name w:val="Normal (Web)"/>
    <w:basedOn w:val="Normal"/>
    <w:semiHidden/>
    <w:rsid w:val="00F0354A"/>
    <w:pPr>
      <w:spacing w:before="100" w:beforeAutospacing="1" w:after="100" w:afterAutospacing="1"/>
    </w:pPr>
    <w:rPr>
      <w:rFonts w:ascii="Times New Roman" w:eastAsia="Times New Roman" w:hAnsi="Times New Roman"/>
      <w:szCs w:val="24"/>
    </w:rPr>
  </w:style>
  <w:style w:type="paragraph" w:styleId="Caption">
    <w:name w:val="caption"/>
    <w:basedOn w:val="Normal"/>
    <w:next w:val="Normal"/>
    <w:qFormat/>
    <w:rsid w:val="00F0354A"/>
    <w:rPr>
      <w:b/>
      <w:bCs/>
    </w:rPr>
  </w:style>
  <w:style w:type="character" w:styleId="FollowedHyperlink">
    <w:name w:val="FollowedHyperlink"/>
    <w:semiHidden/>
    <w:rsid w:val="00F0354A"/>
    <w:rPr>
      <w:color w:val="800080"/>
      <w:u w:val="single"/>
    </w:rPr>
  </w:style>
  <w:style w:type="paragraph" w:styleId="Title">
    <w:name w:val="Title"/>
    <w:basedOn w:val="Normal"/>
    <w:qFormat/>
    <w:rsid w:val="00F0354A"/>
    <w:pPr>
      <w:ind w:left="-450"/>
      <w:jc w:val="center"/>
    </w:pPr>
    <w:rPr>
      <w:rFonts w:ascii="Times New Roman" w:hAnsi="Times New Roman"/>
      <w:b/>
      <w:sz w:val="22"/>
    </w:rPr>
  </w:style>
  <w:style w:type="paragraph" w:styleId="BodyText2">
    <w:name w:val="Body Text 2"/>
    <w:basedOn w:val="Normal"/>
    <w:semiHidden/>
    <w:rsid w:val="00F0354A"/>
    <w:pPr>
      <w:ind w:right="900"/>
    </w:pPr>
    <w:rPr>
      <w:rFonts w:ascii="Arial" w:eastAsia="Times New Roman" w:hAnsi="Arial" w:cs="Arial"/>
      <w:szCs w:val="24"/>
    </w:rPr>
  </w:style>
  <w:style w:type="paragraph" w:styleId="FootnoteText">
    <w:name w:val="footnote text"/>
    <w:basedOn w:val="Normal"/>
    <w:semiHidden/>
    <w:rsid w:val="00F0354A"/>
    <w:rPr>
      <w:sz w:val="20"/>
    </w:rPr>
  </w:style>
  <w:style w:type="character" w:styleId="FootnoteReference">
    <w:name w:val="footnote reference"/>
    <w:semiHidden/>
    <w:rsid w:val="00F0354A"/>
    <w:rPr>
      <w:vertAlign w:val="superscript"/>
    </w:rPr>
  </w:style>
  <w:style w:type="paragraph" w:styleId="BodyText3">
    <w:name w:val="Body Text 3"/>
    <w:basedOn w:val="Normal"/>
    <w:semiHidden/>
    <w:rsid w:val="00F0354A"/>
    <w:pPr>
      <w:jc w:val="both"/>
    </w:pPr>
    <w:rPr>
      <w:rFonts w:ascii="Times New Roman" w:hAnsi="Times New Roman"/>
      <w:sz w:val="20"/>
    </w:rPr>
  </w:style>
  <w:style w:type="paragraph" w:styleId="Header">
    <w:name w:val="header"/>
    <w:basedOn w:val="Normal"/>
    <w:semiHidden/>
    <w:rsid w:val="00F0354A"/>
    <w:pPr>
      <w:tabs>
        <w:tab w:val="center" w:pos="4320"/>
        <w:tab w:val="right" w:pos="8640"/>
      </w:tabs>
    </w:pPr>
  </w:style>
  <w:style w:type="paragraph" w:styleId="Footer">
    <w:name w:val="footer"/>
    <w:basedOn w:val="Normal"/>
    <w:semiHidden/>
    <w:rsid w:val="00F0354A"/>
    <w:pPr>
      <w:tabs>
        <w:tab w:val="center" w:pos="4320"/>
        <w:tab w:val="right" w:pos="8640"/>
      </w:tabs>
    </w:pPr>
  </w:style>
  <w:style w:type="paragraph" w:styleId="BalloonText">
    <w:name w:val="Balloon Text"/>
    <w:basedOn w:val="Normal"/>
    <w:semiHidden/>
    <w:rsid w:val="00F0354A"/>
    <w:rPr>
      <w:rFonts w:ascii="Tahoma" w:hAnsi="Tahoma" w:cs="Tahoma"/>
      <w:sz w:val="16"/>
      <w:szCs w:val="16"/>
    </w:rPr>
  </w:style>
  <w:style w:type="character" w:styleId="CommentReference">
    <w:name w:val="annotation reference"/>
    <w:uiPriority w:val="99"/>
    <w:semiHidden/>
    <w:unhideWhenUsed/>
    <w:rsid w:val="00EB2A03"/>
    <w:rPr>
      <w:sz w:val="16"/>
      <w:szCs w:val="16"/>
    </w:rPr>
  </w:style>
  <w:style w:type="paragraph" w:styleId="CommentText">
    <w:name w:val="annotation text"/>
    <w:basedOn w:val="Normal"/>
    <w:link w:val="CommentTextChar"/>
    <w:uiPriority w:val="99"/>
    <w:semiHidden/>
    <w:unhideWhenUsed/>
    <w:rsid w:val="00EB2A03"/>
    <w:rPr>
      <w:sz w:val="20"/>
    </w:rPr>
  </w:style>
  <w:style w:type="character" w:customStyle="1" w:styleId="CommentTextChar">
    <w:name w:val="Comment Text Char"/>
    <w:link w:val="CommentText"/>
    <w:uiPriority w:val="99"/>
    <w:semiHidden/>
    <w:rsid w:val="00EB2A03"/>
    <w:rPr>
      <w:rFonts w:ascii="Trebuchet MS" w:hAnsi="Trebuchet MS"/>
    </w:rPr>
  </w:style>
  <w:style w:type="paragraph" w:styleId="CommentSubject">
    <w:name w:val="annotation subject"/>
    <w:basedOn w:val="CommentText"/>
    <w:next w:val="CommentText"/>
    <w:link w:val="CommentSubjectChar"/>
    <w:uiPriority w:val="99"/>
    <w:semiHidden/>
    <w:unhideWhenUsed/>
    <w:rsid w:val="00EB2A03"/>
    <w:rPr>
      <w:b/>
      <w:bCs/>
    </w:rPr>
  </w:style>
  <w:style w:type="character" w:customStyle="1" w:styleId="CommentSubjectChar">
    <w:name w:val="Comment Subject Char"/>
    <w:link w:val="CommentSubject"/>
    <w:uiPriority w:val="99"/>
    <w:semiHidden/>
    <w:rsid w:val="00EB2A03"/>
    <w:rPr>
      <w:rFonts w:ascii="Trebuchet MS" w:hAnsi="Trebuchet MS"/>
      <w:b/>
      <w:bCs/>
    </w:rPr>
  </w:style>
  <w:style w:type="paragraph" w:styleId="ListParagraph">
    <w:name w:val="List Paragraph"/>
    <w:basedOn w:val="Normal"/>
    <w:uiPriority w:val="34"/>
    <w:qFormat/>
    <w:rsid w:val="009349BA"/>
    <w:pPr>
      <w:ind w:left="720"/>
      <w:contextualSpacing/>
    </w:pPr>
  </w:style>
  <w:style w:type="character" w:customStyle="1" w:styleId="Heading2Char">
    <w:name w:val="Heading 2 Char"/>
    <w:basedOn w:val="DefaultParagraphFont"/>
    <w:link w:val="Heading2"/>
    <w:rsid w:val="001609AE"/>
    <w:rPr>
      <w:rFonts w:ascii="Palatino" w:eastAsia="Times New Roman" w:hAnsi="Palatino"/>
      <w:bCs/>
      <w:sz w:val="32"/>
      <w:szCs w:val="36"/>
    </w:rPr>
  </w:style>
  <w:style w:type="table" w:styleId="TableGrid">
    <w:name w:val="Table Grid"/>
    <w:basedOn w:val="TableNormal"/>
    <w:uiPriority w:val="59"/>
    <w:rsid w:val="0054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2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7E76-37E9-4C55-9719-D8F79D18D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1820</Words>
  <Characters>7646</Characters>
  <Application>Microsoft Office Word</Application>
  <DocSecurity>0</DocSecurity>
  <Lines>125</Lines>
  <Paragraphs>46</Paragraphs>
  <ScaleCrop>false</ScaleCrop>
  <HeadingPairs>
    <vt:vector size="2" baseType="variant">
      <vt:variant>
        <vt:lpstr>Title</vt:lpstr>
      </vt:variant>
      <vt:variant>
        <vt:i4>1</vt:i4>
      </vt:variant>
    </vt:vector>
  </HeadingPairs>
  <TitlesOfParts>
    <vt:vector size="1" baseType="lpstr">
      <vt:lpstr>PAC 31 Proposal Form</vt:lpstr>
    </vt:vector>
  </TitlesOfParts>
  <Company>Michigan State University</Company>
  <LinksUpToDate>false</LinksUpToDate>
  <CharactersWithSpaces>9420</CharactersWithSpaces>
  <SharedDoc>false</SharedDoc>
  <HLinks>
    <vt:vector size="66" baseType="variant">
      <vt:variant>
        <vt:i4>589892</vt:i4>
      </vt:variant>
      <vt:variant>
        <vt:i4>30</vt:i4>
      </vt:variant>
      <vt:variant>
        <vt:i4>0</vt:i4>
      </vt:variant>
      <vt:variant>
        <vt:i4>5</vt:i4>
      </vt:variant>
      <vt:variant>
        <vt:lpwstr>http://www.nscl.msu.edu/exp/propexp/beamlist</vt:lpwstr>
      </vt:variant>
      <vt:variant>
        <vt:lpwstr/>
      </vt:variant>
      <vt:variant>
        <vt:i4>6160442</vt:i4>
      </vt:variant>
      <vt:variant>
        <vt:i4>27</vt:i4>
      </vt:variant>
      <vt:variant>
        <vt:i4>0</vt:i4>
      </vt:variant>
      <vt:variant>
        <vt:i4>5</vt:i4>
      </vt:variant>
      <vt:variant>
        <vt:lpwstr>mailto:pac35@nscl.msu.edu</vt:lpwstr>
      </vt:variant>
      <vt:variant>
        <vt:lpwstr/>
      </vt:variant>
      <vt:variant>
        <vt:i4>4259849</vt:i4>
      </vt:variant>
      <vt:variant>
        <vt:i4>24</vt:i4>
      </vt:variant>
      <vt:variant>
        <vt:i4>0</vt:i4>
      </vt:variant>
      <vt:variant>
        <vt:i4>5</vt:i4>
      </vt:variant>
      <vt:variant>
        <vt:lpwstr>http://www.nscl.msu.edu/files/A1900_sld_2007.pdf</vt:lpwstr>
      </vt:variant>
      <vt:variant>
        <vt:lpwstr/>
      </vt:variant>
      <vt:variant>
        <vt:i4>3604597</vt:i4>
      </vt:variant>
      <vt:variant>
        <vt:i4>21</vt:i4>
      </vt:variant>
      <vt:variant>
        <vt:i4>0</vt:i4>
      </vt:variant>
      <vt:variant>
        <vt:i4>5</vt:i4>
      </vt:variant>
      <vt:variant>
        <vt:lpwstr>http://www.nscl.msu.edu/files/sweeper_sld_2007.pdf</vt:lpwstr>
      </vt:variant>
      <vt:variant>
        <vt:lpwstr/>
      </vt:variant>
      <vt:variant>
        <vt:i4>7536694</vt:i4>
      </vt:variant>
      <vt:variant>
        <vt:i4>18</vt:i4>
      </vt:variant>
      <vt:variant>
        <vt:i4>0</vt:i4>
      </vt:variant>
      <vt:variant>
        <vt:i4>5</vt:i4>
      </vt:variant>
      <vt:variant>
        <vt:lpwstr>http://www.nscl.msu.edu/tech/devices/sweepermagnet</vt:lpwstr>
      </vt:variant>
      <vt:variant>
        <vt:lpwstr>tech</vt:lpwstr>
      </vt:variant>
      <vt:variant>
        <vt:i4>4653140</vt:i4>
      </vt:variant>
      <vt:variant>
        <vt:i4>15</vt:i4>
      </vt:variant>
      <vt:variant>
        <vt:i4>0</vt:i4>
      </vt:variant>
      <vt:variant>
        <vt:i4>5</vt:i4>
      </vt:variant>
      <vt:variant>
        <vt:lpwstr>http://www.nscl.msu.edu/files/s800_sld_2007-2.pdf</vt:lpwstr>
      </vt:variant>
      <vt:variant>
        <vt:lpwstr/>
      </vt:variant>
      <vt:variant>
        <vt:i4>6225942</vt:i4>
      </vt:variant>
      <vt:variant>
        <vt:i4>12</vt:i4>
      </vt:variant>
      <vt:variant>
        <vt:i4>0</vt:i4>
      </vt:variant>
      <vt:variant>
        <vt:i4>5</vt:i4>
      </vt:variant>
      <vt:variant>
        <vt:lpwstr>http://www.nscl.msu.edu/tech/devices/s800</vt:lpwstr>
      </vt:variant>
      <vt:variant>
        <vt:lpwstr>tech</vt:lpwstr>
      </vt:variant>
      <vt:variant>
        <vt:i4>5701661</vt:i4>
      </vt:variant>
      <vt:variant>
        <vt:i4>9</vt:i4>
      </vt:variant>
      <vt:variant>
        <vt:i4>0</vt:i4>
      </vt:variant>
      <vt:variant>
        <vt:i4>5</vt:i4>
      </vt:variant>
      <vt:variant>
        <vt:lpwstr>http://www.nscl.msu.edu/exp/safety/users</vt:lpwstr>
      </vt:variant>
      <vt:variant>
        <vt:lpwstr/>
      </vt:variant>
      <vt:variant>
        <vt:i4>5373983</vt:i4>
      </vt:variant>
      <vt:variant>
        <vt:i4>6</vt:i4>
      </vt:variant>
      <vt:variant>
        <vt:i4>0</vt:i4>
      </vt:variant>
      <vt:variant>
        <vt:i4>5</vt:i4>
      </vt:variant>
      <vt:variant>
        <vt:lpwstr>http://www.nscl.msu.edu/exp/safety/statement</vt:lpwstr>
      </vt:variant>
      <vt:variant>
        <vt:lpwstr/>
      </vt:variant>
      <vt:variant>
        <vt:i4>2752613</vt:i4>
      </vt:variant>
      <vt:variant>
        <vt:i4>3</vt:i4>
      </vt:variant>
      <vt:variant>
        <vt:i4>0</vt:i4>
      </vt:variant>
      <vt:variant>
        <vt:i4>5</vt:i4>
      </vt:variant>
      <vt:variant>
        <vt:lpwstr>http://www.nscl.msu.edu/files/PAC35call.pdf</vt:lpwstr>
      </vt:variant>
      <vt:variant>
        <vt:lpwstr/>
      </vt:variant>
      <vt:variant>
        <vt:i4>6094906</vt:i4>
      </vt:variant>
      <vt:variant>
        <vt:i4>0</vt:i4>
      </vt:variant>
      <vt:variant>
        <vt:i4>0</vt:i4>
      </vt:variant>
      <vt:variant>
        <vt:i4>5</vt:i4>
      </vt:variant>
      <vt:variant>
        <vt:lpwstr>mailto:pac36@nscl.msu.edu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31 Proposal Form</dc:title>
  <dc:creator>National Superconducting Cyclotron Laboratory</dc:creator>
  <cp:lastModifiedBy>Belarge, Joe</cp:lastModifiedBy>
  <cp:revision>2</cp:revision>
  <cp:lastPrinted>2016-02-10T19:49:00Z</cp:lastPrinted>
  <dcterms:created xsi:type="dcterms:W3CDTF">2016-02-10T20:27:00Z</dcterms:created>
  <dcterms:modified xsi:type="dcterms:W3CDTF">2016-02-10T20:27:00Z</dcterms:modified>
</cp:coreProperties>
</file>