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B8722A"/>
          <w:spacing w:val="20"/>
          <w:sz w:val="20"/>
          <w:szCs w:val="20"/>
        </w:rPr>
        <w:t xml:space="preserve">ENSIGHTS · ΥΠΟΣΤΗΡΙΚΤΙΚΟ ΥΛΙΚΟ ΥΠΕΡΑΣΠΙΣΗΣ</w:t>
      </w:r>
    </w:p>
    <w:p>
      <w:pPr>
        <w:spacing w:after="100"/>
      </w:pPr>
      <w:r>
        <w:rPr>
          <w:b/>
          <w:bCs/>
          <w:color w:val="2C5530"/>
          <w:sz w:val="44"/>
          <w:szCs w:val="44"/>
        </w:rPr>
        <w:t xml:space="preserve">Οδηγός διαφάνεια-προς-διαφάνεια</w:t>
      </w:r>
    </w:p>
    <w:p>
      <w:pPr>
        <w:spacing w:after="60"/>
      </w:pPr>
      <w:r>
        <w:rPr>
          <w:i/>
          <w:iCs/>
          <w:color w:val="595959"/>
          <w:sz w:val="22"/>
          <w:szCs w:val="22"/>
        </w:rPr>
        <w:t xml:space="preserve">Κάθε διαφάνεια της παρουσίασης, εξηγημένη απλά, με τα μαθηματικά όπου υπάρχουν, και πιθανές ερωτήσεις της επιτροπής</w:t>
      </w:r>
    </w:p>
    <w:p>
      <w:pPr>
        <w:spacing w:after="260"/>
      </w:pPr>
      <w:r>
        <w:rPr>
          <w:color w:val="595959"/>
          <w:sz w:val="20"/>
          <w:szCs w:val="20"/>
        </w:rPr>
        <w:t xml:space="preserve">Χρήστος Μουρτογιάννης · ΕΚΠΑ, ΔΠΜΣ Διοίκηση και Οικονομική Τηλεπικοινωνιακών Δικτύων και Πληροφοριακών Συστημάτων</w:t>
      </w:r>
    </w:p>
    <w:p>
      <w:pPr>
        <w:pBdr>
          <w:top w:val="single" w:color="DCE6DA" w:sz="6" w:space="8"/>
        </w:pBdr>
        <w:spacing w:after="300"/>
      </w:pPr>
      <w:r>
        <w:rPr>
          <w:color w:val="595959"/>
          <w:sz w:val="20"/>
          <w:szCs w:val="20"/>
        </w:rPr>
        <w:t xml:space="preserve">Πώς να το χρησιμοποιήσεις: κάθε διαφάνεια της παρουσίασης έχει το δικό της κομμάτι εδώ, με την ίδια σειρά. Πρώτα μια εξήγηση σαν να τη λες σε κάποιον που δεν ξέρει τίποτα από data science, μετά τα μαθηματικά αν υπάρχουν, και μετά μία ερώτηση που μπορεί να σου κάνει η επιτροπή πάνω σε αυτή τη διαφάνεια. Στο τέλος υπάρχει μια κάρτα με όλα τα νούμερα, για γρήγορη ανάκληση.</w:t>
      </w:r>
    </w:p>
    <w:p>
      <w:pPr>
        <w:pStyle w:val="Heading1"/>
        <w:pBdr>
          <w:bottom w:val="single" w:color="2C5530" w:sz="8" w:space="4"/>
        </w:pBdr>
        <w:spacing w:after="160" w:before="420"/>
      </w:pPr>
      <w:r>
        <w:rPr>
          <w:b/>
          <w:bCs/>
          <w:color w:val="2C5530"/>
          <w:sz w:val="32"/>
          <w:szCs w:val="32"/>
        </w:rPr>
        <w:t xml:space="preserve">Ενότητα 1: Κίνητρο &amp; Στόχοι</w:t>
      </w:r>
    </w:p>
    <w:p>
      <w:pPr>
        <w:pStyle w:val="Heading2"/>
        <w:shd w:fill="EEF3EC" w:val="clear"/>
        <w:spacing w:after="80" w:before="260"/>
      </w:pPr>
      <w:r>
        <w:rPr>
          <w:b/>
          <w:bCs/>
          <w:color w:val="2C5530"/>
          <w:sz w:val="24"/>
          <w:szCs w:val="24"/>
        </w:rPr>
        <w:t xml:space="preserve">Διαφάνεια 1: Τίτλος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Η πρώτη διαφάνεια: ποιος είσαι, ποιο είναι το θέμα, ποιος σε επιβλέπει, πότε γίνεται η παρουσίαση. Τίποτα τεχνικό, απλές συστάσεις.</w:t>
      </w:r>
    </w:p>
    <w:p>
      <w:pPr>
        <w:pStyle w:val="Heading2"/>
        <w:shd w:fill="EEF3EC" w:val="clear"/>
        <w:spacing w:after="80" w:before="260"/>
      </w:pPr>
      <w:r>
        <w:rPr>
          <w:b/>
          <w:bCs/>
          <w:color w:val="2C5530"/>
          <w:sz w:val="24"/>
          <w:szCs w:val="24"/>
        </w:rPr>
        <w:t xml:space="preserve">Διαφάνεια 2: Δομή παρουσίασης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Ο χάρτης της παρουσίασης: τι θα πεις πρώτα, τι μετά, πώς κλείνει. Βοηθάει το κοινό να ξέρει πού βρίσκεσαι ανά πάσα στιγμή.</w:t>
      </w:r>
    </w:p>
    <w:p>
      <w:pPr>
        <w:pStyle w:val="Heading2"/>
        <w:shd w:fill="EEF3EC" w:val="clear"/>
        <w:spacing w:after="80" w:before="260"/>
      </w:pPr>
      <w:r>
        <w:rPr>
          <w:b/>
          <w:bCs/>
          <w:color w:val="2C5530"/>
          <w:sz w:val="24"/>
          <w:szCs w:val="24"/>
        </w:rPr>
        <w:t xml:space="preserve">Διαφάνεια 3: Ενότητα: Κίνητρο &amp; Στόχοι</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Απλή διαφάνεια-τίτλος. Λέει «τώρα μπαίνουμε στην πρώτη ενότητα». Καμία πληροφορία, μόνο αλλαγή θέματος.</w:t>
      </w:r>
    </w:p>
    <w:p>
      <w:pPr>
        <w:pStyle w:val="Heading2"/>
        <w:shd w:fill="EEF3EC" w:val="clear"/>
        <w:spacing w:after="80" w:before="260"/>
      </w:pPr>
      <w:r>
        <w:rPr>
          <w:b/>
          <w:bCs/>
          <w:color w:val="2C5530"/>
          <w:sz w:val="24"/>
          <w:szCs w:val="24"/>
        </w:rPr>
        <w:t xml:space="preserve">Διαφάνεια 4: Το κενό δεδομένων – αποφάσεων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Φαντάσου ένα μαγαζί που έχει καταγράψει κάθε πώληση εδώ και χρόνια, αλλά ο ιδιοκτήτης παίρνει αποφάσεις με το μάτι, χωρίς ποτέ να κοιτάξει αυτά τα δεδομένα.</w:t>
      </w:r>
    </w:p>
    <w:p>
      <w:pPr>
        <w:spacing w:after="100"/>
      </w:pPr>
      <w:r>
        <w:rPr>
          <w:i w:val="false"/>
          <w:iCs w:val="false"/>
          <w:sz w:val="21"/>
          <w:szCs w:val="21"/>
        </w:rPr>
        <w:t xml:space="preserve">Αυτό είναι το πρόβλημα: τα δεδομένα υπάρχουν, αλλά κανείς δεν τα χρησιμοποιεί. Η δουλειά φτιάχνει το εργαλείο που τα διαβάζει και βγάζει χρήσιμα συμπεράσματα.</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δεν το κάνει ήδη η επιχείρηση μόνη της;» </w:t>
      </w:r>
      <w:r>
        <w:rPr>
          <w:color w:val="3A2C10"/>
          <w:sz w:val="20"/>
          <w:szCs w:val="20"/>
        </w:rPr>
        <w:t xml:space="preserve">Επειδή χρειάζεται εξειδικευμένη γνώση data mining και machine learning. Δεν είναι κάτι που κάνεις με ένα απλό Excel.</w:t>
      </w:r>
    </w:p>
    <w:p>
      <w:pPr>
        <w:pStyle w:val="Heading2"/>
        <w:shd w:fill="EEF3EC" w:val="clear"/>
        <w:spacing w:after="80" w:before="260"/>
      </w:pPr>
      <w:r>
        <w:rPr>
          <w:b/>
          <w:bCs/>
          <w:color w:val="2C5530"/>
          <w:sz w:val="24"/>
          <w:szCs w:val="24"/>
        </w:rPr>
        <w:t xml:space="preserve">Διαφάνεια 5: Επτά ερωτήματα από πραγματικές επιχειρήσεις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Οι 7 απλές ερωτήσεις που θα έκανε κάθε μαγαζάτορας: «ποιο προϊόν πουλάει καλύτερα;», «ποιος πελάτης αγοράζει πιο πολύ;» και ούτω καθεξής.</w:t>
      </w:r>
    </w:p>
    <w:p>
      <w:pPr>
        <w:spacing w:after="100"/>
      </w:pPr>
      <w:r>
        <w:rPr>
          <w:i w:val="false"/>
          <w:iCs w:val="false"/>
          <w:sz w:val="21"/>
          <w:szCs w:val="21"/>
        </w:rPr>
        <w:t xml:space="preserve">Η δουλειά ξεκίνησε απαντώντας ακριβώς σε αυτά, και μετά πρόσθεσε πιο σύνθετα κομμάτια: οικονομικά μεγέθη και τρεις τεχνικές μηχανικής μάθησης.</w:t>
      </w:r>
    </w:p>
    <w:p>
      <w:pPr>
        <w:pStyle w:val="Heading2"/>
        <w:shd w:fill="EEF3EC" w:val="clear"/>
        <w:spacing w:after="80" w:before="260"/>
      </w:pPr>
      <w:r>
        <w:rPr>
          <w:b/>
          <w:bCs/>
          <w:color w:val="2C5530"/>
          <w:sz w:val="24"/>
          <w:szCs w:val="24"/>
        </w:rPr>
        <w:t xml:space="preserve">Διαφάνεια 6: Δύο αρχές σχεδίασης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Δύο κανόνες που ακολουθεί όλη η δουλειά.</w:t>
      </w:r>
    </w:p>
    <w:p>
      <w:pPr>
        <w:spacing w:after="40" w:before="100"/>
      </w:pPr>
      <w:r>
        <w:rPr>
          <w:b/>
          <w:bCs/>
          <w:color w:val="2F7D4F"/>
          <w:spacing w:val="16"/>
          <w:sz w:val="17"/>
          <w:szCs w:val="17"/>
        </w:rPr>
        <w:t xml:space="preserve">ΤΑ ΜΑΘΗΜΑΤΙΚΆ / ΠΏΣ ΔΟΥΛΕΎΕΙ</w:t>
      </w:r>
    </w:p>
    <w:p>
      <w:pPr>
        <w:pStyle w:val="ListParagraph"/>
        <w:numPr>
          <w:ilvl w:val="0"/>
          <w:numId w:val="2"/>
        </w:numPr>
        <w:spacing w:after="60"/>
      </w:pPr>
      <w:r>
        <w:rPr>
          <w:sz w:val="21"/>
          <w:szCs w:val="21"/>
        </w:rPr>
        <w:t xml:space="preserve">Γενικότητα: το σύστημα δεν είναι φτιαγμένο μόνο για αυτό το μαγαζί, δουλεύει με οποιοδήποτε μαγαζί, σαν πρίζα που ταιριάζει παντού.</w:t>
      </w:r>
    </w:p>
    <w:p>
      <w:pPr>
        <w:pStyle w:val="ListParagraph"/>
        <w:numPr>
          <w:ilvl w:val="0"/>
          <w:numId w:val="2"/>
        </w:numPr>
        <w:spacing w:after="60"/>
      </w:pPr>
      <w:r>
        <w:rPr>
          <w:sz w:val="21"/>
          <w:szCs w:val="21"/>
        </w:rPr>
        <w:t xml:space="preserve">Ειλικρίνεια: αν κάτι δεν μπορεί να μετρηθεί με σιγουριά, π.χ. το κέρδος γιατί δεν ξέρουμε το κόστος, το σύστημα δεν προσποιείται ότι το ξέρει. Λέει ξεκάθαρα «αυτό είναι υπόθεση, όχι μέτρηση».</w:t>
      </w:r>
    </w:p>
    <w:p>
      <w:r>
        <w:br w:type="page"/>
      </w:r>
    </w:p>
    <w:p>
      <w:pPr>
        <w:pStyle w:val="Heading1"/>
        <w:pBdr>
          <w:bottom w:val="single" w:color="2C5530" w:sz="8" w:space="4"/>
        </w:pBdr>
        <w:spacing w:after="160" w:before="420"/>
      </w:pPr>
      <w:r>
        <w:rPr>
          <w:b/>
          <w:bCs/>
          <w:color w:val="2C5530"/>
          <w:sz w:val="32"/>
          <w:szCs w:val="32"/>
        </w:rPr>
        <w:t xml:space="preserve">Ενότητα 2: Θεωρητικό Υπόβαθρο</w:t>
      </w:r>
    </w:p>
    <w:p>
      <w:pPr>
        <w:pStyle w:val="Heading2"/>
        <w:shd w:fill="EEF3EC" w:val="clear"/>
        <w:spacing w:after="80" w:before="260"/>
      </w:pPr>
      <w:r>
        <w:rPr>
          <w:b/>
          <w:bCs/>
          <w:color w:val="2C5530"/>
          <w:sz w:val="24"/>
          <w:szCs w:val="24"/>
        </w:rPr>
        <w:t xml:space="preserve">Διαφάνεια 7: Ενότητα: Θεωρητικό Υπόβαθρο</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Αλλαγή ενότητας: τώρα εξηγείς τη θεωρία πίσω από τις τεχνικές, πριν δείξεις τα αποτελέσματα.</w:t>
      </w:r>
    </w:p>
    <w:p>
      <w:pPr>
        <w:pStyle w:val="Heading2"/>
        <w:shd w:fill="EEF3EC" w:val="clear"/>
        <w:spacing w:after="80" w:before="260"/>
      </w:pPr>
      <w:r>
        <w:rPr>
          <w:b/>
          <w:bCs/>
          <w:color w:val="2C5530"/>
          <w:sz w:val="24"/>
          <w:szCs w:val="24"/>
        </w:rPr>
        <w:t xml:space="preserve">Διαφάνεια 8: Frequent Itemset Mining</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Φαντάσου χιλιάδες αποδείξεις από ένα μαγαζί. Θέλεις να βρεις ποια προϊόντα αγοράζονται μαζί συχνά, π.χ. «όποιος αγοράζει ψωμί, συχνά αγοράζει και βούτυρο». Αυτό λέγεται εξόρυξη συχνών itemsets.</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Παράδειγμα με 10 αποδείξεις, όπου 3 έχουν και ψωμί και βούτυρο μαζί:</w:t>
      </w:r>
    </w:p>
    <w:p>
      <w:pPr>
        <w:pStyle w:val="ListParagraph"/>
        <w:numPr>
          <w:ilvl w:val="0"/>
          <w:numId w:val="2"/>
        </w:numPr>
        <w:spacing w:after="60"/>
      </w:pPr>
      <w:r>
        <w:rPr>
          <w:sz w:val="21"/>
          <w:szCs w:val="21"/>
        </w:rPr>
        <w:t xml:space="preserve">Support(ψωμί+βούτυρο) = 3/10 = 0,3. Δηλαδή στο 30% των αποδείξεων υπάρχουν και τα δύο.</w:t>
      </w:r>
    </w:p>
    <w:p>
      <w:pPr>
        <w:pStyle w:val="ListParagraph"/>
        <w:numPr>
          <w:ilvl w:val="0"/>
          <w:numId w:val="2"/>
        </w:numPr>
        <w:spacing w:after="60"/>
      </w:pPr>
      <w:r>
        <w:rPr>
          <w:sz w:val="21"/>
          <w:szCs w:val="21"/>
        </w:rPr>
        <w:t xml:space="preserve">Αν το ψωμί εμφανίζεται σε 5 αποδείξεις συνολικά, τότε Confidence(ψωμί→βούτυρο) = 3/5 = 0,6. Στο 60% των φορών που κάποιος πήρε ψωμί, πήρε και βούτυρο.</w:t>
      </w:r>
    </w:p>
    <w:p>
      <w:pPr>
        <w:pStyle w:val="ListParagraph"/>
        <w:numPr>
          <w:ilvl w:val="0"/>
          <w:numId w:val="2"/>
        </w:numPr>
        <w:spacing w:after="60"/>
      </w:pPr>
      <w:r>
        <w:rPr>
          <w:sz w:val="21"/>
          <w:szCs w:val="21"/>
        </w:rPr>
        <w:t xml:space="preserve">Αν το βούτυρο είναι ούτως ή άλλως πολύ δημοφιλές, π.χ. εμφανίζεται σε 8 από τις 10 αποδείξεις (support 0,8), τότε Lift = 0,6 / 0,8 = 0,75. Κάτω από το 1, άρα το ψωμί δεν σπρώχνει πραγματικά τις πωλήσεις βουτύρου, θα πουλιόταν το ίδιο ούτως ή άλλως.</w:t>
      </w:r>
    </w:p>
    <w:p>
      <w:pPr>
        <w:pStyle w:val="ListParagraph"/>
        <w:numPr>
          <w:ilvl w:val="0"/>
          <w:numId w:val="2"/>
        </w:numPr>
        <w:spacing w:after="60"/>
      </w:pPr>
      <w:r>
        <w:rPr>
          <w:sz w:val="21"/>
          <w:szCs w:val="21"/>
        </w:rPr>
        <w:t xml:space="preserve">Αν αντίθετα το βούτυρο ήταν σπάνιο, π.χ. support μόνο του 0,2, τότε Lift = 0,6 / 0,2 = 3. Πραγματική σχέση: 3 φορές πιο πιθανό να αγοραστούν μαζί απ' ό,τι τυχαία.</w:t>
      </w:r>
    </w:p>
    <w:p>
      <w:pPr>
        <w:spacing w:after="100"/>
      </w:pPr>
      <w:r>
        <w:rPr>
          <w:i w:val="false"/>
          <w:iCs w:val="false"/>
          <w:sz w:val="21"/>
          <w:szCs w:val="21"/>
        </w:rPr>
        <w:t xml:space="preserve">Το lift είναι το μέτρο που δείχνει αληθινή σχέση ανάμεσα σε δύο προϊόντα, όχι απλή δημοφιλία του ενός.</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δύο αλγόριθμοι (Apriori, FP-Growth) για το ίδιο πράγμα;» </w:t>
      </w:r>
      <w:r>
        <w:rPr>
          <w:color w:val="3A2C10"/>
          <w:sz w:val="20"/>
          <w:szCs w:val="20"/>
        </w:rPr>
        <w:t xml:space="preserve">Το ζήτησε η επίβλεψη, και επέτρεψε να αποδειχθεί πειραματικά ότι δίνουν το ίδιο ακριβώς αποτέλεσμα, διαφέρουν μόνο στην ταχύτητα εκτέλεσης.</w:t>
      </w:r>
    </w:p>
    <w:p>
      <w:pPr>
        <w:pStyle w:val="Heading2"/>
        <w:shd w:fill="EEF3EC" w:val="clear"/>
        <w:spacing w:after="80" w:before="260"/>
      </w:pPr>
      <w:r>
        <w:rPr>
          <w:b/>
          <w:bCs/>
          <w:color w:val="2C5530"/>
          <w:sz w:val="24"/>
          <w:szCs w:val="24"/>
        </w:rPr>
        <w:t xml:space="preserve">Διαφάνεια 9: Clustering</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Έχεις έναν σωρό από στοιχεία, π.χ. χώρες ή πελάτες, και θες να τα χωρίσεις σε ομάδες, τα λεγόμενα clusters, όπου τα μέλη κάθε ομάδας μοιάζουν μεταξύ τους.</w:t>
      </w:r>
    </w:p>
    <w:p>
      <w:pPr>
        <w:spacing w:after="100"/>
      </w:pPr>
      <w:r>
        <w:rPr>
          <w:i w:val="false"/>
          <w:iCs w:val="false"/>
          <w:sz w:val="21"/>
          <w:szCs w:val="21"/>
        </w:rPr>
        <w:t xml:space="preserve">Ο αλγόριθμος k-means διαλέγει k κέντρα, βάζει κάθε στοιχείο στο πλησιέστερο κέντρο, μετά μετακινεί τα κέντρα στο μέσο της ομάδας τους, και επαναλαμβάνει μέχρι να σταθεροποιηθεί.</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Ο τύπος J = Σ (απόσταση κάθε σημείου από το κέντρο του)² απλά μετράει πόσο μαζεμένη είναι κάθε ομάδα. Θέλουμε αυτό το άθροισμα να είναι όσο πιο μικρό γίνεται.</w:t>
      </w:r>
    </w:p>
    <w:p>
      <w:pPr>
        <w:spacing w:after="100"/>
      </w:pPr>
      <w:r>
        <w:rPr>
          <w:i w:val="false"/>
          <w:iCs w:val="false"/>
          <w:sz w:val="21"/>
          <w:szCs w:val="21"/>
        </w:rPr>
        <w:t xml:space="preserve">Silhouette score: για κάθε σημείο υπολογίζουμε (α) πόσο κοντά είναι στα μέλη της δικής του ομάδας, και (β) πόσο κοντά είναι στην πιο κοντινή άλλη ομάδα. Πολύ πιο κοντά στη δική του ομάδα: σκορ κοντά στο +1, καλό. Μπερδεμένο ανάμεσα σε δύο ομάδες: σκορ κοντά στο 0. Στη λάθος ομάδα: σκορ κοντά στο −1, κακό.</w:t>
      </w:r>
    </w:p>
    <w:p>
      <w:pPr>
        <w:spacing w:after="100"/>
      </w:pPr>
      <w:r>
        <w:rPr>
          <w:i w:val="false"/>
          <w:iCs w:val="false"/>
          <w:sz w:val="21"/>
          <w:szCs w:val="21"/>
        </w:rPr>
        <w:t xml:space="preserve">Αντί να μαντέψουμε πόσα clusters θέλουμε, δοκιμάζουμε πολλά υποψήφια k και διαλέγουμε αυτό με το καλύτερο μέσο silhouette score.</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δύο επίπεδα clustering;» </w:t>
      </w:r>
      <w:r>
        <w:rPr>
          <w:color w:val="3A2C10"/>
          <w:sz w:val="20"/>
          <w:szCs w:val="20"/>
        </w:rPr>
        <w:t xml:space="preserve">Το ζήτησε η επίβλεψη: πρώτα ομαδοποιούμε ως προς περιοχή και χρόνο, μετά μέσα σε κάθε ομάδα ξανακάνουμε clustering με RFM χαρακτηριστικά. Έτσι παίρνουμε πληροφορία σε δύο επίπεδα αντί για ένα κουρδισμένο μοντέλο.</w:t>
      </w:r>
    </w:p>
    <w:p>
      <w:pPr>
        <w:pStyle w:val="Heading2"/>
        <w:shd w:fill="EEF3EC" w:val="clear"/>
        <w:spacing w:after="80" w:before="260"/>
      </w:pPr>
      <w:r>
        <w:rPr>
          <w:b/>
          <w:bCs/>
          <w:color w:val="2C5530"/>
          <w:sz w:val="24"/>
          <w:szCs w:val="24"/>
        </w:rPr>
        <w:t xml:space="preserve">Διαφάνεια 10: RFM &amp; Οικονομικοί δείκτες e-commerce</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RFM είναι 3 απλοί αριθμοί για κάθε πελάτη: Recency, πόσο πρόσφατα αγόρασε, Frequency, πόσο συχνά αγοράζει, και Monetary, πόσα έχει ξοδέψει συνολικά.</w:t>
      </w:r>
    </w:p>
    <w:p>
      <w:pPr>
        <w:spacing w:after="100"/>
      </w:pPr>
      <w:r>
        <w:rPr>
          <w:i w:val="false"/>
          <w:iCs w:val="false"/>
          <w:sz w:val="21"/>
          <w:szCs w:val="21"/>
        </w:rPr>
        <w:t xml:space="preserve">Κάποια οικονομικά μεγέθη, π.χ. πόσα έσοδα μπήκαν συνολικά, υπολογίζονται απευθείας από τα δεδομένα. Άλλα, π.χ. πόσο κέρδος θα φέρει ένας πελάτης στο μέλλον, χρειάζονται υποθέσεις που δεν υπάρχουν στα δεδομένα.</w:t>
      </w:r>
    </w:p>
    <w:p>
      <w:r>
        <w:br w:type="page"/>
      </w:r>
    </w:p>
    <w:p>
      <w:pPr>
        <w:pStyle w:val="Heading1"/>
        <w:pBdr>
          <w:bottom w:val="single" w:color="2C5530" w:sz="8" w:space="4"/>
        </w:pBdr>
        <w:spacing w:after="160" w:before="420"/>
      </w:pPr>
      <w:r>
        <w:rPr>
          <w:b/>
          <w:bCs/>
          <w:color w:val="2C5530"/>
          <w:sz w:val="32"/>
          <w:szCs w:val="32"/>
        </w:rPr>
        <w:t xml:space="preserve">Ενότητα 3: Αρχιτεκτονική &amp; Δεδομένα</w:t>
      </w:r>
    </w:p>
    <w:p>
      <w:pPr>
        <w:pStyle w:val="Heading2"/>
        <w:shd w:fill="EEF3EC" w:val="clear"/>
        <w:spacing w:after="80" w:before="260"/>
      </w:pPr>
      <w:r>
        <w:rPr>
          <w:b/>
          <w:bCs/>
          <w:color w:val="2C5530"/>
          <w:sz w:val="24"/>
          <w:szCs w:val="24"/>
        </w:rPr>
        <w:t xml:space="preserve">Διαφάνεια 11: Ενότητα: Αρχιτεκτονική &amp; Δεδομένα</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Αλλαγή ενότητας: τώρα εξηγείς πώς είναι φτιαγμένο το σύστημα και τι δεδομένα χρησιμοποιεί.</w:t>
      </w:r>
    </w:p>
    <w:p>
      <w:pPr>
        <w:pStyle w:val="Heading2"/>
        <w:shd w:fill="EEF3EC" w:val="clear"/>
        <w:spacing w:after="80" w:before="260"/>
      </w:pPr>
      <w:r>
        <w:rPr>
          <w:b/>
          <w:bCs/>
          <w:color w:val="2C5530"/>
          <w:sz w:val="24"/>
          <w:szCs w:val="24"/>
        </w:rPr>
        <w:t xml:space="preserve">Διαφάνεια 12: Online Retail II (UCI)</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Αυτό είναι το πείραμα πάνω στο οποίο δοκιμάστηκε όλο το σύστημα: πραγματικές πωλήσεις ενός βρετανικού καταστήματος χονδρικής πώλησης δώρων, 2009 έως 2011. Πάνω από ένα εκατομμύριο γραμμές δεδομένων.</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αυτό το dataset;» </w:t>
      </w:r>
      <w:r>
        <w:rPr>
          <w:color w:val="3A2C10"/>
          <w:sz w:val="20"/>
          <w:szCs w:val="20"/>
        </w:rPr>
        <w:t xml:space="preserve">Είναι δημόσιο, οπότε ο καθένας μπορεί να το ελέγξει. Το χρησιμοποίησε ήδη άλλη επιστημονική εργασία, οπότε μπορείς να συγκρίνεις. Και έχει επιστροφές, οπότε μπορείς να απαντήσεις το ερώτημα των επιστροφών.</w:t>
      </w:r>
    </w:p>
    <w:p>
      <w:pPr>
        <w:pStyle w:val="Heading2"/>
        <w:shd w:fill="EEF3EC" w:val="clear"/>
        <w:spacing w:after="80" w:before="260"/>
      </w:pPr>
      <w:r>
        <w:rPr>
          <w:b/>
          <w:bCs/>
          <w:color w:val="2C5530"/>
          <w:sz w:val="24"/>
          <w:szCs w:val="24"/>
        </w:rPr>
        <w:t xml:space="preserve">Διαφάνεια 13: Αρχιτεκτονική συστήματος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Το πίσω μέρος του συστήματος. Φαντάσου το σαν κτίριο με τέσσερις ορόφους: πάνω-πάνω το API, που δέχεται ερωτήματα, μετά τα services, η λογική της επιχείρησης, μετά τα repositories, που πάνε και φέρνουν δεδομένα, και κάτω-κάτω η βάση δεδομένων.</w:t>
      </w:r>
    </w:p>
    <w:p>
      <w:pPr>
        <w:spacing w:after="100"/>
      </w:pPr>
      <w:r>
        <w:rPr>
          <w:i w:val="false"/>
          <w:iCs w:val="false"/>
          <w:sz w:val="21"/>
          <w:szCs w:val="21"/>
        </w:rPr>
        <w:t xml:space="preserve">Κάθε όροφος μιλάει μόνο με τον διπλανό του, ποτέ δεν παρακάμπτει επίπεδα. Έτσι, αν χρειαστεί να αλλάξεις κάτι σε έναν όροφο, δεν χρειάζεται να πειράξεις τους υπόλοιπους.</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FastAPI, PostgreSQL και Celery;» </w:t>
      </w:r>
      <w:r>
        <w:rPr>
          <w:color w:val="3A2C10"/>
          <w:sz w:val="20"/>
          <w:szCs w:val="20"/>
        </w:rPr>
        <w:t xml:space="preserve">Το FastAPI είναι φτιαγμένο για ασύγχρονη δουλειά, ταιριάζει με αργές αναλύσεις. Η PostgreSQL κάνει σύνθετα ερωτήματα απευθείας στη βάση. Το Celery τρέχει δουλειές στο παρασκήνιο χωρίς να μπλοκάρει τον χρήστη που περιμένει απάντηση.</w:t>
      </w:r>
    </w:p>
    <w:p>
      <w:pPr>
        <w:pStyle w:val="Heading2"/>
        <w:shd w:fill="EEF3EC" w:val="clear"/>
        <w:spacing w:after="80" w:before="260"/>
      </w:pPr>
      <w:r>
        <w:rPr>
          <w:b/>
          <w:bCs/>
          <w:color w:val="2C5530"/>
          <w:sz w:val="24"/>
          <w:szCs w:val="24"/>
        </w:rPr>
        <w:t xml:space="preserve">Διαφάνεια 14: Γενικότητα στην πράξη</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Δείχνει πώς το σύστημα δουλεύει με οποιοδήποτε μαγαζί, όχι μόνο με το συγκεκριμένο dataset. Κάθε μαγαζί έχει δικά του «Πελάτες», «Προϊόντα» και τα λοιπά, αλλά όλα μεταφράζονται στην ίδια κοινή γλώσσα, έξι βασικές έννοιες.</w:t>
      </w:r>
    </w:p>
    <w:p>
      <w:pPr>
        <w:spacing w:after="100"/>
      </w:pPr>
      <w:r>
        <w:rPr>
          <w:i w:val="false"/>
          <w:iCs w:val="false"/>
          <w:sz w:val="21"/>
          <w:szCs w:val="21"/>
        </w:rPr>
        <w:t xml:space="preserve">Υπάρχουν τρεις τρόποι να στείλεις δεδομένα στο σύστημα, και μόνο ο ένας χρειάζεται να γραφτεί καινούριος κώδικας.</w:t>
      </w:r>
    </w:p>
    <w:p>
      <w:pPr>
        <w:shd w:fill="FBF1E3" w:val="clear"/>
        <w:spacing w:after="100" w:before="60"/>
      </w:pPr>
      <w:r>
        <w:rPr>
          <w:b/>
          <w:bCs/>
          <w:color w:val="8A5A1E"/>
          <w:sz w:val="20"/>
          <w:szCs w:val="20"/>
        </w:rPr>
        <w:t xml:space="preserve">Πιθανή ερώτηση: </w:t>
      </w:r>
      <w:r>
        <w:rPr>
          <w:i/>
          <w:iCs/>
          <w:color w:val="8A5A1E"/>
          <w:sz w:val="20"/>
          <w:szCs w:val="20"/>
        </w:rPr>
        <w:t xml:space="preserve">«Πώς αποδεικνύεται ότι είναι πραγματικά γενικό, και όχι απλώς σχεδιασμένο να φαίνεται έτσι;» </w:t>
      </w:r>
      <w:r>
        <w:rPr>
          <w:color w:val="3A2C10"/>
          <w:sz w:val="20"/>
          <w:szCs w:val="20"/>
        </w:rPr>
        <w:t xml:space="preserve">Δοκιμάστηκε πάνω σε δεύτερη πηγή δεδομένων, εντελώς διαφορετική σε σχήμα και ονόματα από το Online Retail II.</w:t>
      </w:r>
    </w:p>
    <w:p>
      <w:r>
        <w:br w:type="page"/>
      </w:r>
    </w:p>
    <w:p>
      <w:pPr>
        <w:pStyle w:val="Heading1"/>
        <w:pBdr>
          <w:bottom w:val="single" w:color="2C5530" w:sz="8" w:space="4"/>
        </w:pBdr>
        <w:spacing w:after="160" w:before="420"/>
      </w:pPr>
      <w:r>
        <w:rPr>
          <w:b/>
          <w:bCs/>
          <w:color w:val="2C5530"/>
          <w:sz w:val="32"/>
          <w:szCs w:val="32"/>
        </w:rPr>
        <w:t xml:space="preserve">Ενότητα 4: Αποτελέσματα ανά τεχνική</w:t>
      </w:r>
    </w:p>
    <w:p>
      <w:pPr>
        <w:pStyle w:val="Heading2"/>
        <w:shd w:fill="EEF3EC" w:val="clear"/>
        <w:spacing w:after="80" w:before="260"/>
      </w:pPr>
      <w:r>
        <w:rPr>
          <w:b/>
          <w:bCs/>
          <w:color w:val="2C5530"/>
          <w:sz w:val="24"/>
          <w:szCs w:val="24"/>
        </w:rPr>
        <w:t xml:space="preserve">Διαφάνεια 15: Προϊόντα &amp; Περιοχές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Δύο απλά γραφήματα: ποια προϊόντα έφεραν τα περισσότερα έσοδα, ποιες χώρες αγόρασαν τα περισσότερα.</w:t>
      </w:r>
    </w:p>
    <w:p>
      <w:pPr>
        <w:spacing w:after="100"/>
      </w:pPr>
      <w:r>
        <w:rPr>
          <w:i w:val="false"/>
          <w:iCs w:val="false"/>
          <w:sz w:val="21"/>
          <w:szCs w:val="21"/>
        </w:rPr>
        <w:t xml:space="preserve">Έκπληξη: το προϊόν με τις περισσότερες μονάδες δεν είναι πάντα αυτό με τα περισσότερα έσοδα. Ένα ακριβό προϊόν μπορεί να πουλήσει λιγότερα κομμάτια αλλά να φέρει περισσότερα χρήματα συνολικά.</w:t>
      </w:r>
    </w:p>
    <w:p>
      <w:pPr>
        <w:pStyle w:val="Heading2"/>
        <w:shd w:fill="EEF3EC" w:val="clear"/>
        <w:spacing w:after="80" w:before="260"/>
      </w:pPr>
      <w:r>
        <w:rPr>
          <w:b/>
          <w:bCs/>
          <w:color w:val="2C5530"/>
          <w:sz w:val="24"/>
          <w:szCs w:val="24"/>
        </w:rPr>
        <w:t xml:space="preserve">Διαφάνεια 16: Χρονική κατανομή πωλήσεων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Πότε μέσα στο χρόνο γίνονται οι πωλήσεις; Ο Νοέμβριος είναι ο πιο δυνατός μήνας, λόγω προετοιμασίας για τα Χριστούγεννα, και κάποιες μέρες της εβδομάδας πουλάνε καλύτερα από άλλες.</w:t>
      </w:r>
    </w:p>
    <w:p>
      <w:pPr>
        <w:pStyle w:val="Heading2"/>
        <w:shd w:fill="EEF3EC" w:val="clear"/>
        <w:spacing w:after="80" w:before="260"/>
      </w:pPr>
      <w:r>
        <w:rPr>
          <w:b/>
          <w:bCs/>
          <w:color w:val="2C5530"/>
          <w:sz w:val="24"/>
          <w:szCs w:val="24"/>
        </w:rPr>
        <w:t xml:space="preserve">Διαφάνεια 17: Εύρος τιμής &amp; χαρακτηριστικά προϊόντος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Χωρίζει τα προϊόντα σε φθηνά και ακριβά, και σε κατηγορίες όπως κουζίνα ή vintage, βασισμένα στις λέξεις της περιγραφής τους.</w:t>
      </w:r>
    </w:p>
    <w:p>
      <w:pPr>
        <w:spacing w:after="100"/>
      </w:pPr>
      <w:r>
        <w:rPr>
          <w:i w:val="false"/>
          <w:iCs w:val="false"/>
          <w:sz w:val="21"/>
          <w:szCs w:val="21"/>
        </w:rPr>
        <w:t xml:space="preserve">Τίμιο σημείο: το 38,9% των εσόδων δεν μπόρεσε να κατηγοριοποιηθεί, γιατί δεν υπήρχε επίσημη κατηγορία στα δεδομένα, μόνο ελεύθερο κείμενο. Αυτό λέγεται ανοιχτά αντί να κρύβεται.</w:t>
      </w:r>
    </w:p>
    <w:p>
      <w:pPr>
        <w:pStyle w:val="Heading2"/>
        <w:shd w:fill="EEF3EC" w:val="clear"/>
        <w:spacing w:after="80" w:before="260"/>
      </w:pPr>
      <w:r>
        <w:rPr>
          <w:b/>
          <w:bCs/>
          <w:color w:val="2C5530"/>
          <w:sz w:val="24"/>
          <w:szCs w:val="24"/>
        </w:rPr>
        <w:t xml:space="preserve">Διαφάνεια 18: Καλάθια &amp; σύγκριση αλγορίθμων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Καλάθι σημαίνει όλα τα προϊόντα μιας παραγγελίας μαζί. Ο πελάτης στη μέση (το διάμεσο, όχι ο μέσος όρος) έβαζε 17 διαφορετικά προϊόντα σε ένα καλάθι, χαρακτηριστικό χονδρεμπορίου και όχι απλής λιανικής.</w:t>
      </w:r>
    </w:p>
    <w:p>
      <w:pPr>
        <w:spacing w:after="100"/>
      </w:pPr>
      <w:r>
        <w:rPr>
          <w:i w:val="false"/>
          <w:iCs w:val="false"/>
          <w:sz w:val="21"/>
          <w:szCs w:val="21"/>
        </w:rPr>
        <w:t xml:space="preserve">Δείχνει επίσης ότι οι δύο αλγόριθμοι έδωσαν ακριβώς το ίδιο αποτέλεσμα, με τον FP-Growth περίπου 2,6 φορές πιο γρήγορο.</w:t>
      </w:r>
    </w:p>
    <w:p>
      <w:pPr>
        <w:pStyle w:val="Heading2"/>
        <w:shd w:fill="EEF3EC" w:val="clear"/>
        <w:spacing w:after="80" w:before="260"/>
      </w:pPr>
      <w:r>
        <w:rPr>
          <w:b/>
          <w:bCs/>
          <w:color w:val="2C5530"/>
          <w:sz w:val="24"/>
          <w:szCs w:val="24"/>
        </w:rPr>
        <w:t xml:space="preserve">Διαφάνεια 19: Ευαισθησία &amp; Association Rules</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Δείχνει τι συμβαίνει αν αλλάξεις το κατώφλι, δηλαδή πόσο σπάνιο επιτρέπεις να είναι ένα σύνολο προϊόντων για να το μετρήσουμε. Πιο αυστηρό κατώφλι σημαίνει λιγότεροι αλλά πιο σίγουροι κανόνες.</w:t>
      </w:r>
    </w:p>
    <w:p>
      <w:pPr>
        <w:spacing w:after="100"/>
      </w:pPr>
      <w:r>
        <w:rPr>
          <w:i w:val="false"/>
          <w:iCs w:val="false"/>
          <w:sz w:val="21"/>
          <w:szCs w:val="21"/>
        </w:rPr>
        <w:t xml:space="preserve">Ο πιο δυνατός κανόνας: τρία χρώματα του ίδιου σετ τσαγιού αγοράζονται μαζί 25 φορές πιο συχνά απ' ό,τι τυχαία. Βλέπε τη Διαφάνεια 8 για το πώς υπολογίζεται το lift.</w:t>
      </w:r>
    </w:p>
    <w:p>
      <w:pPr>
        <w:pStyle w:val="Heading2"/>
        <w:shd w:fill="EEF3EC" w:val="clear"/>
        <w:spacing w:after="80" w:before="260"/>
      </w:pPr>
      <w:r>
        <w:rPr>
          <w:b/>
          <w:bCs/>
          <w:color w:val="2C5530"/>
          <w:sz w:val="24"/>
          <w:szCs w:val="24"/>
        </w:rPr>
        <w:t xml:space="preserve">Διαφάνεια 20: Clustering, πρώτο επίπεδο</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Χωρίζει τις χώρες σε ομάδες βάσει εσόδων, παραγγελιών και δραστηριότητας μέσα στον χρόνο.</w:t>
      </w:r>
    </w:p>
    <w:p>
      <w:pPr>
        <w:spacing w:after="100"/>
      </w:pPr>
      <w:r>
        <w:rPr>
          <w:i w:val="false"/>
          <w:iCs w:val="false"/>
          <w:sz w:val="21"/>
          <w:szCs w:val="21"/>
        </w:rPr>
        <w:t xml:space="preserve">Το αποτέλεσμα: μόνο δύο ομάδες βγαίνουν φυσικά. Το Ηνωμένο Βασίλειο μόνο του, γιατί αγοράζει σχεδόν κάθε μήνα, και όλες οι υπόλοιπες 42 χώρες μαζί, γιατί αγοράζουν σποραδικά, λίγες φορές τον χρόνο.</w:t>
      </w:r>
    </w:p>
    <w:p>
      <w:pPr>
        <w:pStyle w:val="Heading2"/>
        <w:shd w:fill="EEF3EC" w:val="clear"/>
        <w:spacing w:after="80" w:before="260"/>
      </w:pPr>
      <w:r>
        <w:rPr>
          <w:b/>
          <w:bCs/>
          <w:color w:val="2C5530"/>
          <w:sz w:val="24"/>
          <w:szCs w:val="24"/>
        </w:rPr>
        <w:t xml:space="preserve">Διαφάνεια 21: Clustering, δεύτερο επίπεδο: RFM sub-clusters</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Μέσα σε κάθε ομάδα χωρών, ξαναχωρίζουμε τους πελάτες σε δύο τύπους: τους συνηθισμένους, πολλοί σε αριθμό αλλά αγοράζουν λίγες φορές και μικρά ποσά, και τους λεγόμενους whales, ελάχιστοι σε αριθμό αλλά αγοράζουν συχνά και τεράστια ποσά.</w:t>
      </w:r>
    </w:p>
    <w:p>
      <w:pPr>
        <w:spacing w:after="100"/>
      </w:pPr>
      <w:r>
        <w:rPr>
          <w:i w:val="false"/>
          <w:iCs w:val="false"/>
          <w:sz w:val="21"/>
          <w:szCs w:val="21"/>
        </w:rPr>
        <w:t xml:space="preserve">Αυτή η ίδια δομή εμφανίζεται και στις δύο ομάδες χωρών, ανεξάρτητα.</w:t>
      </w:r>
    </w:p>
    <w:p>
      <w:pPr>
        <w:pStyle w:val="Heading2"/>
        <w:shd w:fill="EEF3EC" w:val="clear"/>
        <w:spacing w:after="80" w:before="260"/>
      </w:pPr>
      <w:r>
        <w:rPr>
          <w:b/>
          <w:bCs/>
          <w:color w:val="2C5530"/>
          <w:sz w:val="24"/>
          <w:szCs w:val="24"/>
        </w:rPr>
        <w:t xml:space="preserve">Διαφάνεια 22: Πρόβλεψη πωλήσεων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Προσπαθεί να μαντέψει τις πωλήσεις των επόμενων μηνών, κοιτάζοντας το ιστορικό. Ψάχνει για γενική τάση, ανεβαίνει ή κατεβαίνει, και αν υπάρχει αρκετό ιστορικό, για επαναλαμβανόμενο ετήσιο μοτίβο, π.χ. κάθε Νοέμβριος είναι δυνατός.</w:t>
      </w:r>
    </w:p>
    <w:p>
      <w:pPr>
        <w:spacing w:after="100"/>
      </w:pPr>
      <w:r>
        <w:rPr>
          <w:i w:val="false"/>
          <w:iCs w:val="false"/>
          <w:sz w:val="21"/>
          <w:szCs w:val="21"/>
        </w:rPr>
        <w:t xml:space="preserve">Ενδιαφέρουσα ιστορία: το πρώτο αποτέλεσμα φαινόταν χειρότερο από το να μαντέψεις απλά «θα είναι όσο τον προηγούμενο μήνα». Αποδείχθηκε ότι ο τελευταίος μήνας των δεδομένων είχε μόνο 9 μέρες αντί για 30, οπότε έμοιαζε με κατάρρευση ενώ ήταν απλώς κομμένος στη μέση. Μόλις διορθώθηκε αυτό, το μοντέλο αποδείχθηκε καλύτερο.</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Skill score = 1 − (δικό μας σφάλμα / σφάλμα του χαζού μαντέματος, δηλαδή του να πεις ότι ο επόμενος μήνας θα είναι ίδιος με τον προηγούμενο). Αν κάνουμε μικρότερο σφάλμα από αυτό το χαζό μάντεμα, το skill score είναι θετικό, καλό. Αν κάνουμε μεγαλύτερο σφάλμα, είναι αρνητικό, δηλαδή το μοντέλο μας είναι χειρότερο κι από το να πεις απλώς «θα είναι όσο τον προηγούμενο μήνα».</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Holt-Winters και όχι κάτι πιο σύγχρονο όπως ARIMA ή deep learning;» </w:t>
      </w:r>
      <w:r>
        <w:rPr>
          <w:color w:val="3A2C10"/>
          <w:sz w:val="20"/>
          <w:szCs w:val="20"/>
        </w:rPr>
        <w:t xml:space="preserve">Διαφάνεια, λίγες παράμετροι, εύκολα ερμηνεύσιμο, και δουλεύει καλά με λίγο ιστορικό. Το dataset έχει μόλις 24-25 μήνες, πολύ λίγο για πολύπλοκα μοντέλα. Δηλώνεται ρητά ότι δεν είναι η ακριβέστερη μέθοδος, το skill score δείχνει το όριο αντί να το κρύβει.</w:t>
      </w:r>
    </w:p>
    <w:p>
      <w:pPr>
        <w:pStyle w:val="Heading2"/>
        <w:shd w:fill="EEF3EC" w:val="clear"/>
        <w:spacing w:after="80" w:before="260"/>
      </w:pPr>
      <w:r>
        <w:rPr>
          <w:b/>
          <w:bCs/>
          <w:color w:val="2C5530"/>
          <w:sz w:val="24"/>
          <w:szCs w:val="24"/>
        </w:rPr>
        <w:t xml:space="preserve">Διαφάνεια 23: Growth Accounting</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Σπάει τη μεταβολή των εσόδων κάθε μήνα σε έξι κουβάδες: πόσα έφεραν νέοι πελάτες, πόσα έφεραν παλιοί που ξαναγύρισαν, πόσα ήταν ίδια με πριν, πόσα ήταν μπόνους από υπάρχοντες πελάτες που ξόδεψαν παραπάνω, πόσα χάθηκαν από πελάτες που ξόδεψαν λιγότερο, και πόσα χάθηκαν εντελώς από πελάτες που έφυγαν.</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Quick ratio = (καλά πράγματα) / (κακά πράγματα), δηλαδή (νέα + αναβιωμένα + επέκταση) / (συρρίκνωση + απώλεια). Πάνω από 1 σημαίνει ότι η επιχείρηση μεγαλώνει. Κάτω από 1 σημαίνει ότι μικραίνει.</w:t>
      </w:r>
    </w:p>
    <w:p>
      <w:pPr>
        <w:pStyle w:val="Heading2"/>
        <w:shd w:fill="EEF3EC" w:val="clear"/>
        <w:spacing w:after="80" w:before="260"/>
      </w:pPr>
      <w:r>
        <w:rPr>
          <w:b/>
          <w:bCs/>
          <w:color w:val="2C5530"/>
          <w:sz w:val="24"/>
          <w:szCs w:val="24"/>
        </w:rPr>
        <w:t xml:space="preserve">Διαφάνεια 24: Επαναληπτικότητα &amp; συγκέντρωση εσόδων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Το 72,4% των πελατών ξαναγόρασαν, πολύ υψηλό ποσοστό που δείχνει χονδρεμπόριο και όχι απλή λιανική.</w:t>
      </w:r>
    </w:p>
    <w:p>
      <w:pPr>
        <w:spacing w:after="100"/>
      </w:pPr>
      <w:r>
        <w:rPr>
          <w:i w:val="false"/>
          <w:iCs w:val="false"/>
          <w:sz w:val="21"/>
          <w:szCs w:val="21"/>
        </w:rPr>
        <w:t xml:space="preserve">Ο συντελεστής Gini δείχνει πόσο άνισα μοιράζονται τα έσοδα ανάμεσα στους πελάτες. Αλλά ο μεγαλύτερος μεμονωμένος πελάτης είναι μόλις 3,3% των εσόδων, άρα δεν υπάρχει κίνδυνος αν φύγει ένας και μόνο πελάτης.</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Ο δείκτης Gini: φαντάσου 100 ανθρώπους κι ένα χρηματοκιβώτιο. Αν όλοι έχουν ακριβώς τα ίδια λεφτά, αυτό είναι απόλυτα δίκαιο, Gini = 0. Αν ένας άνθρωπος έχει όλα τα λεφτά και οι υπόλοιποι τίποτα, αυτό είναι απόλυτα άδικο, Gini = 1. Το δικό μας νούμερο, 0,740, είναι πιο κοντά στο άδικο άκρο, αλλά όχι στο μέγιστο.</w:t>
      </w:r>
    </w:p>
    <w:p>
      <w:pPr>
        <w:pStyle w:val="Heading2"/>
        <w:shd w:fill="EEF3EC" w:val="clear"/>
        <w:spacing w:after="80" w:before="260"/>
      </w:pPr>
      <w:r>
        <w:rPr>
          <w:b/>
          <w:bCs/>
          <w:color w:val="2C5530"/>
          <w:sz w:val="24"/>
          <w:szCs w:val="24"/>
        </w:rPr>
        <w:t xml:space="preserve">Διαφάνεια 25: Ανάλυση κερδοφορίας βάσει σεναρίων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Το πιο σημαντικό κομμάτι για την ειλικρίνεια της δουλειάς. Δεν ξέρουμε το πραγματικό κόστος του μαγαζιού, οπότε δεν μπορούμε να πούμε «το μαγαζί κερδίζει τόσα ευρώ» με σιγουριά.</w:t>
      </w:r>
    </w:p>
    <w:p>
      <w:pPr>
        <w:spacing w:after="100"/>
      </w:pPr>
      <w:r>
        <w:rPr>
          <w:i w:val="false"/>
          <w:iCs w:val="false"/>
          <w:sz w:val="21"/>
          <w:szCs w:val="21"/>
        </w:rPr>
        <w:t xml:space="preserve">Αντί γι' αυτό, δείχνουμε: αν το περιθώριο κέρδους είναι τόσο και το κόστος απόκτησης πελάτη τόσο, τότε το αποτέλεσμα είναι έτσι. Δοκιμάζουμε πολλούς τέτοιους συνδυασμούς.</w:t>
      </w:r>
    </w:p>
    <w:p>
      <w:pPr>
        <w:spacing w:after="40" w:before="100"/>
      </w:pPr>
      <w:r>
        <w:rPr>
          <w:b/>
          <w:bCs/>
          <w:color w:val="2F7D4F"/>
          <w:spacing w:val="16"/>
          <w:sz w:val="17"/>
          <w:szCs w:val="17"/>
        </w:rPr>
        <w:t xml:space="preserve">ΤΑ ΜΑΘΗΜΑΤΙΚΆ / ΠΏΣ ΔΟΥΛΕΎΕΙ</w:t>
      </w:r>
    </w:p>
    <w:p>
      <w:pPr>
        <w:spacing w:after="100"/>
      </w:pPr>
      <w:r>
        <w:rPr>
          <w:i w:val="false"/>
          <w:iCs w:val="false"/>
          <w:sz w:val="21"/>
          <w:szCs w:val="21"/>
        </w:rPr>
        <w:t xml:space="preserve">LTV:CAC = πόσα θα φέρει συνολικά ένας πελάτης στη ζωή του, LTV, διά πόσο κόστισε να τον αποκτήσουμε, CAC. Αν πληρώσεις 100 ευρώ για να αποκτήσεις έναν πελάτη και αυτός σου φέρει τελικά 300 ευρώ κέρδος, ο λόγος είναι 3:1, θεωρείται καλή επένδυση. Αν σου φέρει μόνο 90, τότε έχεις χάσει λεφτά αποκτώντας τον.</w:t>
      </w:r>
    </w:p>
    <w:p>
      <w:pPr>
        <w:shd w:fill="FBF1E3" w:val="clear"/>
        <w:spacing w:after="100" w:before="60"/>
      </w:pPr>
      <w:r>
        <w:rPr>
          <w:b/>
          <w:bCs/>
          <w:color w:val="8A5A1E"/>
          <w:sz w:val="20"/>
          <w:szCs w:val="20"/>
        </w:rPr>
        <w:t xml:space="preserve">Πιθανή ερώτηση: </w:t>
      </w:r>
      <w:r>
        <w:rPr>
          <w:i/>
          <w:iCs/>
          <w:color w:val="8A5A1E"/>
          <w:sz w:val="20"/>
          <w:szCs w:val="20"/>
        </w:rPr>
        <w:t xml:space="preserve">«Γιατί δεν υποθέτετε απλώς ένα λογικό περιθώριο για να δώσετε μια τελική απάντηση;» </w:t>
      </w:r>
      <w:r>
        <w:rPr>
          <w:color w:val="3A2C10"/>
          <w:sz w:val="20"/>
          <w:szCs w:val="20"/>
        </w:rPr>
        <w:t xml:space="preserve">Γιατί θα ήταν μια υπόθεση ντυμένη σαν εύρημα. Η ακαδημαϊκή εντιμότητα απαιτεί να δηλώνονται οι παραδοχές ρητά και να δείχνεται πώς αλλάζει το συμπέρασμα ανάλογα με αυτές, όχι να δίνεται ένα ψευδο-ακριβές νούμερο.</w:t>
      </w:r>
    </w:p>
    <w:p>
      <w:r>
        <w:br w:type="page"/>
      </w:r>
    </w:p>
    <w:p>
      <w:pPr>
        <w:pStyle w:val="Heading1"/>
        <w:pBdr>
          <w:bottom w:val="single" w:color="2C5530" w:sz="8" w:space="4"/>
        </w:pBdr>
        <w:spacing w:after="160" w:before="420"/>
      </w:pPr>
      <w:r>
        <w:rPr>
          <w:b/>
          <w:bCs/>
          <w:color w:val="2C5530"/>
          <w:sz w:val="32"/>
          <w:szCs w:val="32"/>
        </w:rPr>
        <w:t xml:space="preserve">Ενότητα 5: Το Σύστημα στην Πράξη</w:t>
      </w:r>
    </w:p>
    <w:p>
      <w:pPr>
        <w:pStyle w:val="Heading2"/>
        <w:shd w:fill="EEF3EC" w:val="clear"/>
        <w:spacing w:after="80" w:before="260"/>
      </w:pPr>
      <w:r>
        <w:rPr>
          <w:b/>
          <w:bCs/>
          <w:color w:val="2C5530"/>
          <w:sz w:val="24"/>
          <w:szCs w:val="24"/>
        </w:rPr>
        <w:t xml:space="preserve">Διαφάνεια 26: Ενότητα: Το Σύστημα στην Πράξη</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Αλλαγή ενότητας: τώρα δείχνεις πραγματικά screenshots και πραγματικές αποκρίσεις του συστήματος, όχι μόνο θεωρία.</w:t>
      </w:r>
    </w:p>
    <w:p>
      <w:pPr>
        <w:pStyle w:val="Heading2"/>
        <w:shd w:fill="EEF3EC" w:val="clear"/>
        <w:spacing w:after="80" w:before="260"/>
      </w:pPr>
      <w:r>
        <w:rPr>
          <w:b/>
          <w:bCs/>
          <w:color w:val="2C5530"/>
          <w:sz w:val="24"/>
          <w:szCs w:val="24"/>
        </w:rPr>
        <w:t xml:space="preserve">Διαφάνεια 27: Πραγματικές αποκρίσεις JSON (I)</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Δείχνει την πραγματική απάντηση που δίνει το σύστημα όταν κάποιος, πρόγραμμα ή άνθρωπος, ζητήσει μια ανάλυση, σε μορφή JSON: έναν απλό τρόπο να γράφεις δεδομένα ώστε να τα διαβάζουν εύκολα υπολογιστές.</w:t>
      </w:r>
    </w:p>
    <w:p>
      <w:pPr>
        <w:spacing w:after="100"/>
      </w:pPr>
      <w:r>
        <w:rPr>
          <w:i w:val="false"/>
          <w:iCs w:val="false"/>
          <w:sz w:val="21"/>
          <w:szCs w:val="21"/>
        </w:rPr>
        <w:t xml:space="preserve">Δεν είναι εφεύρεση για την παρουσίαση. Είναι ακριβώς ό,τι επιστρέφει το πρόγραμμα όταν του ζητήσεις πρόβλεψη πωλήσεων ή Growth Accounting.</w:t>
      </w:r>
    </w:p>
    <w:p>
      <w:pPr>
        <w:pStyle w:val="Heading2"/>
        <w:shd w:fill="EEF3EC" w:val="clear"/>
        <w:spacing w:after="80" w:before="260"/>
      </w:pPr>
      <w:r>
        <w:rPr>
          <w:b/>
          <w:bCs/>
          <w:color w:val="2C5530"/>
          <w:sz w:val="24"/>
          <w:szCs w:val="24"/>
        </w:rPr>
        <w:t xml:space="preserve">Διαφάνεια 28: Πραγματικές αποκρίσεις JSON (II)</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Δύο ακόμα πραγματικές αποκρίσεις: το clustering (με το silhouette score μέσα στην ίδια απάντηση, ώστε να ελέγχεται) και η κερδοφορία, όπου η δήλωση «σενάριο, όχι μέτρηση» υπάρχει κυριολεκτικά μέσα στο JSON, ώστε να μην μπορεί να αφαιρεθεί κατά λάθος.</w:t>
      </w:r>
    </w:p>
    <w:p>
      <w:pPr>
        <w:pStyle w:val="Heading2"/>
        <w:shd w:fill="EEF3EC" w:val="clear"/>
        <w:spacing w:after="80" w:before="260"/>
      </w:pPr>
      <w:r>
        <w:rPr>
          <w:b/>
          <w:bCs/>
          <w:color w:val="2C5530"/>
          <w:sz w:val="24"/>
          <w:szCs w:val="24"/>
        </w:rPr>
        <w:t xml:space="preserve">Διαφάνεια 29: Πίνακες ελέγχου: το dashboard πωλήσεων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Screenshot του πραγματικού dashboard, εκεί όπου ο ιδιοκτήτης του μαγαζιού, που δεν ξέρει προγραμματισμό, μπορεί να δει τα ίδια νούμερα σε πίνακες, χωρίς να χρειάζεται να καλέσει το API.</w:t>
      </w:r>
    </w:p>
    <w:p>
      <w:pPr>
        <w:pStyle w:val="Heading2"/>
        <w:shd w:fill="EEF3EC" w:val="clear"/>
        <w:spacing w:after="80" w:before="260"/>
      </w:pPr>
      <w:r>
        <w:rPr>
          <w:b/>
          <w:bCs/>
          <w:color w:val="2C5530"/>
          <w:sz w:val="24"/>
          <w:szCs w:val="24"/>
        </w:rPr>
        <w:t xml:space="preserve">Διαφάνεια 30: Association Rules &amp; Swagger UI</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Δύο ακόμα screenshots: πώς φαίνονται οι κανόνες συσχέτισης μέσα στο Metabase, και πώς φαίνεται η σελίδα όπου μπορεί κανείς να δοκιμάσει ζωντανά το API, το λεγόμενο Swagger UI.</w:t>
      </w:r>
    </w:p>
    <w:p>
      <w:r>
        <w:br w:type="page"/>
      </w:r>
    </w:p>
    <w:p>
      <w:pPr>
        <w:pStyle w:val="Heading1"/>
        <w:pBdr>
          <w:bottom w:val="single" w:color="2C5530" w:sz="8" w:space="4"/>
        </w:pBdr>
        <w:spacing w:after="160" w:before="420"/>
      </w:pPr>
      <w:r>
        <w:rPr>
          <w:b/>
          <w:bCs/>
          <w:color w:val="2C5530"/>
          <w:sz w:val="32"/>
          <w:szCs w:val="32"/>
        </w:rPr>
        <w:t xml:space="preserve">Ενότητα 6: Συμπεράσματα</w:t>
      </w:r>
    </w:p>
    <w:p>
      <w:pPr>
        <w:pStyle w:val="Heading2"/>
        <w:shd w:fill="EEF3EC" w:val="clear"/>
        <w:spacing w:after="80" w:before="260"/>
      </w:pPr>
      <w:r>
        <w:rPr>
          <w:b/>
          <w:bCs/>
          <w:color w:val="2C5530"/>
          <w:sz w:val="24"/>
          <w:szCs w:val="24"/>
        </w:rPr>
        <w:t xml:space="preserve">Διαφάνεια 31: Ενότητα: Συμπεράσματα</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Αλλαγή ενότητας: τώρα κλείνεις με το τι βρέθηκε, τι αξίζει, τι δεν μπορεί να κάνει η δουλειά, και τι θα μπορούσε να γίνει μετά.</w:t>
      </w:r>
    </w:p>
    <w:p>
      <w:pPr>
        <w:pStyle w:val="Heading2"/>
        <w:shd w:fill="EEF3EC" w:val="clear"/>
        <w:spacing w:after="80" w:before="260"/>
      </w:pPr>
      <w:r>
        <w:rPr>
          <w:b/>
          <w:bCs/>
          <w:color w:val="2C5530"/>
          <w:sz w:val="24"/>
          <w:szCs w:val="24"/>
        </w:rPr>
        <w:t xml:space="preserve">Διαφάνεια 32: Σύνοψη ευρημάτων</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Η περίληψη όλης της δουλειάς σε έξι προτάσεις. Αν κάποιος θυμάται μόνο μία διαφάνεια από όλη την παρουσίαση, καλό είναι να είναι αυτή.</w:t>
      </w:r>
    </w:p>
    <w:p>
      <w:pPr>
        <w:pStyle w:val="Heading2"/>
        <w:shd w:fill="EEF3EC" w:val="clear"/>
        <w:spacing w:after="80" w:before="260"/>
      </w:pPr>
      <w:r>
        <w:rPr>
          <w:b/>
          <w:bCs/>
          <w:color w:val="2C5530"/>
          <w:sz w:val="24"/>
          <w:szCs w:val="24"/>
        </w:rPr>
        <w:t xml:space="preserve">Διαφάνεια 33: Πρακτική αξιοποίηση από την επιχείρηση</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«Και λοιπόν, τι κάνει ο ιδιοκτήτης του μαγαζιού με όλα αυτά;» Δύο στήλες: τι βοηθάει στις αποφάσεις marketing, τι βοηθάει στις αποφάσεις πωλήσεων και αποθέματος.</w:t>
      </w:r>
    </w:p>
    <w:p>
      <w:pPr>
        <w:pStyle w:val="Heading2"/>
        <w:shd w:fill="EEF3EC" w:val="clear"/>
        <w:spacing w:after="80" w:before="260"/>
      </w:pPr>
      <w:r>
        <w:rPr>
          <w:b/>
          <w:bCs/>
          <w:color w:val="2C5530"/>
          <w:sz w:val="24"/>
          <w:szCs w:val="24"/>
        </w:rPr>
        <w:t xml:space="preserve">Διαφάνεια 34: Περιορισμοί, δηλωμένοι ανοιχτά</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Τα πέντε πράγματα που η δουλειά δεν μπορεί να κάνει, δηλωμένα ανοιχτά αντί να κρύβονται.</w:t>
      </w:r>
    </w:p>
    <w:p>
      <w:pPr>
        <w:spacing w:after="100"/>
      </w:pPr>
      <w:r>
        <w:rPr>
          <w:i w:val="false"/>
          <w:iCs w:val="false"/>
          <w:sz w:val="21"/>
          <w:szCs w:val="21"/>
        </w:rPr>
        <w:t xml:space="preserve">Το πιο σημαντικό: δεν ξέρουμε το κόστος του μαγαζιού, οπότε δεν μπορούμε να πούμε με σιγουριά αν είναι πραγματικά κερδοφόρο.</w:t>
      </w:r>
    </w:p>
    <w:p>
      <w:pPr>
        <w:pStyle w:val="Heading2"/>
        <w:shd w:fill="EEF3EC" w:val="clear"/>
        <w:spacing w:after="80" w:before="260"/>
      </w:pPr>
      <w:r>
        <w:rPr>
          <w:b/>
          <w:bCs/>
          <w:color w:val="2C5530"/>
          <w:sz w:val="24"/>
          <w:szCs w:val="24"/>
        </w:rPr>
        <w:t xml:space="preserve">Διαφάνεια 35: Μελλοντικές επεκτάσεις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Πέντε ιδέες για το τι θα μπορούσε να γίνει μετά, αν κάποιος συνέχιζε αυτή τη δουλειά: δεύτερο πραγματικό κατάστημα για σύγκριση, προβλεπτική αξία πελάτη, γεωγραφική ιεραρχία, εξέλιξη κανόνων συσχέτισης με τον καιρό, και ενσωμάτωση πραγματικού κόστους.</w:t>
      </w:r>
    </w:p>
    <w:p>
      <w:pPr>
        <w:pStyle w:val="Heading2"/>
        <w:shd w:fill="EEF3EC" w:val="clear"/>
        <w:spacing w:after="80" w:before="260"/>
      </w:pPr>
      <w:r>
        <w:rPr>
          <w:b/>
          <w:bCs/>
          <w:color w:val="2C5530"/>
          <w:sz w:val="24"/>
          <w:szCs w:val="24"/>
        </w:rPr>
        <w:t xml:space="preserve">Διαφάνεια 36: Επίλογος</w:t>
      </w:r>
    </w:p>
    <w:p>
      <w:pPr>
        <w:spacing w:after="40" w:before="100"/>
      </w:pPr>
      <w:r>
        <w:rPr>
          <w:b/>
          <w:bCs/>
          <w:color w:val="B8722A"/>
          <w:spacing w:val="16"/>
          <w:sz w:val="17"/>
          <w:szCs w:val="17"/>
        </w:rPr>
        <w:t xml:space="preserve">ΜΕ ΑΠΛΆ ΛΌΓΙΑ</w:t>
      </w:r>
    </w:p>
    <w:p>
      <w:pPr>
        <w:spacing w:after="100"/>
      </w:pPr>
      <w:r>
        <w:rPr>
          <w:i w:val="false"/>
          <w:iCs w:val="false"/>
          <w:sz w:val="21"/>
          <w:szCs w:val="21"/>
        </w:rPr>
        <w:t xml:space="preserve">Η τελευταία διαφάνεια, το μήνυμα όλης της δουλειάς σε μία πρόταση: να απαντηθεί ό,τι ζήτησε η επιχείρηση, και να μην προσποιηθούμε ότι απαντάμε σε πράγματα που τα δεδομένα δεν επιτρέπουν.</w:t>
      </w:r>
    </w:p>
    <w:p>
      <w:r>
        <w:br w:type="page"/>
      </w:r>
    </w:p>
    <w:p>
      <w:pPr>
        <w:pStyle w:val="Heading1"/>
        <w:pBdr>
          <w:bottom w:val="single" w:color="2C5530" w:sz="8" w:space="4"/>
        </w:pBdr>
        <w:spacing w:after="160" w:before="420"/>
      </w:pPr>
      <w:r>
        <w:rPr>
          <w:b/>
          <w:bCs/>
          <w:color w:val="2C5530"/>
          <w:sz w:val="32"/>
          <w:szCs w:val="32"/>
        </w:rPr>
        <w:t xml:space="preserve">Κάρτα γρήγορης ανάκλησης νούμερων</w:t>
      </w:r>
    </w:p>
    <w:p>
      <w:pPr>
        <w:spacing w:after="160"/>
      </w:pPr>
      <w:r>
        <w:rPr>
          <w:i/>
          <w:iCs/>
          <w:color w:val="595959"/>
          <w:sz w:val="20"/>
          <w:szCs w:val="20"/>
        </w:rPr>
        <w:t xml:space="preserve">Για να μην ψάχνεις στο μυαλό σου υπό πίεση.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FFFFF" w:val="clear"/>
            <w:tcMar>
              <w:top w:type="dxa" w:w="80"/>
              <w:left w:type="dxa" w:w="120"/>
              <w:bottom w:type="dxa" w:w="80"/>
              <w:right w:type="dxa" w:w="120"/>
            </w:tcMar>
            <w:vAlign w:val="center"/>
          </w:tcPr>
          <w:p>
            <w:r>
              <w:rPr>
                <w:sz w:val="20"/>
                <w:szCs w:val="20"/>
              </w:rPr>
              <w:t xml:space="preserve">Παραγγελίες / γραμμές / επιστροφές</w:t>
            </w:r>
          </w:p>
        </w:tc>
        <w:tc>
          <w:tcPr>
            <w:tcW w:type="dxa" w:w="4500"/>
            <w:shd w:fill="FFFFFF" w:val="clear"/>
            <w:tcMar>
              <w:top w:type="dxa" w:w="80"/>
              <w:left w:type="dxa" w:w="120"/>
              <w:bottom w:type="dxa" w:w="80"/>
              <w:right w:type="dxa" w:w="120"/>
            </w:tcMar>
            <w:vAlign w:val="center"/>
          </w:tcPr>
          <w:p>
            <w:r>
              <w:rPr>
                <w:b/>
                <w:bCs/>
                <w:color w:val="2C5530"/>
                <w:sz w:val="20"/>
                <w:szCs w:val="20"/>
              </w:rPr>
              <w:t xml:space="preserve">39.516 / 1.002.423 / 17.925</w:t>
            </w:r>
          </w:p>
        </w:tc>
      </w:tr>
      <w:tr>
        <w:tc>
          <w:tcPr>
            <w:tcW w:type="dxa" w:w="4500"/>
            <w:shd w:fill="F4F6FB" w:val="clear"/>
            <w:tcMar>
              <w:top w:type="dxa" w:w="80"/>
              <w:left w:type="dxa" w:w="120"/>
              <w:bottom w:type="dxa" w:w="80"/>
              <w:right w:type="dxa" w:w="120"/>
            </w:tcMar>
            <w:vAlign w:val="center"/>
          </w:tcPr>
          <w:p>
            <w:r>
              <w:rPr>
                <w:sz w:val="20"/>
                <w:szCs w:val="20"/>
              </w:rPr>
              <w:t xml:space="preserve">Πελάτες / προϊόντα / περιοχές</w:t>
            </w:r>
          </w:p>
        </w:tc>
        <w:tc>
          <w:tcPr>
            <w:tcW w:type="dxa" w:w="4500"/>
            <w:shd w:fill="F4F6FB" w:val="clear"/>
            <w:tcMar>
              <w:top w:type="dxa" w:w="80"/>
              <w:left w:type="dxa" w:w="120"/>
              <w:bottom w:type="dxa" w:w="80"/>
              <w:right w:type="dxa" w:w="120"/>
            </w:tcMar>
            <w:vAlign w:val="center"/>
          </w:tcPr>
          <w:p>
            <w:r>
              <w:rPr>
                <w:b/>
                <w:bCs/>
                <w:color w:val="2C5530"/>
                <w:sz w:val="20"/>
                <w:szCs w:val="20"/>
              </w:rPr>
              <w:t xml:space="preserve">5.875 / 4.900 / 43</w:t>
            </w:r>
          </w:p>
        </w:tc>
      </w:tr>
      <w:tr>
        <w:tc>
          <w:tcPr>
            <w:tcW w:type="dxa" w:w="4500"/>
            <w:shd w:fill="FFFFFF" w:val="clear"/>
            <w:tcMar>
              <w:top w:type="dxa" w:w="80"/>
              <w:left w:type="dxa" w:w="120"/>
              <w:bottom w:type="dxa" w:w="80"/>
              <w:right w:type="dxa" w:w="120"/>
            </w:tcMar>
            <w:vAlign w:val="center"/>
          </w:tcPr>
          <w:p>
            <w:r>
              <w:rPr>
                <w:sz w:val="20"/>
                <w:szCs w:val="20"/>
              </w:rPr>
              <w:t xml:space="preserve">Χρόνος εισαγωγής dataset</w:t>
            </w:r>
          </w:p>
        </w:tc>
        <w:tc>
          <w:tcPr>
            <w:tcW w:type="dxa" w:w="4500"/>
            <w:shd w:fill="FFFFFF" w:val="clear"/>
            <w:tcMar>
              <w:top w:type="dxa" w:w="80"/>
              <w:left w:type="dxa" w:w="120"/>
              <w:bottom w:type="dxa" w:w="80"/>
              <w:right w:type="dxa" w:w="120"/>
            </w:tcMar>
            <w:vAlign w:val="center"/>
          </w:tcPr>
          <w:p>
            <w:r>
              <w:rPr>
                <w:b/>
                <w:bCs/>
                <w:color w:val="2C5530"/>
                <w:sz w:val="20"/>
                <w:szCs w:val="20"/>
              </w:rPr>
              <w:t xml:space="preserve">~140 δευτερόλεπτα</w:t>
            </w:r>
          </w:p>
        </w:tc>
      </w:tr>
      <w:tr>
        <w:tc>
          <w:tcPr>
            <w:tcW w:type="dxa" w:w="4500"/>
            <w:shd w:fill="F4F6FB" w:val="clear"/>
            <w:tcMar>
              <w:top w:type="dxa" w:w="80"/>
              <w:left w:type="dxa" w:w="120"/>
              <w:bottom w:type="dxa" w:w="80"/>
              <w:right w:type="dxa" w:w="120"/>
            </w:tcMar>
            <w:vAlign w:val="center"/>
          </w:tcPr>
          <w:p>
            <w:r>
              <w:rPr>
                <w:sz w:val="20"/>
                <w:szCs w:val="20"/>
              </w:rPr>
              <w:t xml:space="preserve">Μερίδιο εσόδων Ηνωμένου Βασιλείου</w:t>
            </w:r>
          </w:p>
        </w:tc>
        <w:tc>
          <w:tcPr>
            <w:tcW w:type="dxa" w:w="4500"/>
            <w:shd w:fill="F4F6FB" w:val="clear"/>
            <w:tcMar>
              <w:top w:type="dxa" w:w="80"/>
              <w:left w:type="dxa" w:w="120"/>
              <w:bottom w:type="dxa" w:w="80"/>
              <w:right w:type="dxa" w:w="120"/>
            </w:tcMar>
            <w:vAlign w:val="center"/>
          </w:tcPr>
          <w:p>
            <w:r>
              <w:rPr>
                <w:b/>
                <w:bCs/>
                <w:color w:val="2C5530"/>
                <w:sz w:val="20"/>
                <w:szCs w:val="20"/>
              </w:rPr>
              <w:t xml:space="preserve">≈ 86%</w:t>
            </w:r>
          </w:p>
        </w:tc>
      </w:tr>
      <w:tr>
        <w:tc>
          <w:tcPr>
            <w:tcW w:type="dxa" w:w="4500"/>
            <w:shd w:fill="FFFFFF" w:val="clear"/>
            <w:tcMar>
              <w:top w:type="dxa" w:w="80"/>
              <w:left w:type="dxa" w:w="120"/>
              <w:bottom w:type="dxa" w:w="80"/>
              <w:right w:type="dxa" w:w="120"/>
            </w:tcMar>
            <w:vAlign w:val="center"/>
          </w:tcPr>
          <w:p>
            <w:r>
              <w:rPr>
                <w:sz w:val="20"/>
                <w:szCs w:val="20"/>
              </w:rPr>
              <w:t xml:space="preserve">Επαναληπτικοί πελάτες</w:t>
            </w:r>
          </w:p>
        </w:tc>
        <w:tc>
          <w:tcPr>
            <w:tcW w:type="dxa" w:w="4500"/>
            <w:shd w:fill="FFFFFF" w:val="clear"/>
            <w:tcMar>
              <w:top w:type="dxa" w:w="80"/>
              <w:left w:type="dxa" w:w="120"/>
              <w:bottom w:type="dxa" w:w="80"/>
              <w:right w:type="dxa" w:w="120"/>
            </w:tcMar>
            <w:vAlign w:val="center"/>
          </w:tcPr>
          <w:p>
            <w:r>
              <w:rPr>
                <w:b/>
                <w:bCs/>
                <w:color w:val="2C5530"/>
                <w:sz w:val="20"/>
                <w:szCs w:val="20"/>
              </w:rPr>
              <w:t xml:space="preserve">72,4% (4.234 vs 1.618), ΜΟ 6,25 παραγγελίες/πελάτη</w:t>
            </w:r>
          </w:p>
        </w:tc>
      </w:tr>
      <w:tr>
        <w:tc>
          <w:tcPr>
            <w:tcW w:type="dxa" w:w="4500"/>
            <w:shd w:fill="F4F6FB" w:val="clear"/>
            <w:tcMar>
              <w:top w:type="dxa" w:w="80"/>
              <w:left w:type="dxa" w:w="120"/>
              <w:bottom w:type="dxa" w:w="80"/>
              <w:right w:type="dxa" w:w="120"/>
            </w:tcMar>
            <w:vAlign w:val="center"/>
          </w:tcPr>
          <w:p>
            <w:r>
              <w:rPr>
                <w:sz w:val="20"/>
                <w:szCs w:val="20"/>
              </w:rPr>
              <w:t xml:space="preserve">Μέση αξία παραγγελίας</w:t>
            </w:r>
          </w:p>
        </w:tc>
        <w:tc>
          <w:tcPr>
            <w:tcW w:type="dxa" w:w="4500"/>
            <w:shd w:fill="F4F6FB" w:val="clear"/>
            <w:tcMar>
              <w:top w:type="dxa" w:w="80"/>
              <w:left w:type="dxa" w:w="120"/>
              <w:bottom w:type="dxa" w:w="80"/>
              <w:right w:type="dxa" w:w="120"/>
            </w:tcMar>
            <w:vAlign w:val="center"/>
          </w:tcPr>
          <w:p>
            <w:r>
              <w:rPr>
                <w:b/>
                <w:bCs/>
                <w:color w:val="2C5530"/>
                <w:sz w:val="20"/>
                <w:szCs w:val="20"/>
              </w:rPr>
              <w:t xml:space="preserve">493,63</w:t>
            </w:r>
          </w:p>
        </w:tc>
      </w:tr>
      <w:tr>
        <w:tc>
          <w:tcPr>
            <w:tcW w:type="dxa" w:w="4500"/>
            <w:shd w:fill="FFFFFF" w:val="clear"/>
            <w:tcMar>
              <w:top w:type="dxa" w:w="80"/>
              <w:left w:type="dxa" w:w="120"/>
              <w:bottom w:type="dxa" w:w="80"/>
              <w:right w:type="dxa" w:w="120"/>
            </w:tcMar>
            <w:vAlign w:val="center"/>
          </w:tcPr>
          <w:p>
            <w:r>
              <w:rPr>
                <w:sz w:val="20"/>
                <w:szCs w:val="20"/>
              </w:rPr>
              <w:t xml:space="preserve">Απόρριψη μη εμπορικών κωδικών</w:t>
            </w:r>
          </w:p>
        </w:tc>
        <w:tc>
          <w:tcPr>
            <w:tcW w:type="dxa" w:w="4500"/>
            <w:shd w:fill="FFFFFF" w:val="clear"/>
            <w:tcMar>
              <w:top w:type="dxa" w:w="80"/>
              <w:left w:type="dxa" w:w="120"/>
              <w:bottom w:type="dxa" w:w="80"/>
              <w:right w:type="dxa" w:w="120"/>
            </w:tcMar>
            <w:vAlign w:val="center"/>
          </w:tcPr>
          <w:p>
            <w:r>
              <w:rPr>
                <w:b/>
                <w:bCs/>
                <w:color w:val="2C5530"/>
                <w:sz w:val="20"/>
                <w:szCs w:val="20"/>
              </w:rPr>
              <w:t xml:space="preserve">≈ 4% των εσόδων</w:t>
            </w:r>
          </w:p>
        </w:tc>
      </w:tr>
      <w:tr>
        <w:tc>
          <w:tcPr>
            <w:tcW w:type="dxa" w:w="4500"/>
            <w:shd w:fill="F4F6FB" w:val="clear"/>
            <w:tcMar>
              <w:top w:type="dxa" w:w="80"/>
              <w:left w:type="dxa" w:w="120"/>
              <w:bottom w:type="dxa" w:w="80"/>
              <w:right w:type="dxa" w:w="120"/>
            </w:tcMar>
            <w:vAlign w:val="center"/>
          </w:tcPr>
          <w:p>
            <w:r>
              <w:rPr>
                <w:sz w:val="20"/>
                <w:szCs w:val="20"/>
              </w:rPr>
              <w:t xml:space="preserve">Uncategorised χαρακτηριστικά</w:t>
            </w:r>
          </w:p>
        </w:tc>
        <w:tc>
          <w:tcPr>
            <w:tcW w:type="dxa" w:w="4500"/>
            <w:shd w:fill="F4F6FB" w:val="clear"/>
            <w:tcMar>
              <w:top w:type="dxa" w:w="80"/>
              <w:left w:type="dxa" w:w="120"/>
              <w:bottom w:type="dxa" w:w="80"/>
              <w:right w:type="dxa" w:w="120"/>
            </w:tcMar>
            <w:vAlign w:val="center"/>
          </w:tcPr>
          <w:p>
            <w:r>
              <w:rPr>
                <w:b/>
                <w:bCs/>
                <w:color w:val="2C5530"/>
                <w:sz w:val="20"/>
                <w:szCs w:val="20"/>
              </w:rPr>
              <w:t xml:space="preserve">38,9% των εσόδων</w:t>
            </w:r>
          </w:p>
        </w:tc>
      </w:tr>
      <w:tr>
        <w:tc>
          <w:tcPr>
            <w:tcW w:type="dxa" w:w="4500"/>
            <w:shd w:fill="FFFFFF" w:val="clear"/>
            <w:tcMar>
              <w:top w:type="dxa" w:w="80"/>
              <w:left w:type="dxa" w:w="120"/>
              <w:bottom w:type="dxa" w:w="80"/>
              <w:right w:type="dxa" w:w="120"/>
            </w:tcMar>
            <w:vAlign w:val="center"/>
          </w:tcPr>
          <w:p>
            <w:r>
              <w:rPr>
                <w:sz w:val="20"/>
                <w:szCs w:val="20"/>
              </w:rPr>
              <w:t xml:space="preserve">Καλάθια ≥ 2 προϊόντων</w:t>
            </w:r>
          </w:p>
        </w:tc>
        <w:tc>
          <w:tcPr>
            <w:tcW w:type="dxa" w:w="4500"/>
            <w:shd w:fill="FFFFFF" w:val="clear"/>
            <w:tcMar>
              <w:top w:type="dxa" w:w="80"/>
              <w:left w:type="dxa" w:w="120"/>
              <w:bottom w:type="dxa" w:w="80"/>
              <w:right w:type="dxa" w:w="120"/>
            </w:tcMar>
            <w:vAlign w:val="center"/>
          </w:tcPr>
          <w:p>
            <w:r>
              <w:rPr>
                <w:b/>
                <w:bCs/>
                <w:color w:val="2C5530"/>
                <w:sz w:val="20"/>
                <w:szCs w:val="20"/>
              </w:rPr>
              <w:t xml:space="preserve">36.269 (διάμεσο 17, μέγιστο 1.108)</w:t>
            </w:r>
          </w:p>
        </w:tc>
      </w:tr>
      <w:tr>
        <w:tc>
          <w:tcPr>
            <w:tcW w:type="dxa" w:w="4500"/>
            <w:shd w:fill="F4F6FB" w:val="clear"/>
            <w:tcMar>
              <w:top w:type="dxa" w:w="80"/>
              <w:left w:type="dxa" w:w="120"/>
              <w:bottom w:type="dxa" w:w="80"/>
              <w:right w:type="dxa" w:w="120"/>
            </w:tcMar>
            <w:vAlign w:val="center"/>
          </w:tcPr>
          <w:p>
            <w:r>
              <w:rPr>
                <w:sz w:val="20"/>
                <w:szCs w:val="20"/>
              </w:rPr>
              <w:t xml:space="preserve">Στο support threshold 0,02</w:t>
            </w:r>
          </w:p>
        </w:tc>
        <w:tc>
          <w:tcPr>
            <w:tcW w:type="dxa" w:w="4500"/>
            <w:shd w:fill="F4F6FB" w:val="clear"/>
            <w:tcMar>
              <w:top w:type="dxa" w:w="80"/>
              <w:left w:type="dxa" w:w="120"/>
              <w:bottom w:type="dxa" w:w="80"/>
              <w:right w:type="dxa" w:w="120"/>
            </w:tcMar>
            <w:vAlign w:val="center"/>
          </w:tcPr>
          <w:p>
            <w:r>
              <w:rPr>
                <w:b/>
                <w:bCs/>
                <w:color w:val="2C5530"/>
                <w:sz w:val="20"/>
                <w:szCs w:val="20"/>
              </w:rPr>
              <w:t xml:space="preserve">385 itemsets, 134 κανόνες</w:t>
            </w:r>
          </w:p>
        </w:tc>
      </w:tr>
      <w:tr>
        <w:tc>
          <w:tcPr>
            <w:tcW w:type="dxa" w:w="4500"/>
            <w:shd w:fill="FFFFFF" w:val="clear"/>
            <w:tcMar>
              <w:top w:type="dxa" w:w="80"/>
              <w:left w:type="dxa" w:w="120"/>
              <w:bottom w:type="dxa" w:w="80"/>
              <w:right w:type="dxa" w:w="120"/>
            </w:tcMar>
            <w:vAlign w:val="center"/>
          </w:tcPr>
          <w:p>
            <w:r>
              <w:rPr>
                <w:sz w:val="20"/>
                <w:szCs w:val="20"/>
              </w:rPr>
              <w:t xml:space="preserve">Χρόνος Apriori vs FP-Growth</w:t>
            </w:r>
          </w:p>
        </w:tc>
        <w:tc>
          <w:tcPr>
            <w:tcW w:type="dxa" w:w="4500"/>
            <w:shd w:fill="FFFFFF" w:val="clear"/>
            <w:tcMar>
              <w:top w:type="dxa" w:w="80"/>
              <w:left w:type="dxa" w:w="120"/>
              <w:bottom w:type="dxa" w:w="80"/>
              <w:right w:type="dxa" w:w="120"/>
            </w:tcMar>
            <w:vAlign w:val="center"/>
          </w:tcPr>
          <w:p>
            <w:r>
              <w:rPr>
                <w:b/>
                <w:bCs/>
                <w:color w:val="2C5530"/>
                <w:sz w:val="20"/>
                <w:szCs w:val="20"/>
              </w:rPr>
              <w:t xml:space="preserve">5,14s vs 1,96s</w:t>
            </w:r>
          </w:p>
        </w:tc>
      </w:tr>
      <w:tr>
        <w:tc>
          <w:tcPr>
            <w:tcW w:type="dxa" w:w="4500"/>
            <w:shd w:fill="F4F6FB" w:val="clear"/>
            <w:tcMar>
              <w:top w:type="dxa" w:w="80"/>
              <w:left w:type="dxa" w:w="120"/>
              <w:bottom w:type="dxa" w:w="80"/>
              <w:right w:type="dxa" w:w="120"/>
            </w:tcMar>
            <w:vAlign w:val="center"/>
          </w:tcPr>
          <w:p>
            <w:r>
              <w:rPr>
                <w:sz w:val="20"/>
                <w:szCs w:val="20"/>
              </w:rPr>
              <w:t xml:space="preserve">Πιο δυνατός κανόνας συσχέτισης</w:t>
            </w:r>
          </w:p>
        </w:tc>
        <w:tc>
          <w:tcPr>
            <w:tcW w:type="dxa" w:w="4500"/>
            <w:shd w:fill="F4F6FB" w:val="clear"/>
            <w:tcMar>
              <w:top w:type="dxa" w:w="80"/>
              <w:left w:type="dxa" w:w="120"/>
              <w:bottom w:type="dxa" w:w="80"/>
              <w:right w:type="dxa" w:w="120"/>
            </w:tcMar>
            <w:vAlign w:val="center"/>
          </w:tcPr>
          <w:p>
            <w:r>
              <w:rPr>
                <w:b/>
                <w:bCs/>
                <w:color w:val="2C5530"/>
                <w:sz w:val="20"/>
                <w:szCs w:val="20"/>
              </w:rPr>
              <w:t xml:space="preserve">lift ≈ 25,2 (Regency Teacup)</w:t>
            </w:r>
          </w:p>
        </w:tc>
      </w:tr>
      <w:tr>
        <w:tc>
          <w:tcPr>
            <w:tcW w:type="dxa" w:w="4500"/>
            <w:shd w:fill="FFFFFF" w:val="clear"/>
            <w:tcMar>
              <w:top w:type="dxa" w:w="80"/>
              <w:left w:type="dxa" w:w="120"/>
              <w:bottom w:type="dxa" w:w="80"/>
              <w:right w:type="dxa" w:w="120"/>
            </w:tcMar>
            <w:vAlign w:val="center"/>
          </w:tcPr>
          <w:p>
            <w:r>
              <w:rPr>
                <w:sz w:val="20"/>
                <w:szCs w:val="20"/>
              </w:rPr>
              <w:t xml:space="preserve">Clustering 1ου επιπέδου</w:t>
            </w:r>
          </w:p>
        </w:tc>
        <w:tc>
          <w:tcPr>
            <w:tcW w:type="dxa" w:w="4500"/>
            <w:shd w:fill="FFFFFF" w:val="clear"/>
            <w:tcMar>
              <w:top w:type="dxa" w:w="80"/>
              <w:left w:type="dxa" w:w="120"/>
              <w:bottom w:type="dxa" w:w="80"/>
              <w:right w:type="dxa" w:w="120"/>
            </w:tcMar>
            <w:vAlign w:val="center"/>
          </w:tcPr>
          <w:p>
            <w:r>
              <w:rPr>
                <w:b/>
                <w:bCs/>
                <w:color w:val="2C5530"/>
                <w:sz w:val="20"/>
                <w:szCs w:val="20"/>
              </w:rPr>
              <w:t xml:space="preserve">k=2, silhouette score 0,8793</w:t>
            </w:r>
          </w:p>
        </w:tc>
      </w:tr>
      <w:tr>
        <w:tc>
          <w:tcPr>
            <w:tcW w:type="dxa" w:w="4500"/>
            <w:shd w:fill="F4F6FB" w:val="clear"/>
            <w:tcMar>
              <w:top w:type="dxa" w:w="80"/>
              <w:left w:type="dxa" w:w="120"/>
              <w:bottom w:type="dxa" w:w="80"/>
              <w:right w:type="dxa" w:w="120"/>
            </w:tcMar>
            <w:vAlign w:val="center"/>
          </w:tcPr>
          <w:p>
            <w:r>
              <w:rPr>
                <w:sz w:val="20"/>
                <w:szCs w:val="20"/>
              </w:rPr>
              <w:t xml:space="preserve">Πρόβλεψη, MAPE (naive vs Holt-Winters)</w:t>
            </w:r>
          </w:p>
        </w:tc>
        <w:tc>
          <w:tcPr>
            <w:tcW w:type="dxa" w:w="4500"/>
            <w:shd w:fill="F4F6FB" w:val="clear"/>
            <w:tcMar>
              <w:top w:type="dxa" w:w="80"/>
              <w:left w:type="dxa" w:w="120"/>
              <w:bottom w:type="dxa" w:w="80"/>
              <w:right w:type="dxa" w:w="120"/>
            </w:tcMar>
            <w:vAlign w:val="center"/>
          </w:tcPr>
          <w:p>
            <w:r>
              <w:rPr>
                <w:b/>
                <w:bCs/>
                <w:color w:val="2C5530"/>
                <w:sz w:val="20"/>
                <w:szCs w:val="20"/>
              </w:rPr>
              <w:t xml:space="preserve">38,48% vs 32,74%</w:t>
            </w:r>
          </w:p>
        </w:tc>
      </w:tr>
      <w:tr>
        <w:tc>
          <w:tcPr>
            <w:tcW w:type="dxa" w:w="4500"/>
            <w:shd w:fill="FFFFFF" w:val="clear"/>
            <w:tcMar>
              <w:top w:type="dxa" w:w="80"/>
              <w:left w:type="dxa" w:w="120"/>
              <w:bottom w:type="dxa" w:w="80"/>
              <w:right w:type="dxa" w:w="120"/>
            </w:tcMar>
            <w:vAlign w:val="center"/>
          </w:tcPr>
          <w:p>
            <w:r>
              <w:rPr>
                <w:sz w:val="20"/>
                <w:szCs w:val="20"/>
              </w:rPr>
              <w:t xml:space="preserve">Skill score πρόβλεψης</w:t>
            </w:r>
          </w:p>
        </w:tc>
        <w:tc>
          <w:tcPr>
            <w:tcW w:type="dxa" w:w="4500"/>
            <w:shd w:fill="FFFFFF" w:val="clear"/>
            <w:tcMar>
              <w:top w:type="dxa" w:w="80"/>
              <w:left w:type="dxa" w:w="120"/>
              <w:bottom w:type="dxa" w:w="80"/>
              <w:right w:type="dxa" w:w="120"/>
            </w:tcMar>
            <w:vAlign w:val="center"/>
          </w:tcPr>
          <w:p>
            <w:r>
              <w:rPr>
                <w:b/>
                <w:bCs/>
                <w:color w:val="2C5530"/>
                <w:sz w:val="20"/>
                <w:szCs w:val="20"/>
              </w:rPr>
              <w:t xml:space="preserve">+0,1421 (αρχικά −0,21 πριν τον αποκλεισμό Δεκεμβρίου)</w:t>
            </w:r>
          </w:p>
        </w:tc>
      </w:tr>
      <w:tr>
        <w:tc>
          <w:tcPr>
            <w:tcW w:type="dxa" w:w="4500"/>
            <w:shd w:fill="F4F6FB" w:val="clear"/>
            <w:tcMar>
              <w:top w:type="dxa" w:w="80"/>
              <w:left w:type="dxa" w:w="120"/>
              <w:bottom w:type="dxa" w:w="80"/>
              <w:right w:type="dxa" w:w="120"/>
            </w:tcMar>
            <w:vAlign w:val="center"/>
          </w:tcPr>
          <w:p>
            <w:r>
              <w:rPr>
                <w:sz w:val="20"/>
                <w:szCs w:val="20"/>
              </w:rPr>
              <w:t xml:space="preserve">Συντελεστής Gini εσόδων</w:t>
            </w:r>
          </w:p>
        </w:tc>
        <w:tc>
          <w:tcPr>
            <w:tcW w:type="dxa" w:w="4500"/>
            <w:shd w:fill="F4F6FB" w:val="clear"/>
            <w:tcMar>
              <w:top w:type="dxa" w:w="80"/>
              <w:left w:type="dxa" w:w="120"/>
              <w:bottom w:type="dxa" w:w="80"/>
              <w:right w:type="dxa" w:w="120"/>
            </w:tcMar>
            <w:vAlign w:val="center"/>
          </w:tcPr>
          <w:p>
            <w:r>
              <w:rPr>
                <w:b/>
                <w:bCs/>
                <w:color w:val="2C5530"/>
                <w:sz w:val="20"/>
                <w:szCs w:val="20"/>
              </w:rPr>
              <w:t xml:space="preserve">0,740</w:t>
            </w:r>
          </w:p>
        </w:tc>
      </w:tr>
      <w:tr>
        <w:tc>
          <w:tcPr>
            <w:tcW w:type="dxa" w:w="4500"/>
            <w:shd w:fill="FFFFFF" w:val="clear"/>
            <w:tcMar>
              <w:top w:type="dxa" w:w="80"/>
              <w:left w:type="dxa" w:w="120"/>
              <w:bottom w:type="dxa" w:w="80"/>
              <w:right w:type="dxa" w:w="120"/>
            </w:tcMar>
            <w:vAlign w:val="center"/>
          </w:tcPr>
          <w:p>
            <w:r>
              <w:rPr>
                <w:sz w:val="20"/>
                <w:szCs w:val="20"/>
              </w:rPr>
              <w:t xml:space="preserve">Μερίδιο εσόδων top 20% πελατών</w:t>
            </w:r>
          </w:p>
        </w:tc>
        <w:tc>
          <w:tcPr>
            <w:tcW w:type="dxa" w:w="4500"/>
            <w:shd w:fill="FFFFFF" w:val="clear"/>
            <w:tcMar>
              <w:top w:type="dxa" w:w="80"/>
              <w:left w:type="dxa" w:w="120"/>
              <w:bottom w:type="dxa" w:w="80"/>
              <w:right w:type="dxa" w:w="120"/>
            </w:tcMar>
            <w:vAlign w:val="center"/>
          </w:tcPr>
          <w:p>
            <w:r>
              <w:rPr>
                <w:b/>
                <w:bCs/>
                <w:color w:val="2C5530"/>
                <w:sz w:val="20"/>
                <w:szCs w:val="20"/>
              </w:rPr>
              <w:t xml:space="preserve">77,1%</w:t>
            </w:r>
          </w:p>
        </w:tc>
      </w:tr>
      <w:tr>
        <w:tc>
          <w:tcPr>
            <w:tcW w:type="dxa" w:w="4500"/>
            <w:shd w:fill="F4F6FB" w:val="clear"/>
            <w:tcMar>
              <w:top w:type="dxa" w:w="80"/>
              <w:left w:type="dxa" w:w="120"/>
              <w:bottom w:type="dxa" w:w="80"/>
              <w:right w:type="dxa" w:w="120"/>
            </w:tcMar>
            <w:vAlign w:val="center"/>
          </w:tcPr>
          <w:p>
            <w:r>
              <w:rPr>
                <w:sz w:val="20"/>
                <w:szCs w:val="20"/>
              </w:rPr>
              <w:t xml:space="preserve">Μερίδιο μεγαλύτερου πελάτη</w:t>
            </w:r>
          </w:p>
        </w:tc>
        <w:tc>
          <w:tcPr>
            <w:tcW w:type="dxa" w:w="4500"/>
            <w:shd w:fill="F4F6FB" w:val="clear"/>
            <w:tcMar>
              <w:top w:type="dxa" w:w="80"/>
              <w:left w:type="dxa" w:w="120"/>
              <w:bottom w:type="dxa" w:w="80"/>
              <w:right w:type="dxa" w:w="120"/>
            </w:tcMar>
            <w:vAlign w:val="center"/>
          </w:tcPr>
          <w:p>
            <w:r>
              <w:rPr>
                <w:b/>
                <w:bCs/>
                <w:color w:val="2C5530"/>
                <w:sz w:val="20"/>
                <w:szCs w:val="20"/>
              </w:rPr>
              <w:t xml:space="preserve">3,3%</w:t>
            </w:r>
          </w:p>
        </w:tc>
      </w:tr>
      <w:tr>
        <w:tc>
          <w:tcPr>
            <w:tcW w:type="dxa" w:w="4500"/>
            <w:shd w:fill="FFFFFF" w:val="clear"/>
            <w:tcMar>
              <w:top w:type="dxa" w:w="80"/>
              <w:left w:type="dxa" w:w="120"/>
              <w:bottom w:type="dxa" w:w="80"/>
              <w:right w:type="dxa" w:w="120"/>
            </w:tcMar>
            <w:vAlign w:val="center"/>
          </w:tcPr>
          <w:p>
            <w:r>
              <w:rPr>
                <w:sz w:val="20"/>
                <w:szCs w:val="20"/>
              </w:rPr>
              <w:t xml:space="preserve">Μέση παρατηρούμενη αξία πελάτη</w:t>
            </w:r>
          </w:p>
        </w:tc>
        <w:tc>
          <w:tcPr>
            <w:tcW w:type="dxa" w:w="4500"/>
            <w:shd w:fill="FFFFFF" w:val="clear"/>
            <w:tcMar>
              <w:top w:type="dxa" w:w="80"/>
              <w:left w:type="dxa" w:w="120"/>
              <w:bottom w:type="dxa" w:w="80"/>
              <w:right w:type="dxa" w:w="120"/>
            </w:tcMar>
            <w:vAlign w:val="center"/>
          </w:tcPr>
          <w:p>
            <w:r>
              <w:rPr>
                <w:b/>
                <w:bCs/>
                <w:color w:val="2C5530"/>
                <w:sz w:val="20"/>
                <w:szCs w:val="20"/>
              </w:rPr>
              <w:t xml:space="preserve">2.895</w:t>
            </w:r>
          </w:p>
        </w:tc>
      </w:tr>
      <w:tr>
        <w:tc>
          <w:tcPr>
            <w:tcW w:type="dxa" w:w="4500"/>
            <w:shd w:fill="F4F6FB" w:val="clear"/>
            <w:tcMar>
              <w:top w:type="dxa" w:w="80"/>
              <w:left w:type="dxa" w:w="120"/>
              <w:bottom w:type="dxa" w:w="80"/>
              <w:right w:type="dxa" w:w="120"/>
            </w:tcMar>
            <w:vAlign w:val="center"/>
          </w:tcPr>
          <w:p>
            <w:r>
              <w:rPr>
                <w:sz w:val="20"/>
                <w:szCs w:val="20"/>
              </w:rPr>
              <w:t xml:space="preserve">LTV σε βασικό σενάριο (margin 50%)</w:t>
            </w:r>
          </w:p>
        </w:tc>
        <w:tc>
          <w:tcPr>
            <w:tcW w:type="dxa" w:w="4500"/>
            <w:shd w:fill="F4F6FB" w:val="clear"/>
            <w:tcMar>
              <w:top w:type="dxa" w:w="80"/>
              <w:left w:type="dxa" w:w="120"/>
              <w:bottom w:type="dxa" w:w="80"/>
              <w:right w:type="dxa" w:w="120"/>
            </w:tcMar>
            <w:vAlign w:val="center"/>
          </w:tcPr>
          <w:p>
            <w:r>
              <w:rPr>
                <w:b/>
                <w:bCs/>
                <w:color w:val="2C5530"/>
                <w:sz w:val="20"/>
                <w:szCs w:val="20"/>
              </w:rPr>
              <w:t xml:space="preserve">1.447,5</w:t>
            </w:r>
          </w:p>
        </w:tc>
      </w:tr>
      <w:tr>
        <w:tc>
          <w:tcPr>
            <w:tcW w:type="dxa" w:w="4500"/>
            <w:shd w:fill="FFFFFF" w:val="clear"/>
            <w:tcMar>
              <w:top w:type="dxa" w:w="80"/>
              <w:left w:type="dxa" w:w="120"/>
              <w:bottom w:type="dxa" w:w="80"/>
              <w:right w:type="dxa" w:w="120"/>
            </w:tcMar>
            <w:vAlign w:val="center"/>
          </w:tcPr>
          <w:p>
            <w:r>
              <w:rPr>
                <w:sz w:val="20"/>
                <w:szCs w:val="20"/>
              </w:rPr>
              <w:t xml:space="preserve">Πλέγμα κερδοφορίας που πληροί 3:1</w:t>
            </w:r>
          </w:p>
        </w:tc>
        <w:tc>
          <w:tcPr>
            <w:tcW w:type="dxa" w:w="4500"/>
            <w:shd w:fill="FFFFFF" w:val="clear"/>
            <w:tcMar>
              <w:top w:type="dxa" w:w="80"/>
              <w:left w:type="dxa" w:w="120"/>
              <w:bottom w:type="dxa" w:w="80"/>
              <w:right w:type="dxa" w:w="120"/>
            </w:tcMar>
            <w:vAlign w:val="center"/>
          </w:tcPr>
          <w:p>
            <w:r>
              <w:rPr>
                <w:b/>
                <w:bCs/>
                <w:color w:val="2C5530"/>
                <w:sz w:val="20"/>
                <w:szCs w:val="20"/>
              </w:rPr>
              <w:t xml:space="preserve">8 από τα 16 κελιά</w:t>
            </w:r>
          </w:p>
        </w:tc>
      </w:tr>
    </w:tbl>
    <w:p>
      <w:pPr>
        <w:spacing w:before="260"/>
      </w:pPr>
      <w:r>
        <w:rPr>
          <w:b/>
          <w:bCs/>
          <w:color w:val="2C5530"/>
          <w:sz w:val="22"/>
          <w:szCs w:val="22"/>
        </w:rPr>
        <w:t xml:space="preserve">Καλή επιτυχία.</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2026-08-26T14:32:34.947Z</dcterms:created>
  <dcterms:modified xsi:type="dcterms:W3CDTF">2026-08-26T14:32:34.947Z</dcterms:modified>
</cp:coreProperties>
</file>

<file path=docProps/custom.xml><?xml version="1.0" encoding="utf-8"?>
<Properties xmlns="http://schemas.openxmlformats.org/officeDocument/2006/custom-properties" xmlns:vt="http://schemas.openxmlformats.org/officeDocument/2006/docPropsVTypes"/>
</file>