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C1822A"/>
          <w:sz w:val="20"/>
        </w:rPr>
        <w:t>ENSIGHTS · ΥΠΟΣΤΗΡΙΚΤΙΚΟ ΥΛΙΚΟ ΥΠΕΡΑΣΠΙΣΗΣ</w:t>
      </w:r>
    </w:p>
    <w:p>
      <w:pPr>
        <w:spacing w:before="0" w:after="120"/>
      </w:pPr>
      <w:r>
        <w:rPr>
          <w:rFonts w:ascii="Cambria" w:hAnsi="Cambria"/>
          <w:b/>
          <w:color w:val="2C5530"/>
          <w:sz w:val="44"/>
        </w:rPr>
        <w:t>Οδηγός διαφάνεια προς διαφάνεια</w:t>
      </w:r>
    </w:p>
    <w:p>
      <w:pPr>
        <w:spacing w:before="0" w:after="200"/>
      </w:pPr>
      <w:r>
        <w:rPr>
          <w:rFonts w:ascii="Calibri" w:hAnsi="Calibri"/>
          <w:b w:val="0"/>
          <w:color w:val="6B6259"/>
          <w:sz w:val="24"/>
        </w:rPr>
        <w:t>Κάθε διαφάνεια της παρουσίασης, εξηγημένη απλά, με τα μαθηματικά όπου υπάρχουν και τις ερωτήσεις που μπορεί να κάνει η επιτροπή.</w:t>
      </w:r>
    </w:p>
    <w:p>
      <w:pPr>
        <w:spacing w:before="0" w:after="280"/>
      </w:pPr>
      <w:r>
        <w:rPr>
          <w:rFonts w:ascii="Calibri" w:hAnsi="Calibri"/>
          <w:b w:val="0"/>
          <w:color w:val="6B6259"/>
          <w:sz w:val="20"/>
        </w:rPr>
        <w:t>Χρήστος Μουρτογιάννης · ΕΚΠΑ</w:t>
      </w:r>
    </w:p>
    <w:p>
      <w:pPr>
        <w:spacing w:before="0" w:after="120"/>
      </w:pPr>
      <w:r>
        <w:rPr>
          <w:rFonts w:ascii="Calibri" w:hAnsi="Calibri"/>
          <w:b w:val="0"/>
          <w:color w:val="241F1B"/>
          <w:sz w:val="22"/>
        </w:rPr>
        <w:t>Πώς να το χρησιμοποιήσεις: κάθε διαφάνεια έχει το δικό της κομμάτι εδώ, με την ίδια σειρά και την ίδια αρίθμηση. Πρώτα μια εξήγηση σαν να τη λες σε κάποιον που δεν ξέρει τίποτα από ανάλυση δεδομένων, μετά τα μαθηματικά αν υπάρχουν, και μετά η ερώτηση που μπορεί να σου γίνει πάνω σε αυτή τη διαφάνεια. Στο τέλος υπάρχει κάρτα με όλα τα νούμερα, για γρήγορη ανάκληση.</w:t>
      </w:r>
    </w:p>
    <w:p>
      <w:pPr>
        <w:spacing w:before="400" w:after="200"/>
      </w:pPr>
      <w:r>
        <w:rPr>
          <w:rFonts w:ascii="Cambria" w:hAnsi="Cambria"/>
          <w:b/>
          <w:color w:val="2C5530"/>
          <w:sz w:val="30"/>
        </w:rPr>
        <w:t>Εισαγωγή</w:t>
      </w:r>
    </w:p>
    <w:p>
      <w:pPr>
        <w:spacing w:before="280" w:after="80"/>
      </w:pPr>
      <w:r>
        <w:rPr>
          <w:rFonts w:ascii="Cambria" w:hAnsi="Cambria"/>
          <w:b/>
          <w:color w:val="241F1B"/>
          <w:sz w:val="26"/>
        </w:rPr>
        <w:t>Διαφάνεια 1: Εξαγωγή Ευφυών Αναλύσεων από Δεδομένα Ηλεκτρονικού Εμπορίου</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Καλησπέρα σας. Λέγομαι Χρήστος Μουρτογιάννης και θα σας παρουσιάσω τη διπλωματική μου εργασία, με θέμα την εξαγωγή αναλύσεων από δεδομένα ηλεκτρονικού εμπορίου. Επιβλέπων είναι ο καθηγητής Ευστάθιος Χατζηευθυμιάδης.</w:t>
      </w:r>
    </w:p>
    <w:p>
      <w:pPr>
        <w:spacing w:before="280" w:after="80"/>
      </w:pPr>
      <w:r>
        <w:rPr>
          <w:rFonts w:ascii="Cambria" w:hAnsi="Cambria"/>
          <w:b/>
          <w:color w:val="241F1B"/>
          <w:sz w:val="26"/>
        </w:rPr>
        <w:t>Διαφάνεια 2: Τέσσερα μέρη, περίπου είκοσι πέντε λεπτά</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Η παρουσίαση έχει τέσσερα μέρη. Πρώτα το πρόβλημα και οι στόχοι. Μετά το σύστημα που έφτιαξα, πώς είναι δομημένο και πώς φαίνεται όταν τρέχει. Μετά τα ευρήματα πάνω σε πραγματικά δεδομένα. Και στο τέλος τα συμπεράσματα, μαζί με το τι δεν μπορεί να απαντήσει η δουλειά.</w:t>
      </w:r>
    </w:p>
    <w:p>
      <w:pPr>
        <w:spacing w:before="400" w:after="200"/>
      </w:pPr>
      <w:r>
        <w:rPr>
          <w:rFonts w:ascii="Cambria" w:hAnsi="Cambria"/>
          <w:b/>
          <w:color w:val="2C5530"/>
          <w:sz w:val="30"/>
        </w:rPr>
        <w:t>Μέρος 01: Το πρόβλημα</w:t>
      </w:r>
    </w:p>
    <w:p>
      <w:pPr>
        <w:spacing w:before="280" w:after="80"/>
      </w:pPr>
      <w:r>
        <w:rPr>
          <w:rFonts w:ascii="Cambria" w:hAnsi="Cambria"/>
          <w:b/>
          <w:color w:val="241F1B"/>
          <w:sz w:val="26"/>
        </w:rPr>
        <w:t>Διαφάνεια 3: Ενότητα: Το πρόβλημα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Πρώτο μέρος: το πρόβλημα και οι στόχοι.</w:t>
      </w:r>
    </w:p>
    <w:p>
      <w:pPr>
        <w:spacing w:before="280" w:after="80"/>
      </w:pPr>
      <w:r>
        <w:rPr>
          <w:rFonts w:ascii="Cambria" w:hAnsi="Cambria"/>
          <w:b/>
          <w:color w:val="241F1B"/>
          <w:sz w:val="26"/>
        </w:rPr>
        <w:t>Διαφάνεια 4: Τα δεδομένα υπάρχουν, οι αποφάσεις δεν τα κοιτάνε</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Φανταστείτε ένα μαγαζί που έχει καταγράψει κάθε πώληση εδώ και τρία χρόνια, αλλά ο ιδιοκτήτης αποφασίζει τι θα παραγγείλει με το μάτι. Τα δεδομένα είναι εκεί, απλώς κανείς δεν τα διαβάζει. Αυτό είναι το κενό που κλείνει η εργασία.</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δεν το κάνει μόνη της η επιχείρηση;» Γιατί χρειάζεται γνώση εξόρυξης δεδομένων και μηχανικής μάθησης. Με ένα Excel δεν βγαίνει.</w:t>
      </w:r>
    </w:p>
    <w:p>
      <w:pPr>
        <w:spacing w:before="280" w:after="80"/>
      </w:pPr>
      <w:r>
        <w:rPr>
          <w:rFonts w:ascii="Cambria" w:hAnsi="Cambria"/>
          <w:b/>
          <w:color w:val="241F1B"/>
          <w:sz w:val="26"/>
        </w:rPr>
        <w:t>Διαφάνεια 5: Επτά ερωτήματα που κάνει κάθε κατάστημα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Αυτά τα επτά ερωτήματα θα τα έκανε οποιοσδήποτε έχει μαγαζί. Ποιο προϊόν πουλάει καλύτερα, ποιος πελάτης αγοράζει πιο πολύ, πότε πέφτει η δουλειά. Η εργασία ξεκίνησε απαντώντας ακριβώς σε αυτά.</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Από πάνω μπήκαν τρεις τεχνικές: εξόρυξη συχνών συνόλων, ομαδοποίηση σε δύο επίπεδα και πρόβλεψη πωλήσεων. Και οι οικονομικοί δείκτες: συνολικά έσοδα, ποσοστό πελατών που ξαναγοράζουν, Growth Accounting και κερδοφορία.</w:t>
      </w:r>
    </w:p>
    <w:p>
      <w:pPr>
        <w:spacing w:before="280" w:after="80"/>
      </w:pPr>
      <w:r>
        <w:rPr>
          <w:rFonts w:ascii="Cambria" w:hAnsi="Cambria"/>
          <w:b/>
          <w:color w:val="241F1B"/>
          <w:sz w:val="26"/>
        </w:rPr>
        <w:t>Διαφάνεια 6: Δύο κανόνες που τηρούνται παντού</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Δύο κανόνες διατρέχουν όλη τη δουλειά. Ο πρώτος: δουλεύει παντού. Το σύστημα δεν είναι φτιαγμένο για το συγκεκριμένο μαγαζί. Ο δεύτερος: δεν λέει ψέματα. Αν κάτι δεν μπορεί να μετρηθεί, δεν προσποιούμαστε ότι το ξέρουμε.</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κέρδος είναι το χαρακτηριστικό παράδειγμα. Για να πεις πόσο κερδίζει ένα μαγαζί χρειάζεσαι το κόστος των προϊόντων και τα έξοδα marketing. Τα δεδομένα συναλλαγών δεν έχουν τίποτα από τα δύο. Άρα η απάντηση δίνεται ως σενάριο: αν το περιθώριο είναι τόσο, τότε βγαίνει αυτό.</w:t>
      </w:r>
    </w:p>
    <w:p>
      <w:pPr>
        <w:spacing w:before="400" w:after="200"/>
      </w:pPr>
      <w:r>
        <w:rPr>
          <w:rFonts w:ascii="Cambria" w:hAnsi="Cambria"/>
          <w:b/>
          <w:color w:val="2C5530"/>
          <w:sz w:val="30"/>
        </w:rPr>
        <w:t>Μέρος 02: Το σύστημα</w:t>
      </w:r>
    </w:p>
    <w:p>
      <w:pPr>
        <w:spacing w:before="280" w:after="80"/>
      </w:pPr>
      <w:r>
        <w:rPr>
          <w:rFonts w:ascii="Cambria" w:hAnsi="Cambria"/>
          <w:b/>
          <w:color w:val="241F1B"/>
          <w:sz w:val="26"/>
        </w:rPr>
        <w:t>Διαφάνεια 7: Ενότητα: Το σύστημα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Δεύτερο μέρος: το σύστημα, πώς είναι φτιαγμένο και πώς τρέχει.</w:t>
      </w:r>
    </w:p>
    <w:p>
      <w:pPr>
        <w:spacing w:before="280" w:after="80"/>
      </w:pPr>
      <w:r>
        <w:rPr>
          <w:rFonts w:ascii="Cambria" w:hAnsi="Cambria"/>
          <w:b/>
          <w:color w:val="241F1B"/>
          <w:sz w:val="26"/>
        </w:rPr>
        <w:t>Διαφάνεια 8: Τέσσερα επίπεδα, τρεις έξοδοι</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σύστημα είναι FastAPI, PostgreSQL και Celery. Σκεφτείτε το σαν κτίριο με τέσσερις ορόφους. Πάνω το API που δέχεται τα ερωτήματα, από κάτω τα services με τη λογική, μετά τα repositories που φέρνουν τα δεδομένα, και κάτω η βάση. Κάθε όροφος μιλάει μόνο με τον διπλανό του.</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τρεις διαφορετικές έξοδοι;» Γιατί απευθύνονται σε τρία κοινά: προγράμματα, ανθρώπους χωρίς τεχνικές γνώσεις, και τη διατριβή. Δεν είναι τρεις υλοποιήσεις, είναι τρεις όψεις της ίδιας.</w:t>
      </w:r>
    </w:p>
    <w:p>
      <w:pPr>
        <w:spacing w:before="280" w:after="80"/>
      </w:pPr>
      <w:r>
        <w:rPr>
          <w:rFonts w:ascii="Cambria" w:hAnsi="Cambria"/>
          <w:b/>
          <w:color w:val="241F1B"/>
          <w:sz w:val="26"/>
        </w:rPr>
        <w:t>Διαφάνεια 9: Τρεις δρόμοι για τα δεδομένα, ένας μόνο θέλει κώδικα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Κάθε μαγαζί έχει δικά του ονόματα και δικό του σχήμα. Όλα μεταφράζονται στις ίδιες έξι έννοιες. Υπάρχουν τρεις τρόποι να μπουν τα δεδομένα και μόνο ο ένας χρειάζεται καινούριο κώδικα, ένας μικρός adapter ανά μορφή αρχείου.</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Η πιο σημαντική απόφαση εδώ είναι οι επιστροφές. Τις κρατάμε ξεχωριστά, με θετικό πρόσημο. Αν κάποιος μας στείλει έσοδα από τα οποία έχει ήδη αφαιρέσει τις επιστροφές, δεν μπορούμε ποτέ να τις ξαναχωρίσουμε, και το ερώτημα των επιστροφών μένει αναπάντητο.</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«Πώς ξέρουμε ότι είναι πραγματικά γενικό;» Δοκιμάστηκε σε δεύτερη πηγή, μια βάση SQLite με εντελώς διαφορετικό σχήμα και διαφορετικά ονόματα στηλών. Ο αναλυτικός κώδικας δεν άλλαξε καθόλου.</w:t>
      </w:r>
    </w:p>
    <w:p>
      <w:pPr>
        <w:spacing w:before="280" w:after="80"/>
      </w:pPr>
      <w:r>
        <w:rPr>
          <w:rFonts w:ascii="Cambria" w:hAnsi="Cambria"/>
          <w:b/>
          <w:color w:val="241F1B"/>
          <w:sz w:val="26"/>
        </w:rPr>
        <w:t>Διαφάνεια 10: Το API, με πραγματικές απαντήσεις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Αυτά δεν είναι εικόνες φτιαγμένες για την παρουσίαση. Είναι ακριβώς αυτό που γυρίζει το σύστημα όταν του ζητήσεις πρόβλεψη πωλήσεων ή ανάλυση κερδοφορίας. Το JSON είναι απλώς ένας τρόπος να γράφεις δεδομένα ώστε να τα διαβάζουν εύκολα τα προγράμματα.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Προσέξτε δύο πράγματα. Αριστερά, το skill score είναι αρνητικό: το σύστημα αναφέρει μόνο του ότι η πρόβλεψη έχασε από το απλοϊκό μοντέλο, αντί να το κρύψει. Δεξιά, η προειδοποίηση ταξιδεύει μαζί με το νούμερο, μέσα στην ίδια απάντηση, οπότε δεν μπορεί να αφαιρεθεί κατά λάθος.</w:t>
      </w:r>
    </w:p>
    <w:p>
      <w:pPr>
        <w:spacing w:before="280" w:after="80"/>
      </w:pPr>
      <w:r>
        <w:rPr>
          <w:rFonts w:ascii="Cambria" w:hAnsi="Cambria"/>
          <w:b/>
          <w:color w:val="241F1B"/>
          <w:sz w:val="26"/>
        </w:rPr>
        <w:t>Διαφάνεια 11: Τα ίδια νούμερα, χωρίς μία γραμμή κώδικα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Εδώ βλέπει ο ιδιοκτήτης του μαγαζιού τα ίδια νούμερα χωρίς να ξέρει προγραμματισμό. Δώδεκα κάρτες σε τρία dashboards, και καθεμιά αντιστοιχεί ένα προς ένα σε ένα endpoint.</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Δύο σκόπιμες αποφάσεις. Πρώτον, η σύνδεση είναι μόνο για ανάγνωση, ένα dashboard δεν μπορεί να πειράξει δεδομένα. Δεύτερον, δεν υπάρχει κάρτα για την κερδοφορία, γιατί μια κάρτα δείχνει έναν αριθμό χωρίς τις παραδοχές του. Αυτό θα ήταν ακριβώς το λάθος που όλη η σχεδίαση προσπαθεί να αποτρέψει.</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δεν υπάρχει κάρτα για την πρόβλεψη ή το clustering;» Μια κάρτα είναι ένα ερώτημα SQL, οπότε δείχνει μόνο ό,τι υπάρχει ήδη στη βάση. Η πρόβλεψη και οι ομάδες υπολογίζονται τη στιγμή του αιτήματος. Αν τα ξαναγράφαμε σε SQL, θα είχαμε δεύτερη υλοποίηση που με τον καιρό θα ξέφευγε από την πρώτη.</w:t>
      </w:r>
    </w:p>
    <w:p>
      <w:pPr>
        <w:spacing w:before="400" w:after="200"/>
      </w:pPr>
      <w:r>
        <w:rPr>
          <w:rFonts w:ascii="Cambria" w:hAnsi="Cambria"/>
          <w:b/>
          <w:color w:val="2C5530"/>
          <w:sz w:val="30"/>
        </w:rPr>
        <w:t>Μέρος 03: Τα ευρήματα</w:t>
      </w:r>
    </w:p>
    <w:p>
      <w:pPr>
        <w:spacing w:before="280" w:after="80"/>
      </w:pPr>
      <w:r>
        <w:rPr>
          <w:rFonts w:ascii="Cambria" w:hAnsi="Cambria"/>
          <w:b/>
          <w:color w:val="241F1B"/>
          <w:sz w:val="26"/>
        </w:rPr>
        <w:t>Διαφάνεια 12: Ενότητα: Τα ευρήματα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Τρίτο μέρος: τι βρήκαμε μέσα στα δεδομένα.</w:t>
      </w:r>
    </w:p>
    <w:p>
      <w:pPr>
        <w:spacing w:before="280" w:after="80"/>
      </w:pPr>
      <w:r>
        <w:rPr>
          <w:rFonts w:ascii="Cambria" w:hAnsi="Cambria"/>
          <w:b/>
          <w:color w:val="241F1B"/>
          <w:sz w:val="26"/>
        </w:rPr>
        <w:t>Διαφάνεια 13: Online Retail II: το πείραμα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Αυτό είναι το πείραμα πάνω στο οποίο δοκιμάστηκε όλο το σύστημα. Πραγματικές πωλήσεις ενός βρετανικού καταστήματος χονδρικής, από το 2009 ως το 2011, πάνω από ένα εκατομμύριο γραμμές.</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αυτό το σύνολο δεδομένων;» Είναι δημόσιο, το έχει χρησιμοποιήσει ήδη άλλη επιστημονική εργασία, και έχει επιστροφές. Χωρίς επιστροφές, το πέμπτο από τα επτά ερωτήματα δεν απαντιέται.</w:t>
      </w:r>
    </w:p>
    <w:p>
      <w:pPr>
        <w:spacing w:before="280" w:after="80"/>
      </w:pPr>
      <w:r>
        <w:rPr>
          <w:rFonts w:ascii="Cambria" w:hAnsi="Cambria"/>
          <w:b/>
          <w:color w:val="241F1B"/>
          <w:sz w:val="26"/>
        </w:rPr>
        <w:t>Διαφάνεια 14: Τι πουλάει και πού</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Δύο απλά γραφήματα: ποια προϊόντα έφεραν τα περισσότερα έσοδα και ποιες χώρες αγόρασαν τα περισσότερα. Η έκπληξη είναι ότι το προϊόν με τα περισσότερα κομμάτια δεν είναι αυτό με τα περισσότερα έσοδα. Ένα ακριβότερο προϊόν μπορεί να πουλάει λιγότερα κομμάτια και να φέρνει περισσότερα χρήματα.</w:t>
      </w:r>
    </w:p>
    <w:p>
      <w:pPr>
        <w:spacing w:before="280" w:after="80"/>
      </w:pPr>
      <w:r>
        <w:rPr>
          <w:rFonts w:ascii="Cambria" w:hAnsi="Cambria"/>
          <w:b/>
          <w:color w:val="241F1B"/>
          <w:sz w:val="26"/>
        </w:rPr>
        <w:t>Διαφάνεια 15: Πότε πουλάει και σε τι τιμή</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Πότε μέσα στον χρόνο γίνονται οι πωλήσεις και σε τι τιμές. Ο Νοέμβριος κορυφώνει και τις δύο χρονιές. Τα φθηνά προϊόντα κάνουν τα δύο τρίτα των εσόδων.</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τίμιο σημείο εδώ είναι το 38,9%. Δεν μπορέσαμε να κατηγοριοποιήσουμε τόσα έσοδα, γιατί στα δεδομένα δεν υπάρχει κατηγορία προϊόντος, μόνο η περιγραφή σε ελεύθερο κείμενο. Το ποσοστό που μένει αταξινόμητο είναι το πραγματικό μέτρο ακρίβειας της μεθόδου, οπότε δηλώνεται ανοιχτά.</w:t>
      </w:r>
    </w:p>
    <w:p>
      <w:pPr>
        <w:spacing w:before="280" w:after="80"/>
      </w:pPr>
      <w:r>
        <w:rPr>
          <w:rFonts w:ascii="Cambria" w:hAnsi="Cambria"/>
          <w:b/>
          <w:color w:val="241F1B"/>
          <w:sz w:val="26"/>
        </w:rPr>
        <w:t>Διαφάνεια 16: Ποια προϊόντα αγοράζονται μαζί</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Φανταστείτε χιλιάδες αποδείξεις από ένα μαγαζί. Θέλουμε να βρούμε ποια προϊόντα αγοράζονται μαζί πιο συχνά απ' ό,τι θα περιμέναμε στην τύχη.</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Παράδειγμα με δέκα αποδείξεις, όπου οι τρεις έχουν ψωμί και βούτυρο μαζί. Support ίσον τρία δέκατα, δηλαδή 0,3. Αν το ψωμί υπάρχει σε πέντε αποδείξεις, το confidence είναι τρία πέμπτα, δηλαδή 0,6. Τώρα το κρίσιμο. Αν το βούτυρο είναι ούτως ή άλλως δημοφιλές, με support 0,8, τότε το lift είναι 0,6 διά 0,8, ίσον 0,75, κάτω από ένα, καμία πραγματική σχέση. Αν το βούτυρο είναι σπάνιο, με support 0,2, τότε το lift είναι 3, τριπλάσια πιθανότητα από την τύχη. Οι τύποι είναι στις εφεδρικές διαφάνειες.</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δύο αλγόριθμοι για το ίδιο πράγμα;» Το ζήτησε η επίβλεψη, και επέτρεψε να δείξουμε πειραματικά ότι δίνουν ταυτόσημο αποτέλεσμα. Η επιλογή ανάμεσά τους είναι θέμα χρόνου εκτέλεσης, όχι ευρήματος.</w:t>
      </w:r>
    </w:p>
    <w:p>
      <w:pPr>
        <w:spacing w:before="280" w:after="80"/>
      </w:pPr>
      <w:r>
        <w:rPr>
          <w:rFonts w:ascii="Cambria" w:hAnsi="Cambria"/>
          <w:b/>
          <w:color w:val="241F1B"/>
          <w:sz w:val="26"/>
        </w:rPr>
        <w:t>Διαφάνεια 17: Ίδιο αποτέλεσμα, 2,6 φορές πιο γρήγορα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Καλάθι σημαίνει όλα τα προϊόντα μιας παραγγελίας μαζί. Ο πελάτης στη μέση έβαζε δεκαεπτά διαφορετικά προϊόντα σε ένα καλάθι. Σε λιανική θα περιμέναμε δύο ή τρία.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πείραμα: ίδιο κατώφλι support 0,02, ίδια δεδομένα, δύο αλγόριθμοι. Και οι δύο βγάζουν 385 συχνά σύνολα και 134 κανόνες, ταυτόσημα. Η μόνη διαφορά είναι ο χρόνος, 5,14 δευτερόλεπτα ο Apriori έναντι 1,96 του FP-Growth.</w:t>
      </w:r>
    </w:p>
    <w:p>
      <w:pPr>
        <w:spacing w:before="280" w:after="80"/>
      </w:pPr>
      <w:r>
        <w:rPr>
          <w:rFonts w:ascii="Cambria" w:hAnsi="Cambria"/>
          <w:b/>
          <w:color w:val="241F1B"/>
          <w:sz w:val="26"/>
        </w:rPr>
        <w:t>Διαφάνεια 18: Ο πιο δυνατός κανόνας: lift 25,2</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Κάθε τελίτσα στο αριστερό γράφημα είναι ένας κανόνας. Ο πιο δυνατός λέει ότι τρία χρώματα του ίδιου σετ τσαγιού αγοράζονται μαζί εικοσιπέντε φορές πιο συχνά απ' ό,τι τυχαία.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δεξιό γράφημα δείχνει τι γίνεται αν αλλάξεις το κατώφλι, δηλαδή πόσο σπάνιο επιτρέπεις να είναι ένα σύνολο για να το μετρήσουμε. Στο 1% βγαίνουν 1.556 σύνολα, στο 2% βγαίνουν 385, στο 5% μένουν 35 σύνολα και κανένας κανόνας.</w:t>
      </w:r>
    </w:p>
    <w:p>
      <w:pPr>
        <w:spacing w:before="280" w:after="80"/>
      </w:pPr>
      <w:r>
        <w:rPr>
          <w:rFonts w:ascii="Cambria" w:hAnsi="Cambria"/>
          <w:b/>
          <w:color w:val="241F1B"/>
          <w:sz w:val="26"/>
        </w:rPr>
        <w:t>Διαφάνεια 19: Ομαδοποίηση σε δύο επίπεδα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Έχουμε έναν σωρό στοιχεία, χώρες ή πελάτες, και θέλουμε να τα χωρίσουμε σε ομάδες όπου τα μέλη μοιάζουν μεταξύ τους. Το RFM είναι τρία απλά νούμερα για κάθε πελάτη: πόσο πρόσφατα αγόρασε, πόσο συχνά αγοράζει, πόσα έχει ξοδέψει.</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silhouette συγκρίνει πόσο κοντά είναι κάθε σημείο στη δική του ομάδα σε σχέση με την πιο κοντινή άλλη. Κοντά στο συν ένα είναι καλό, στο μηδέν μπερδεμένο, στο μείον ένα λάθος ομάδα. Δοκιμάζουμε πολλά k και κρατάμε το καλύτερο μέσο σκορ. Οι τύποι είναι στις εφεδρικές διαφάνειες.</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δύο επίπεδα;» Το ζήτησε η επίβλεψη: πρώτα ομαδοποίηση στις πιο σημαντικές παραμέτρους, περιοχή και χρόνο, και μετά μέσα σε κάθε ομάδα ξανά με RFM. Παίρνουμε πληροφορία σε δύο επίπεδα αντί για ένα. Επίσης, η τυποποίηση των μεταβλητών πριν το clustering δεν είναι βελτίωση, είναι προϋπόθεση, αλλιώς η μεταβλητή με τη μεγαλύτερη κλίμακα κυριαρχεί.</w:t>
      </w:r>
    </w:p>
    <w:p>
      <w:pPr>
        <w:spacing w:before="280" w:after="80"/>
      </w:pPr>
      <w:r>
        <w:rPr>
          <w:rFonts w:ascii="Cambria" w:hAnsi="Cambria"/>
          <w:b/>
          <w:color w:val="241F1B"/>
          <w:sz w:val="26"/>
        </w:rPr>
        <w:t>Διαφάνεια 20: Το Ηνωμένο Βασίλειο βγαίνει μόνο του</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πρώτο επίπεδο χωρίζει τις χώρες. Βγαίνουν μόνο δύο ομάδες. Το Ηνωμένο Βασίλειο μόνο του, γιατί αγοράζει και τους εικοσιπέντε μήνες, και οι υπόλοιπες σαράντα δύο χώρες μαζί, γιατί αγοράζουν σποραδικά, κατά μέσο όρο σε δώδεκα μήνες.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δεύτερο επίπεδο μπαίνει μέσα σε κάθε ομάδα χωρών και χωρίζει τους πελάτες. Και στις δύο αγορές βγαίνει το ίδιο μοτίβο: μια πολυπληθής ομάδα τακτικών που αγοράζουν πέντε φορές, και μια μικρή ομάδα, οι λεγόμενοι whales, που αγοράζουν εκατόν είκοσι ως διακόσιες είκοσι φορές και ξοδεύουν εκατονταπλάσια ποσά.</w:t>
      </w:r>
    </w:p>
    <w:p>
      <w:pPr>
        <w:spacing w:before="280" w:after="80"/>
      </w:pPr>
      <w:r>
        <w:rPr>
          <w:rFonts w:ascii="Cambria" w:hAnsi="Cambria"/>
          <w:b/>
          <w:color w:val="241F1B"/>
          <w:sz w:val="26"/>
        </w:rPr>
        <w:t>Διαφάνεια 21: Ο μήνας ήταν κομμένος, όχι πεσμένος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Η πρόβλεψη μαντεύει τις πωλήσεις των επόμενων μηνών από το ιστορικό. Εδώ όμως το ενδιαφέρον δεν είναι το νούμερο, είναι η ιστορία. Το πρώτο αποτέλεσμα φαινόταν χειρότερο από το χαζό μάντεμα.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Skill score ίσον ένα μείον το δικό μας σφάλμα διά το σφάλμα της απλοϊκής εκτίμησης. Θετικό σημαίνει ότι νικάμε την απλοϊκή εκτίμηση, αρνητικό ότι χάνουμε. Ο τελευταίος μήνας είχε εννιά μέρες αντί για τριάντα, οπότε έμοιαζε με κατάρρευση ενώ ήταν απλώς κομμένος. Μόλις εξαιρέθηκε, το πρόσημο άλλαξε. Το μεθοδολογικό σημείο είναι πιο σημαντικό από τα νούμερα: μια κομμένη περίοδος δεν χαλάει απλώς την ακρίβεια, αντιστρέφει το συμπέρασμα.</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Holt-Winters και όχι ARIMA ή νευρωνικά δίκτυα;» Είναι διαφανές, έχει λίγες παραμέτρους και δουλεύει με λίγο ιστορικό. Έχουμε μόλις εικοσιπέντε μήνες. Δηλώνουμε ρητά ότι δεν είναι η ακριβέστερη μέθοδος, και το skill score δείχνει ακριβώς πού είναι το όριο.</w:t>
      </w:r>
    </w:p>
    <w:p>
      <w:pPr>
        <w:spacing w:before="280" w:after="80"/>
      </w:pPr>
      <w:r>
        <w:rPr>
          <w:rFonts w:ascii="Cambria" w:hAnsi="Cambria"/>
          <w:b/>
          <w:color w:val="241F1B"/>
          <w:sz w:val="26"/>
        </w:rPr>
        <w:t>Διαφάνεια 22: Πού πάνε τα έσοδα κάθε μήνα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Growth Accounting σπάει τη μεταβολή των εσόδων κάθε μήνα σε έξι κουβάδες: πόσα έφεραν νέοι πελάτες, πόσα παλιοί που ξαναγύρισαν, πόσα έμειναν ίδια, πόσα κέρδισαν από πελάτες που ξόδεψαν παραπάνω, πόσα χάθηκαν από πελάτες που ξόδεψαν λιγότερα, και πόσα χάθηκαν εντελώς.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Quick ratio ίσον τα καλά διά τα κακά, δηλαδή νέα συν αναβιωμένα συν επέκταση, διά συρρίκνωση συν απώλεια. Πάνω από ένα η επιχείρηση μεγαλώνει, κάτω από ένα μικραίνει. Ο συντελεστής Gini: φανταστείτε εκατό ανθρώπους. Αν έχουν ακριβώς τα ίδια, Gini μηδέν. Αν ένας τα έχει όλα, Gini ένα. Το 0,740 είναι κοντά στο άνισο άκρο. Το κρίσιμο όμως είναι το 3,3%: αν έφευγε ο μεγαλύτερος πελάτης, η επιχείρηση δεν θα κατέρρεε.</w:t>
      </w:r>
    </w:p>
    <w:p>
      <w:pPr>
        <w:spacing w:before="280" w:after="80"/>
      </w:pPr>
      <w:r>
        <w:rPr>
          <w:rFonts w:ascii="Cambria" w:hAnsi="Cambria"/>
          <w:b/>
          <w:color w:val="241F1B"/>
          <w:sz w:val="26"/>
        </w:rPr>
        <w:t>Διαφάνεια 23: Κερδοφορία: σενάριο, όχι μέτρηση</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Αυτή είναι ίσως η πιο σημαντική διαφάνεια για την ειλικρίνεια της δουλειάς. Δεν ξέρουμε το πραγματικό κόστος του μαγαζιού, οπότε δεν λέμε «κερδίζει τόσα». Λέμε: αν το περιθώριο είναι τόσο και το κόστος απόκτησης πελάτη τόσο, τότε βγαίνει αυτό. Και δείχνουμε όλους τους συνδυασμούς.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LTV προς CAC ίσον πόσα φέρνει συνολικά ένας πελάτης διά πόσο κόστισε να τον αποκτήσεις. Πληρώνεις εκατό και σου φέρνει τριακόσια: τρία προς ένα, καλή επένδυση. Σου φέρνει ενενήντα: έχασες. Το πλέγμα δοκιμάζει περιθώρια από 15% ως 60% και κόστος απόκτησης από 100 ως 900.</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δεν υποθέτετε ένα λογικό περιθώριο για μια τελική απάντηση;» Γιατί θα ήταν υπόθεση ντυμένη σαν εύρημα. Δηλώνουμε τις παραδοχές και δείχνουμε πώς αλλάζει το συμπέρασμα όταν αλλάζουν.</w:t>
      </w:r>
    </w:p>
    <w:p>
      <w:pPr>
        <w:spacing w:before="400" w:after="200"/>
      </w:pPr>
      <w:r>
        <w:rPr>
          <w:rFonts w:ascii="Cambria" w:hAnsi="Cambria"/>
          <w:b/>
          <w:color w:val="2C5530"/>
          <w:sz w:val="30"/>
        </w:rPr>
        <w:t>Μέρος 04: Συμπεράσματα</w:t>
      </w:r>
    </w:p>
    <w:p>
      <w:pPr>
        <w:spacing w:before="280" w:after="80"/>
      </w:pPr>
      <w:r>
        <w:rPr>
          <w:rFonts w:ascii="Cambria" w:hAnsi="Cambria"/>
          <w:b/>
          <w:color w:val="241F1B"/>
          <w:sz w:val="26"/>
        </w:rPr>
        <w:t>Διαφάνεια 24: Ενότητα: Συμπεράσματα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Τέταρτο μέρος: συμπεράσματα, περιορισμοί και επεκτάσεις.</w:t>
      </w:r>
    </w:p>
    <w:p>
      <w:pPr>
        <w:spacing w:before="280" w:after="80"/>
      </w:pPr>
      <w:r>
        <w:rPr>
          <w:rFonts w:ascii="Cambria" w:hAnsi="Cambria"/>
          <w:b/>
          <w:color w:val="241F1B"/>
          <w:sz w:val="26"/>
        </w:rPr>
        <w:t>Διαφάνεια 25: Τι απαντήθηκε και τι κάνει κανείς με αυτό</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Αν κρατήσετε μία διαφάνεια από όλη την παρουσίαση, ας είναι αυτή. Αριστερά τι απαντήθηκε, δεξιά τι κάνει ο ιδιοκτήτης του μαγαζιού με τις απαντήσεις.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Δύο ακόμα σημεία που αξίζουν αναφορά. Οι κατηγοριοποιήσεις ανά εύρος τιμής και ανά είδος μοιράζουν όλα τα έσοδα, χωρίς διπλομέτρηση και χωρίς απώλεια, και αυτό ελέγχεται αυτόματα με τεστ. Και το Growth Accounting είναι η πιο ισχυρή μετρήσιμη ένδειξη για την υγεία μιας επιχείρησης, χωρίς καμία παραδοχή στη μέση.</w:t>
      </w:r>
    </w:p>
    <w:p>
      <w:pPr>
        <w:spacing w:before="280" w:after="80"/>
      </w:pPr>
      <w:r>
        <w:rPr>
          <w:rFonts w:ascii="Cambria" w:hAnsi="Cambria"/>
          <w:b/>
          <w:color w:val="241F1B"/>
          <w:sz w:val="26"/>
        </w:rPr>
        <w:t>Διαφάνεια 26: Πού σταματάμε και τι θα ερχόταν μετά</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Αριστερά τα πέντε πράγματα που η δουλειά δεν μπορεί να κάνει, δηλωμένα ανοιχτά. Το πιο σημαντικό είναι το πρώτο: δεν ξέρουμε τα κόστη, οπότε δεν μπορούμε να πούμε με σιγουριά αν το μαγαζί είναι κερδοφόρο.</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Δεξιά, πέντε ιδέες για τη συνέχεια. Η πιο άμεση είναι το δεύτερο κατάστημα: η προσθήκη του είναι πλέον απλή παραμετροποίηση, εκκρεμεί μόνο η σύγκριση των ευρημάτων. Η τελευταία, τα πραγματικά κόστη, θα μετέτρεπε τα σενάρια κερδοφορίας σε μετρήσεις, και η αρχιτεκτονική το επιτρέπει χωρίς αλλαγή δομής.</w:t>
      </w:r>
    </w:p>
    <w:p>
      <w:pPr>
        <w:spacing w:before="280" w:after="80"/>
      </w:pPr>
      <w:r>
        <w:rPr>
          <w:rFonts w:ascii="Cambria" w:hAnsi="Cambria"/>
          <w:b/>
          <w:color w:val="241F1B"/>
          <w:sz w:val="26"/>
        </w:rPr>
        <w:t>Διαφάνεια 27: Επίλογος και ερωτήσεις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μήνυμα όλης της δουλειάς σε μία πρόταση: να απαντηθεί ό,τι ζήτησε η επιχείρηση, και να μην προσποιηθούμε ότι απαντάμε σε πράγματα που τα δεδομένα δεν επιτρέπουν. Ευχαριστώ πολύ.</w:t>
      </w:r>
    </w:p>
    <w:p>
      <w:pPr>
        <w:spacing w:before="400" w:after="200"/>
      </w:pPr>
      <w:r>
        <w:rPr>
          <w:rFonts w:ascii="Cambria" w:hAnsi="Cambria"/>
          <w:b/>
          <w:color w:val="2C5530"/>
          <w:sz w:val="30"/>
        </w:rPr>
        <w:t>Εφεδρικές διαφάνειες, μετά το ευχαριστώ</w:t>
      </w:r>
    </w:p>
    <w:p>
      <w:pPr>
        <w:spacing w:before="280" w:after="80"/>
      </w:pPr>
      <w:r>
        <w:rPr>
          <w:rFonts w:ascii="Cambria" w:hAnsi="Cambria"/>
          <w:b/>
          <w:color w:val="241F1B"/>
          <w:sz w:val="26"/>
        </w:rPr>
        <w:t>Διαφάνεια B1: Οι τύποι της εξόρυξης συχνών συνόλων</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τους τύπους, αν η επιτροπή τους ζητήσει.</w:t>
      </w:r>
    </w:p>
    <w:p>
      <w:pPr>
        <w:spacing w:before="280" w:after="80"/>
      </w:pPr>
      <w:r>
        <w:rPr>
          <w:rFonts w:ascii="Cambria" w:hAnsi="Cambria"/>
          <w:b/>
          <w:color w:val="241F1B"/>
          <w:sz w:val="26"/>
        </w:rPr>
        <w:t>Διαφάνεια B2: Οι τύποι της ομαδοποίησης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τους τύπους της ομαδοποίησης.</w:t>
      </w:r>
    </w:p>
    <w:p>
      <w:pPr>
        <w:spacing w:before="280" w:after="80"/>
      </w:pPr>
      <w:r>
        <w:rPr>
          <w:rFonts w:ascii="Cambria" w:hAnsi="Cambria"/>
          <w:b/>
          <w:color w:val="241F1B"/>
          <w:sz w:val="26"/>
        </w:rPr>
        <w:t>Διαφάνεια B3: Το πλήρες πλέγμα LTV προς CAC</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το πλήρες πλέγμα κερδοφορίας.</w:t>
      </w:r>
    </w:p>
    <w:p>
      <w:pPr>
        <w:spacing w:before="280" w:after="80"/>
      </w:pPr>
      <w:r>
        <w:rPr>
          <w:rFonts w:ascii="Cambria" w:hAnsi="Cambria"/>
          <w:b/>
          <w:color w:val="241F1B"/>
          <w:sz w:val="26"/>
        </w:rPr>
        <w:t>Διαφάνεια B4: Ευαισθησία στο κατώφλι support</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την ευαισθησία στο κατώφλι.</w:t>
      </w:r>
    </w:p>
    <w:p>
      <w:pPr>
        <w:spacing w:before="280" w:after="80"/>
      </w:pPr>
      <w:r>
        <w:rPr>
          <w:rFonts w:ascii="Cambria" w:hAnsi="Cambria"/>
          <w:b/>
          <w:color w:val="241F1B"/>
          <w:sz w:val="26"/>
        </w:rPr>
        <w:t>Διαφάνεια B5: Δύο ακόμα κατανομές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τα δύο γραφήματα που βγήκαν από τη ροή.</w:t>
      </w:r>
    </w:p>
    <w:p>
      <w:r>
        <w:br w:type="page"/>
      </w:r>
    </w:p>
    <w:p>
      <w:pPr>
        <w:spacing w:before="0" w:after="80"/>
      </w:pPr>
      <w:r>
        <w:rPr>
          <w:rFonts w:ascii="Cambria" w:hAnsi="Cambria"/>
          <w:b/>
          <w:color w:val="2C5530"/>
          <w:sz w:val="30"/>
        </w:rPr>
        <w:t>Κάρτα νούμερων</w:t>
      </w:r>
    </w:p>
    <w:p>
      <w:pPr>
        <w:spacing w:before="0" w:after="200"/>
      </w:pPr>
      <w:r>
        <w:rPr>
          <w:rFonts w:ascii="Calibri" w:hAnsi="Calibri"/>
          <w:b w:val="0"/>
          <w:color w:val="6B6259"/>
          <w:sz w:val="22"/>
        </w:rPr>
        <w:t>Για γρήγορη ανάκληση πριν μπεις, και για όταν η επιτροπή ρωτήσει έναν αριθμό.</w:t>
      </w: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sz w:val="20"/>
              </w:rPr>
              <w:t>Δεδομένα</w:t>
            </w:r>
          </w:p>
        </w:tc>
        <w:tc>
          <w:tcPr>
            <w:tcW w:type="dxa" w:w="4320"/>
          </w:tcPr>
          <w:p>
            <w:pPr>
              <w:jc w:val="left"/>
            </w:pPr>
            <w:r>
              <w:rPr>
                <w:rFonts w:ascii="Calibri" w:hAnsi="Calibri"/>
                <w:b w:val="0"/>
                <w:sz w:val="20"/>
              </w:rPr>
              <w:t>39.516 παραγγελίες, 1.002.423 γραμμές, 5.875 πελάτες, 4.900 προϊόντα, 43 περιοχές</w:t>
            </w:r>
          </w:p>
        </w:tc>
      </w:tr>
      <w:tr>
        <w:tc>
          <w:tcPr>
            <w:tcW w:type="dxa" w:w="4320"/>
          </w:tcPr>
          <w:p>
            <w:pPr>
              <w:jc w:val="left"/>
            </w:pPr>
            <w:r>
              <w:rPr>
                <w:rFonts w:ascii="Calibri" w:hAnsi="Calibri"/>
                <w:b/>
                <w:sz w:val="20"/>
              </w:rPr>
              <w:t>Επιστροφές</w:t>
            </w:r>
          </w:p>
        </w:tc>
        <w:tc>
          <w:tcPr>
            <w:tcW w:type="dxa" w:w="4320"/>
          </w:tcPr>
          <w:p>
            <w:pPr>
              <w:jc w:val="left"/>
            </w:pPr>
            <w:r>
              <w:rPr>
                <w:rFonts w:ascii="Calibri" w:hAnsi="Calibri"/>
                <w:b w:val="0"/>
                <w:sz w:val="20"/>
              </w:rPr>
              <w:t>17.925 εγγραφές, κρατημένες ξεχωριστά με θετικό πρόσημο</w:t>
            </w:r>
          </w:p>
        </w:tc>
      </w:tr>
      <w:tr>
        <w:tc>
          <w:tcPr>
            <w:tcW w:type="dxa" w:w="4320"/>
          </w:tcPr>
          <w:p>
            <w:pPr>
              <w:jc w:val="left"/>
            </w:pPr>
            <w:r>
              <w:rPr>
                <w:rFonts w:ascii="Calibri" w:hAnsi="Calibri"/>
                <w:b/>
                <w:sz w:val="20"/>
              </w:rPr>
              <w:t>Καλάθια</w:t>
            </w:r>
          </w:p>
        </w:tc>
        <w:tc>
          <w:tcPr>
            <w:tcW w:type="dxa" w:w="4320"/>
          </w:tcPr>
          <w:p>
            <w:pPr>
              <w:jc w:val="left"/>
            </w:pPr>
            <w:r>
              <w:rPr>
                <w:rFonts w:ascii="Calibri" w:hAnsi="Calibri"/>
                <w:b w:val="0"/>
                <w:sz w:val="20"/>
              </w:rPr>
              <w:t>36.269 με δύο ή περισσότερα προϊόντα, διάμεσο 17, μέγιστο 1.108</w:t>
            </w:r>
          </w:p>
        </w:tc>
      </w:tr>
      <w:tr>
        <w:tc>
          <w:tcPr>
            <w:tcW w:type="dxa" w:w="4320"/>
          </w:tcPr>
          <w:p>
            <w:pPr>
              <w:jc w:val="left"/>
            </w:pPr>
            <w:r>
              <w:rPr>
                <w:rFonts w:ascii="Calibri" w:hAnsi="Calibri"/>
                <w:b/>
                <w:sz w:val="20"/>
              </w:rPr>
              <w:t>Mining, support 0,02</w:t>
            </w:r>
          </w:p>
        </w:tc>
        <w:tc>
          <w:tcPr>
            <w:tcW w:type="dxa" w:w="4320"/>
          </w:tcPr>
          <w:p>
            <w:pPr>
              <w:jc w:val="left"/>
            </w:pPr>
            <w:r>
              <w:rPr>
                <w:rFonts w:ascii="Calibri" w:hAnsi="Calibri"/>
                <w:b w:val="0"/>
                <w:sz w:val="20"/>
              </w:rPr>
              <w:t>385 συχνά σύνολα, 134 κανόνες, ίδια και από τους δύο αλγορίθμους</w:t>
            </w:r>
          </w:p>
        </w:tc>
      </w:tr>
      <w:tr>
        <w:tc>
          <w:tcPr>
            <w:tcW w:type="dxa" w:w="4320"/>
          </w:tcPr>
          <w:p>
            <w:pPr>
              <w:jc w:val="left"/>
            </w:pPr>
            <w:r>
              <w:rPr>
                <w:rFonts w:ascii="Calibri" w:hAnsi="Calibri"/>
                <w:b/>
                <w:sz w:val="20"/>
              </w:rPr>
              <w:t>Ταχύτητα</w:t>
            </w:r>
          </w:p>
        </w:tc>
        <w:tc>
          <w:tcPr>
            <w:tcW w:type="dxa" w:w="4320"/>
          </w:tcPr>
          <w:p>
            <w:pPr>
              <w:jc w:val="left"/>
            </w:pPr>
            <w:r>
              <w:rPr>
                <w:rFonts w:ascii="Calibri" w:hAnsi="Calibri"/>
                <w:b w:val="0"/>
                <w:sz w:val="20"/>
              </w:rPr>
              <w:t>Apriori 5,14 s, FP-Growth 1,96 s, 2,6 φορές πιο γρήγορος</w:t>
            </w:r>
          </w:p>
        </w:tc>
      </w:tr>
      <w:tr>
        <w:tc>
          <w:tcPr>
            <w:tcW w:type="dxa" w:w="4320"/>
          </w:tcPr>
          <w:p>
            <w:pPr>
              <w:jc w:val="left"/>
            </w:pPr>
            <w:r>
              <w:rPr>
                <w:rFonts w:ascii="Calibri" w:hAnsi="Calibri"/>
                <w:b/>
                <w:sz w:val="20"/>
              </w:rPr>
              <w:t>Δυνατότερος κανόνας</w:t>
            </w:r>
          </w:p>
        </w:tc>
        <w:tc>
          <w:tcPr>
            <w:tcW w:type="dxa" w:w="4320"/>
          </w:tcPr>
          <w:p>
            <w:pPr>
              <w:jc w:val="left"/>
            </w:pPr>
            <w:r>
              <w:rPr>
                <w:rFonts w:ascii="Calibri" w:hAnsi="Calibri"/>
                <w:b w:val="0"/>
                <w:sz w:val="20"/>
              </w:rPr>
              <w:t>Παραλλαγές REGENCY TEACUP AND SAUCER, lift 25,2</w:t>
            </w:r>
          </w:p>
        </w:tc>
      </w:tr>
      <w:tr>
        <w:tc>
          <w:tcPr>
            <w:tcW w:type="dxa" w:w="4320"/>
          </w:tcPr>
          <w:p>
            <w:pPr>
              <w:jc w:val="left"/>
            </w:pPr>
            <w:r>
              <w:rPr>
                <w:rFonts w:ascii="Calibri" w:hAnsi="Calibri"/>
                <w:b/>
                <w:sz w:val="20"/>
              </w:rPr>
              <w:t>Ομαδοποίηση</w:t>
            </w:r>
          </w:p>
        </w:tc>
        <w:tc>
          <w:tcPr>
            <w:tcW w:type="dxa" w:w="4320"/>
          </w:tcPr>
          <w:p>
            <w:pPr>
              <w:jc w:val="left"/>
            </w:pPr>
            <w:r>
              <w:rPr>
                <w:rFonts w:ascii="Calibri" w:hAnsi="Calibri"/>
                <w:b w:val="0"/>
                <w:sz w:val="20"/>
              </w:rPr>
              <w:t>k ίσον 2, silhouette 0,8793. ΗΒ μόνο του, 42 αγορές εξαγωγής μαζί</w:t>
            </w:r>
          </w:p>
        </w:tc>
      </w:tr>
      <w:tr>
        <w:tc>
          <w:tcPr>
            <w:tcW w:type="dxa" w:w="4320"/>
          </w:tcPr>
          <w:p>
            <w:pPr>
              <w:jc w:val="left"/>
            </w:pPr>
            <w:r>
              <w:rPr>
                <w:rFonts w:ascii="Calibri" w:hAnsi="Calibri"/>
                <w:b/>
                <w:sz w:val="20"/>
              </w:rPr>
              <w:t>Ενεργοί μήνες</w:t>
            </w:r>
          </w:p>
        </w:tc>
        <w:tc>
          <w:tcPr>
            <w:tcW w:type="dxa" w:w="4320"/>
          </w:tcPr>
          <w:p>
            <w:pPr>
              <w:jc w:val="left"/>
            </w:pPr>
            <w:r>
              <w:rPr>
                <w:rFonts w:ascii="Calibri" w:hAnsi="Calibri"/>
                <w:b w:val="0"/>
                <w:sz w:val="20"/>
              </w:rPr>
              <w:t>ΗΒ 25,0 από 25. Εξαγωγές 12,8 κατά μέσο όρο</w:t>
            </w:r>
          </w:p>
        </w:tc>
      </w:tr>
      <w:tr>
        <w:tc>
          <w:tcPr>
            <w:tcW w:type="dxa" w:w="4320"/>
          </w:tcPr>
          <w:p>
            <w:pPr>
              <w:jc w:val="left"/>
            </w:pPr>
            <w:r>
              <w:rPr>
                <w:rFonts w:ascii="Calibri" w:hAnsi="Calibri"/>
                <w:b/>
                <w:sz w:val="20"/>
              </w:rPr>
              <w:t>Whales</w:t>
            </w:r>
          </w:p>
        </w:tc>
        <w:tc>
          <w:tcPr>
            <w:tcW w:type="dxa" w:w="4320"/>
          </w:tcPr>
          <w:p>
            <w:pPr>
              <w:jc w:val="left"/>
            </w:pPr>
            <w:r>
              <w:rPr>
                <w:rFonts w:ascii="Calibri" w:hAnsi="Calibri"/>
                <w:b w:val="0"/>
                <w:sz w:val="20"/>
              </w:rPr>
              <w:t>3 πελάτες στις εξαγωγές, 25 στο ΗΒ, με 120 ως 220 παραγγελίες ο καθένας</w:t>
            </w:r>
          </w:p>
        </w:tc>
      </w:tr>
      <w:tr>
        <w:tc>
          <w:tcPr>
            <w:tcW w:type="dxa" w:w="4320"/>
          </w:tcPr>
          <w:p>
            <w:pPr>
              <w:jc w:val="left"/>
            </w:pPr>
            <w:r>
              <w:rPr>
                <w:rFonts w:ascii="Calibri" w:hAnsi="Calibri"/>
                <w:b/>
                <w:sz w:val="20"/>
              </w:rPr>
              <w:t>Πρόβλεψη</w:t>
            </w:r>
          </w:p>
        </w:tc>
        <w:tc>
          <w:tcPr>
            <w:tcW w:type="dxa" w:w="4320"/>
          </w:tcPr>
          <w:p>
            <w:pPr>
              <w:jc w:val="left"/>
            </w:pPr>
            <w:r>
              <w:rPr>
                <w:rFonts w:ascii="Calibri" w:hAnsi="Calibri"/>
                <w:b w:val="0"/>
                <w:sz w:val="20"/>
              </w:rPr>
              <w:t>Skill score −0,21 με τον κομμένο μήνα μέσα, +0,1421 χωρίς αυτόν</w:t>
            </w:r>
          </w:p>
        </w:tc>
      </w:tr>
      <w:tr>
        <w:tc>
          <w:tcPr>
            <w:tcW w:type="dxa" w:w="4320"/>
          </w:tcPr>
          <w:p>
            <w:pPr>
              <w:jc w:val="left"/>
            </w:pPr>
            <w:r>
              <w:rPr>
                <w:rFonts w:ascii="Calibri" w:hAnsi="Calibri"/>
                <w:b/>
                <w:sz w:val="20"/>
              </w:rPr>
              <w:t>Σφάλμα</w:t>
            </w:r>
          </w:p>
        </w:tc>
        <w:tc>
          <w:tcPr>
            <w:tcW w:type="dxa" w:w="4320"/>
          </w:tcPr>
          <w:p>
            <w:pPr>
              <w:jc w:val="left"/>
            </w:pPr>
            <w:r>
              <w:rPr>
                <w:rFonts w:ascii="Calibri" w:hAnsi="Calibri"/>
                <w:b w:val="0"/>
                <w:sz w:val="20"/>
              </w:rPr>
              <w:t>MAPE 38,48% η απλοϊκή εκτίμηση, 32,74% το Holt-Winters</w:t>
            </w:r>
          </w:p>
        </w:tc>
      </w:tr>
      <w:tr>
        <w:tc>
          <w:tcPr>
            <w:tcW w:type="dxa" w:w="4320"/>
          </w:tcPr>
          <w:p>
            <w:pPr>
              <w:jc w:val="left"/>
            </w:pPr>
            <w:r>
              <w:rPr>
                <w:rFonts w:ascii="Calibri" w:hAnsi="Calibri"/>
                <w:b/>
                <w:sz w:val="20"/>
              </w:rPr>
              <w:t>Πελάτες</w:t>
            </w:r>
          </w:p>
        </w:tc>
        <w:tc>
          <w:tcPr>
            <w:tcW w:type="dxa" w:w="4320"/>
          </w:tcPr>
          <w:p>
            <w:pPr>
              <w:jc w:val="left"/>
            </w:pPr>
            <w:r>
              <w:rPr>
                <w:rFonts w:ascii="Calibri" w:hAnsi="Calibri"/>
                <w:b w:val="0"/>
                <w:sz w:val="20"/>
              </w:rPr>
              <w:t>72,4% ξαναγόρασαν, 6,25 παραγγελίες ο καθένας, μέση παραγγελία 493,63</w:t>
            </w:r>
          </w:p>
        </w:tc>
      </w:tr>
      <w:tr>
        <w:tc>
          <w:tcPr>
            <w:tcW w:type="dxa" w:w="4320"/>
          </w:tcPr>
          <w:p>
            <w:pPr>
              <w:jc w:val="left"/>
            </w:pPr>
            <w:r>
              <w:rPr>
                <w:rFonts w:ascii="Calibri" w:hAnsi="Calibri"/>
                <w:b/>
                <w:sz w:val="20"/>
              </w:rPr>
              <w:t>Συγκέντρωση</w:t>
            </w:r>
          </w:p>
        </w:tc>
        <w:tc>
          <w:tcPr>
            <w:tcW w:type="dxa" w:w="4320"/>
          </w:tcPr>
          <w:p>
            <w:pPr>
              <w:jc w:val="left"/>
            </w:pPr>
            <w:r>
              <w:rPr>
                <w:rFonts w:ascii="Calibri" w:hAnsi="Calibri"/>
                <w:b w:val="0"/>
                <w:sz w:val="20"/>
              </w:rPr>
              <w:t>Gini 0,740. Το κορυφαίο 20% κάνει το 77,1%. Ο μεγαλύτερος πελάτης 3,3%</w:t>
            </w:r>
          </w:p>
        </w:tc>
      </w:tr>
      <w:tr>
        <w:tc>
          <w:tcPr>
            <w:tcW w:type="dxa" w:w="4320"/>
          </w:tcPr>
          <w:p>
            <w:pPr>
              <w:jc w:val="left"/>
            </w:pPr>
            <w:r>
              <w:rPr>
                <w:rFonts w:ascii="Calibri" w:hAnsi="Calibri"/>
                <w:b/>
                <w:sz w:val="20"/>
              </w:rPr>
              <w:t>Κερδοφορία</w:t>
            </w:r>
          </w:p>
        </w:tc>
        <w:tc>
          <w:tcPr>
            <w:tcW w:type="dxa" w:w="4320"/>
          </w:tcPr>
          <w:p>
            <w:pPr>
              <w:jc w:val="left"/>
            </w:pPr>
            <w:r>
              <w:rPr>
                <w:rFonts w:ascii="Calibri" w:hAnsi="Calibri"/>
                <w:b w:val="0"/>
                <w:sz w:val="20"/>
              </w:rPr>
              <w:t>16 κελιά, 8 περνάνε το 3:1 και 8 όχι. Μέση αξία πελάτη 2.895</w:t>
            </w:r>
          </w:p>
        </w:tc>
      </w:tr>
      <w:tr>
        <w:tc>
          <w:tcPr>
            <w:tcW w:type="dxa" w:w="4320"/>
          </w:tcPr>
          <w:p>
            <w:pPr>
              <w:jc w:val="left"/>
            </w:pPr>
            <w:r>
              <w:rPr>
                <w:rFonts w:ascii="Calibri" w:hAnsi="Calibri"/>
                <w:b/>
                <w:sz w:val="20"/>
              </w:rPr>
              <w:t>Έσοδα ανά τιμή</w:t>
            </w:r>
          </w:p>
        </w:tc>
        <w:tc>
          <w:tcPr>
            <w:tcW w:type="dxa" w:w="4320"/>
          </w:tcPr>
          <w:p>
            <w:pPr>
              <w:jc w:val="left"/>
            </w:pPr>
            <w:r>
              <w:rPr>
                <w:rFonts w:ascii="Calibri" w:hAnsi="Calibri"/>
                <w:b w:val="0"/>
                <w:sz w:val="20"/>
              </w:rPr>
              <w:t>Το εύρος 1 ως 5 λίρες φέρνει το 62% των εσόδων</w:t>
            </w:r>
          </w:p>
        </w:tc>
      </w:tr>
      <w:tr>
        <w:tc>
          <w:tcPr>
            <w:tcW w:type="dxa" w:w="4320"/>
          </w:tcPr>
          <w:p>
            <w:pPr>
              <w:jc w:val="left"/>
            </w:pPr>
            <w:r>
              <w:rPr>
                <w:rFonts w:ascii="Calibri" w:hAnsi="Calibri"/>
                <w:b/>
                <w:sz w:val="20"/>
              </w:rPr>
              <w:t>Αταξινόμητα</w:t>
            </w:r>
          </w:p>
        </w:tc>
        <w:tc>
          <w:tcPr>
            <w:tcW w:type="dxa" w:w="4320"/>
          </w:tcPr>
          <w:p>
            <w:pPr>
              <w:jc w:val="left"/>
            </w:pPr>
            <w:r>
              <w:rPr>
                <w:rFonts w:ascii="Calibri" w:hAnsi="Calibri"/>
                <w:b w:val="0"/>
                <w:sz w:val="20"/>
              </w:rPr>
              <w:t>38,9% των εσόδων, γιατί δεν υπάρχει κατηγορία προϊόντος στην πηγή</w:t>
            </w:r>
          </w:p>
        </w:tc>
      </w:tr>
      <w:tr>
        <w:tc>
          <w:tcPr>
            <w:tcW w:type="dxa" w:w="4320"/>
          </w:tcPr>
          <w:p>
            <w:pPr>
              <w:jc w:val="left"/>
            </w:pPr>
            <w:r>
              <w:rPr>
                <w:rFonts w:ascii="Calibri" w:hAnsi="Calibri"/>
                <w:b/>
                <w:sz w:val="20"/>
              </w:rPr>
              <w:t>Ηνωμένο Βασίλειο</w:t>
            </w:r>
          </w:p>
        </w:tc>
        <w:tc>
          <w:tcPr>
            <w:tcW w:type="dxa" w:w="4320"/>
          </w:tcPr>
          <w:p>
            <w:pPr>
              <w:jc w:val="left"/>
            </w:pPr>
            <w:r>
              <w:rPr>
                <w:rFonts w:ascii="Calibri" w:hAnsi="Calibri"/>
                <w:b w:val="0"/>
                <w:sz w:val="20"/>
              </w:rPr>
              <w:t>Περίπου 86% των συνολικών εσόδων</w:t>
            </w:r>
          </w:p>
        </w:tc>
      </w:tr>
      <w:tr>
        <w:tc>
          <w:tcPr>
            <w:tcW w:type="dxa" w:w="4320"/>
          </w:tcPr>
          <w:p>
            <w:pPr>
              <w:jc w:val="left"/>
            </w:pPr>
            <w:r>
              <w:rPr>
                <w:rFonts w:ascii="Calibri" w:hAnsi="Calibri"/>
                <w:b/>
                <w:sz w:val="20"/>
              </w:rPr>
              <w:t>Endpoints</w:t>
            </w:r>
          </w:p>
        </w:tc>
        <w:tc>
          <w:tcPr>
            <w:tcW w:type="dxa" w:w="4320"/>
          </w:tcPr>
          <w:p>
            <w:pPr>
              <w:jc w:val="left"/>
            </w:pPr>
            <w:r>
              <w:rPr>
                <w:rFonts w:ascii="Calibri" w:hAnsi="Calibri"/>
                <w:b w:val="0"/>
                <w:sz w:val="20"/>
              </w:rPr>
              <w:t>22 κάτω από το /api/v1, 12 κάρτες SQL σε 3 dashboards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