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b32b826f2049739f548cdf23194c205b0b55e78e.png"/>
            <a:graphic>
              <a:graphicData uri="http://schemas.openxmlformats.org/drawingml/2006/picture">
                <pic:pic>
                  <pic:nvPicPr>
                    <pic:cNvPr id="1" name="image-b32b826f2049739f548cdf23194c205b0b55e78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論文分析報告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主要目標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本論文旨在提升自動發音評估（特別是異常發音評估）的準確性與魯棒性，核心目標為</w:t>
      </w:r>
      <w:r>
        <w:rPr>
          <w:rFonts w:eastAsia="inter" w:cs="inter" w:ascii="inter" w:hAnsi="inter"/>
          <w:b/>
          <w:color w:val="000000"/>
        </w:rPr>
        <w:t xml:space="preserve">有效建模音位的異音現象（allophony）</w:t>
      </w:r>
      <w:r>
        <w:rPr>
          <w:rFonts w:eastAsia="inter" w:cs="inter" w:ascii="inter" w:hAnsi="inter"/>
          <w:color w:val="000000"/>
        </w:rPr>
        <w:t xml:space="preserve">，並藉由結合自監督語音模型（Self-Supervised Speech Models, S3M）與高斯混合模型（Gaussian Mixture Models, GMM），提出一種新方法「MixGoP」，以更精確地區分典型與非典型（如語音障礙、非母語者）發音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相關研究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傳統方法</w:t>
      </w:r>
      <w:r>
        <w:rPr>
          <w:rFonts w:eastAsia="inter" w:cs="inter" w:ascii="inter" w:hAnsi="inter"/>
          <w:color w:val="000000"/>
          <w:sz w:val="21"/>
        </w:rPr>
        <w:t xml:space="preserve">：早期自動語音評估多以隱馬可夫模型（HMM）或深度神經網路（DNN）為基礎，將每個音位視為單一聲學分布，忽略了異音的多樣性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GoP（Goodness of Pronunciation）</w:t>
      </w:r>
      <w:r>
        <w:rPr>
          <w:rFonts w:eastAsia="inter" w:cs="inter" w:ascii="inter" w:hAnsi="inter"/>
          <w:color w:val="000000"/>
          <w:sz w:val="21"/>
        </w:rPr>
        <w:t xml:space="preserve">：Witt &amp; Young (2000) 提出GoP分數，衡量語音片段與目標音位的相符程度。後續研究將GoP應用於DNN、S3M等新型模型</w:t>
      </w:r>
      <w:bookmarkStart w:id="2" w:name="fnref1:2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自監督語音模型（S3M）</w:t>
      </w:r>
      <w:r>
        <w:rPr>
          <w:rFonts w:eastAsia="inter" w:cs="inter" w:ascii="inter" w:hAnsi="inter"/>
          <w:color w:val="000000"/>
          <w:sz w:val="21"/>
        </w:rPr>
        <w:t xml:space="preserve">：如wav2vec 2.0、XLS-R、WavLM等，證明能捕捉豐富的語音特徵，並在各種語音任務上表現優異，但對於異音的建模分析仍有限</w:t>
      </w:r>
      <w:bookmarkStart w:id="3" w:name="fnref1:3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異常語音偵測</w:t>
      </w:r>
      <w:r>
        <w:rPr>
          <w:rFonts w:eastAsia="inter" w:cs="inter" w:ascii="inter" w:hAnsi="inter"/>
          <w:color w:val="000000"/>
          <w:sz w:val="21"/>
        </w:rPr>
        <w:t xml:space="preserve">：Yeo et al. (2023a)等將異常發音評估視為分布外（OOD）偵測問題，嘗試跳脫傳統分類器的限制</w:t>
      </w:r>
      <w:bookmarkStart w:id="4" w:name="fnref1:4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研究方法與流程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問題診斷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傳統GoP方法假設每個音位只有單一分布（單峰），無法反映異音的多樣性。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傳統分類器依賴softmax，假設測試語音與訓練語音分布一致，對於異常語音（如語音障礙、非母語）不適用</w:t>
      </w:r>
      <w:bookmarkStart w:id="5" w:name="fnref1:5"/>
      <w:bookmarkEnd w:id="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MixGoP方法設計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核心思想</w:t>
      </w:r>
      <w:r>
        <w:rPr>
          <w:rFonts w:eastAsia="inter" w:cs="inter" w:ascii="inter" w:hAnsi="inter"/>
          <w:color w:val="000000"/>
          <w:sz w:val="21"/>
        </w:rPr>
        <w:t xml:space="preserve">：用高斯混合模型（GMM）為每個音位建模，允許每個音位包含多個子分布（對應不同異音），並用S3M萃取的特徵作為輸入。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流程簡述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用S3M（如WavLM、XLS-R）萃取語音特徵。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依據已標註的音位起訖，將語音切分為音位片段。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對每個音位片段進行特徵聚類（k-means初始化），再以GMM建模，捕捉異音分布。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用訓練好的GMM計算測試語音片段對應音位的對數似然分數（MixGoP分數）。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以分數評估發音的典型性，並與人工標註的流利度/錯誤率做相關性分析</w:t>
      </w:r>
      <w:bookmarkStart w:id="6" w:name="fnref1:6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實驗設計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資料集</w:t>
      </w:r>
      <w:r>
        <w:rPr>
          <w:rFonts w:eastAsia="inter" w:cs="inter" w:ascii="inter" w:hAnsi="inter"/>
          <w:color w:val="000000"/>
          <w:sz w:val="21"/>
        </w:rPr>
        <w:t xml:space="preserve">：涵蓋三個語音障礙（dysarthria）資料集與兩個非母語者資料集，訓練用健康/母語語者語音，測試用異常語音</w:t>
      </w:r>
      <w:bookmarkStart w:id="7" w:name="fnref1:7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特徵比較</w:t>
      </w:r>
      <w:r>
        <w:rPr>
          <w:rFonts w:eastAsia="inter" w:cs="inter" w:ascii="inter" w:hAnsi="inter"/>
          <w:color w:val="000000"/>
          <w:sz w:val="21"/>
        </w:rPr>
        <w:t xml:space="preserve">：比較MFCC、Mel spectrogram、TDNN-F、S3M等多種特徵。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基線方法</w:t>
      </w:r>
      <w:r>
        <w:rPr>
          <w:rFonts w:eastAsia="inter" w:cs="inter" w:ascii="inter" w:hAnsi="inter"/>
          <w:color w:val="000000"/>
          <w:sz w:val="21"/>
        </w:rPr>
        <w:t xml:space="preserve">：包括傳統GoP（GMM-GoP、NN-GoP、DNN-GoP、MaxLogit-GoP）、kNN、單類SVM等</w:t>
      </w:r>
      <w:bookmarkStart w:id="8" w:name="fnref1:8"/>
      <w:bookmarkEnd w:id="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評估指標</w:t>
      </w:r>
      <w:r>
        <w:rPr>
          <w:rFonts w:eastAsia="inter" w:cs="inter" w:ascii="inter" w:hAnsi="inter"/>
          <w:color w:val="000000"/>
          <w:sz w:val="21"/>
        </w:rPr>
        <w:t xml:space="preserve">：Kendall-tau相關係數（發音分數與人工標註的流利度/錯誤率之相關）</w:t>
      </w:r>
      <w:bookmarkStart w:id="9" w:name="fnref1:9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分析與驗證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驗證S3M特徵是否能有效捕捉異音（以聚類與互資訊量化）。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探討模型在不同資料集、特徵、子分布數量下的表現。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分析MixGoP在樣本數不足時的表現穩定性</w:t>
      </w:r>
      <w:bookmarkStart w:id="10" w:name="fnref1:10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主要數學公式說明（含隱喻與變數解釋）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傳統GoP分數</w:t>
      </w:r>
    </w:p>
    <w:p>
      <w:pPr>
        <w:spacing w:line="360" w:after="21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color w:val="000000"/>
                </w:rPr>
                <m:t>GoP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p</m:t>
              </m: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>
              <m:sty m:val="b"/>
            </m:rPr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=</m:t>
          </m:r>
          <m:r>
            <m:rPr>
              <m:sty m:val="p"/>
            </m:rPr>
            <w:rPr>
              <w:color w:val="000000"/>
            </w:rPr>
            <m:t>log</m:t>
          </m:r>
          <m:r>
            <m:rPr>
              <m:sty m:val="p"/>
            </m:rPr>
            <w:rPr>
              <w:color w:val="000000"/>
            </w:rPr>
            <m:t>⁡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</w:rPr>
                <m:t>P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θ</m:t>
              </m: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p</m:t>
          </m:r>
          <m:r>
            <m:rPr>
              <m:sty m:val="p"/>
            </m:rPr>
            <w:rPr>
              <w:color w:val="000000"/>
            </w:rPr>
            <m:t>∣</m:t>
          </m:r>
          <m:r>
            <m:rPr>
              <m:sty m:val="b"/>
            </m:rPr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：想像你是語音老師，聽到一段學生的發音（</w:t>
      </w:r>
      <m:oMath>
        <m:r>
          <m:rPr>
            <m:sty m:val="b"/>
          </m:rPr>
          <w:rPr>
            <w:color w:val="000000"/>
            <w:sz w:val="21"/>
          </w:rPr>
          <m:t>s</m:t>
        </m:r>
      </m:oMath>
      <w:r>
        <w:rPr>
          <w:rFonts w:eastAsia="inter" w:cs="inter" w:ascii="inter" w:hAnsi="inter"/>
          <w:color w:val="000000"/>
          <w:sz w:val="21"/>
        </w:rPr>
        <w:t xml:space="preserve">），你根據經驗判斷這是不是你預期的音位（</w:t>
      </w:r>
      <m:oMath>
        <m:r>
          <m:rPr>
            <m:sty m:val="i"/>
          </m:rPr>
          <w:rPr>
            <w:color w:val="000000"/>
            <w:sz w:val="21"/>
          </w:rPr>
          <m:t>p</m:t>
        </m:r>
      </m:oMath>
      <w:r>
        <w:rPr>
          <w:rFonts w:eastAsia="inter" w:cs="inter" w:ascii="inter" w:hAnsi="inter"/>
          <w:color w:val="000000"/>
          <w:sz w:val="21"/>
        </w:rPr>
        <w:t xml:space="preserve">），這個分數就是你信心的「對數」。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變數說明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6"/>
        </w:numPr>
        <w:spacing w:line="360" w:before="105" w:after="105" w:lineRule="auto"/>
      </w:pPr>
      <m:oMath>
        <m:r>
          <m:rPr>
            <m:sty m:val="i"/>
          </m:rPr>
          <w:rPr>
            <w:color w:val="000000"/>
            <w:sz w:val="21"/>
          </w:rPr>
          <m:t>p</m:t>
        </m:r>
      </m:oMath>
      <w:r>
        <w:rPr>
          <w:rFonts w:eastAsia="inter" w:cs="inter" w:ascii="inter" w:hAnsi="inter"/>
          <w:color w:val="000000"/>
          <w:sz w:val="21"/>
        </w:rPr>
        <w:t xml:space="preserve">：目標音位</w:t>
      </w:r>
    </w:p>
    <w:p>
      <w:pPr>
        <w:numPr>
          <w:ilvl w:val="1"/>
          <w:numId w:val="6"/>
        </w:numPr>
        <w:spacing w:line="360" w:before="105" w:after="105" w:lineRule="auto"/>
      </w:pPr>
      <m:oMath>
        <m:r>
          <m:rPr>
            <m:sty m:val="b"/>
          </m:rPr>
          <w:rPr>
            <w:color w:val="000000"/>
            <w:sz w:val="21"/>
          </w:rPr>
          <m:t>s</m:t>
        </m:r>
      </m:oMath>
      <w:r>
        <w:rPr>
          <w:rFonts w:eastAsia="inter" w:cs="inter" w:ascii="inter" w:hAnsi="inter"/>
          <w:color w:val="000000"/>
          <w:sz w:val="21"/>
        </w:rPr>
        <w:t xml:space="preserve">：語音片段</w:t>
      </w:r>
    </w:p>
    <w:p>
      <w:pPr>
        <w:numPr>
          <w:ilvl w:val="1"/>
          <w:numId w:val="6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θ</m:t>
            </m:r>
          </m:sub>
        </m:sSub>
        <m:r>
          <m:rPr>
            <m:sty m:val="p"/>
          </m:rPr>
          <w:rPr>
            <w:color w:val="000000"/>
            <w:sz w:val="21"/>
          </w:rPr>
          <m:t>(</m:t>
        </m:r>
        <m:r>
          <m:rPr>
            <m:sty m:val="i"/>
          </m:rPr>
          <w:rPr>
            <w:color w:val="000000"/>
            <w:sz w:val="21"/>
          </w:rPr>
          <m:t>p</m:t>
        </m:r>
        <m:r>
          <m:rPr>
            <m:sty m:val="p"/>
          </m:rPr>
          <w:rPr>
            <w:color w:val="000000"/>
            <w:sz w:val="21"/>
          </w:rPr>
          <m:t>∣</m:t>
        </m:r>
        <m:r>
          <m:rPr>
            <m:sty m:val="b"/>
          </m:rPr>
          <w:rPr>
            <w:color w:val="000000"/>
            <w:sz w:val="21"/>
          </w:rPr>
          <m:t>s</m:t>
        </m:r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eastAsia="inter" w:cs="inter" w:ascii="inter" w:hAnsi="inter"/>
          <w:color w:val="000000"/>
          <w:sz w:val="21"/>
        </w:rPr>
        <w:t xml:space="preserve">：給定語音片段屬於音位</w:t>
      </w:r>
      <m:oMath>
        <m:r>
          <m:rPr>
            <m:sty m:val="i"/>
          </m:rPr>
          <w:rPr>
            <w:color w:val="000000"/>
            <w:sz w:val="21"/>
          </w:rPr>
          <m:t>p</m:t>
        </m:r>
      </m:oMath>
      <w:r>
        <w:rPr>
          <w:rFonts w:eastAsia="inter" w:cs="inter" w:ascii="inter" w:hAnsi="inter"/>
          <w:color w:val="000000"/>
          <w:sz w:val="21"/>
        </w:rPr>
        <w:t xml:space="preserve">的機率，由參數</w:t>
      </w:r>
      <m:oMath>
        <m:r>
          <m:rPr>
            <m:sty m:val="i"/>
          </m:rPr>
          <w:rPr>
            <w:color w:val="000000"/>
            <w:sz w:val="21"/>
          </w:rPr>
          <m:t>θ</m:t>
        </m:r>
      </m:oMath>
      <w:r>
        <w:rPr>
          <w:rFonts w:eastAsia="inter" w:cs="inter" w:ascii="inter" w:hAnsi="inter"/>
          <w:color w:val="000000"/>
          <w:sz w:val="21"/>
        </w:rPr>
        <w:t xml:space="preserve">決定</w:t>
      </w:r>
      <w:bookmarkStart w:id="11" w:name="fnref1:11"/>
      <w:bookmarkEnd w:id="1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傳統分類器的logits計算</w:t>
      </w:r>
    </w:p>
    <w:p>
      <w:pPr>
        <w:spacing w:line="360" w:after="21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</w:rPr>
                <m:t>f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θ</m:t>
              </m: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>
              <m:sty m:val="b"/>
            </m:rPr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=</m:t>
          </m:r>
          <m:r>
            <m:rPr>
              <m:sty m:val="b"/>
            </m:rPr>
            <w:rPr>
              <w:color w:val="000000"/>
            </w:rPr>
            <m:t>W</m:t>
          </m:r>
          <m:r>
            <m:rPr>
              <m:sty m:val="p"/>
            </m:rPr>
            <w:rPr>
              <w:color w:val="000000"/>
            </w:rPr>
            <m:t>⋅</m:t>
          </m:r>
          <m:r>
            <m:rPr>
              <m:sty m:val="p"/>
            </m:rPr>
            <w:rPr>
              <w:color w:val="000000"/>
            </w:rPr>
            <m:t>Enc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b"/>
            </m:rPr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：每個音位都有一個「代表座標」（</w:t>
      </w:r>
      <m:oMath>
        <m:r>
          <m:rPr>
            <m:sty m:val="b"/>
          </m:rPr>
          <w:rPr>
            <w:color w:val="000000"/>
            <w:sz w:val="21"/>
          </w:rPr>
          <m:t>W</m:t>
        </m:r>
      </m:oMath>
      <w:r>
        <w:rPr>
          <w:rFonts w:eastAsia="inter" w:cs="inter" w:ascii="inter" w:hAnsi="inter"/>
          <w:color w:val="000000"/>
          <w:sz w:val="21"/>
        </w:rPr>
        <w:t xml:space="preserve">中的每一列），你把語音片段轉成特徵（</w:t>
      </w:r>
      <m:oMath>
        <m:r>
          <m:rPr>
            <m:sty m:val="p"/>
          </m:rPr>
          <w:rPr>
            <w:color w:val="000000"/>
            <w:sz w:val="21"/>
          </w:rPr>
          <m:t>Enc</m:t>
        </m:r>
        <m:r>
          <m:rPr>
            <m:sty m:val="p"/>
          </m:rPr>
          <w:rPr>
            <w:color w:val="000000"/>
            <w:sz w:val="21"/>
          </w:rPr>
          <m:t>(</m:t>
        </m:r>
        <m:r>
          <m:rPr>
            <m:sty m:val="b"/>
          </m:rPr>
          <w:rPr>
            <w:color w:val="000000"/>
            <w:sz w:val="21"/>
          </w:rPr>
          <m:t>s</m:t>
        </m:r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eastAsia="inter" w:cs="inter" w:ascii="inter" w:hAnsi="inter"/>
          <w:color w:val="000000"/>
          <w:sz w:val="21"/>
        </w:rPr>
        <w:t xml:space="preserve">），再看它跟各音位代表座標的接近程度。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變數說明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7"/>
        </w:numPr>
        <w:spacing w:line="360" w:before="105" w:after="105" w:lineRule="auto"/>
      </w:pPr>
      <m:oMath>
        <m:r>
          <m:rPr>
            <m:sty m:val="b"/>
          </m:rPr>
          <w:rPr>
            <w:color w:val="000000"/>
            <w:sz w:val="21"/>
          </w:rPr>
          <m:t>W</m:t>
        </m:r>
      </m:oMath>
      <w:r>
        <w:rPr>
          <w:rFonts w:eastAsia="inter" w:cs="inter" w:ascii="inter" w:hAnsi="inter"/>
          <w:color w:val="000000"/>
          <w:sz w:val="21"/>
        </w:rPr>
        <w:t xml:space="preserve">：權重矩陣，每一列代表一個音位的中心</w:t>
      </w:r>
    </w:p>
    <w:p>
      <w:pPr>
        <w:numPr>
          <w:ilvl w:val="1"/>
          <w:numId w:val="7"/>
        </w:numPr>
        <w:spacing w:line="360" w:before="105" w:after="105" w:lineRule="auto"/>
      </w:pPr>
      <m:oMath>
        <m:r>
          <m:rPr>
            <m:sty m:val="p"/>
          </m:rPr>
          <w:rPr>
            <w:color w:val="000000"/>
            <w:sz w:val="21"/>
          </w:rPr>
          <m:t>Enc</m:t>
        </m:r>
        <m:r>
          <m:rPr>
            <m:sty m:val="p"/>
          </m:rPr>
          <w:rPr>
            <w:color w:val="000000"/>
            <w:sz w:val="21"/>
          </w:rPr>
          <m:t>(</m:t>
        </m:r>
        <m:r>
          <m:rPr>
            <m:sty m:val="b"/>
          </m:rPr>
          <w:rPr>
            <w:color w:val="000000"/>
            <w:sz w:val="21"/>
          </w:rPr>
          <m:t>s</m:t>
        </m:r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eastAsia="inter" w:cs="inter" w:ascii="inter" w:hAnsi="inter"/>
          <w:color w:val="000000"/>
          <w:sz w:val="21"/>
        </w:rPr>
        <w:t xml:space="preserve">：語音特徵向量</w:t>
      </w:r>
    </w:p>
    <w:p>
      <w:pPr>
        <w:numPr>
          <w:ilvl w:val="1"/>
          <w:numId w:val="7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f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θ</m:t>
            </m:r>
          </m:sub>
        </m:sSub>
        <m:r>
          <m:rPr>
            <m:sty m:val="p"/>
          </m:rPr>
          <w:rPr>
            <w:color w:val="000000"/>
            <w:sz w:val="21"/>
          </w:rPr>
          <m:t>(</m:t>
        </m:r>
        <m:r>
          <m:rPr>
            <m:sty m:val="b"/>
          </m:rPr>
          <w:rPr>
            <w:color w:val="000000"/>
            <w:sz w:val="21"/>
          </w:rPr>
          <m:t>s</m:t>
        </m:r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eastAsia="inter" w:cs="inter" w:ascii="inter" w:hAnsi="inter"/>
          <w:color w:val="000000"/>
          <w:sz w:val="21"/>
        </w:rPr>
        <w:t xml:space="preserve">：每個音位的打分</w:t>
      </w:r>
      <w:bookmarkStart w:id="12" w:name="fnref1:12"/>
      <w:bookmarkEnd w:id="1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MixGoP的GMM建模公式</w:t>
      </w:r>
    </w:p>
    <w:p>
      <w:pPr>
        <w:spacing w:line="360" w:after="21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</w:rPr>
                <m:t>P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θ</m:t>
              </m: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>
              <m:sty m:val="b"/>
            </m:rPr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∣</m:t>
          </m:r>
          <m:r>
            <m:rPr>
              <m:sty m:val="i"/>
            </m:rPr>
            <w:rPr>
              <w:color w:val="000000"/>
            </w:rPr>
            <m:t>p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=</m:t>
          </m:r>
          <m:nary>
            <m:naryPr>
              <m:chr m:val="∑"/>
              <m:limLoc m:val="undOvr"/>
              <m:grow m:val="1"/>
            </m:naryPr>
            <m:sub>
              <m:r>
                <m:rPr>
                  <m:sty m:val="i"/>
                </m:rPr>
                <w:rPr>
                  <w:color w:val="000000"/>
                </w:rPr>
                <m:t>c</m:t>
              </m:r>
              <m:r>
                <m:rPr>
                  <m:sty m:val="p"/>
                </m:rPr>
                <w:rPr>
                  <w:color w:val="000000"/>
                </w:rPr>
                <m:t>=</m:t>
              </m:r>
              <m:r>
                <m:rPr>
                  <m:sty m:val="p"/>
                </m:rPr>
                <w:rPr>
                  <w:color w:val="000000"/>
                </w:rPr>
                <m:t>1</m:t>
              </m:r>
            </m:sub>
            <m:sup>
              <m:r>
                <m:rPr>
                  <m:sty m:val="i"/>
                </m:rPr>
                <w:rPr>
                  <w:color w:val="000000"/>
                </w:rPr>
                <m:t>C</m:t>
              </m:r>
            </m:sup>
            <m:e>
              <m:r>
                <m:rPr>
                  <m:sty m:val="p"/>
                </m:rPr>
                <w:rPr>
                  <w:color w:val="000000"/>
                </w:rPr>
                <m:t xml:space="preserve"> </m:t>
              </m:r>
            </m:e>
          </m:nary>
          <m:sSubSup>
            <m:sSubSupPr>
              <m:ctrlPr>
                <w:rPr>
                  <w:rFonts w:ascii="Cambria Math" w:hAnsi="Cambria Math"/>
                  <w:color w:val="000000"/>
                </w:rPr>
              </m:ctrlPr>
            </m:sSubSupPr>
            <m:e>
              <m:r>
                <m:rPr>
                  <m:sty m:val="i"/>
                </m:rPr>
                <w:rPr>
                  <w:color w:val="000000"/>
                </w:rPr>
                <m:t>π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p</m:t>
              </m:r>
            </m:sub>
            <m:sup>
              <m:r>
                <m:rPr>
                  <m:sty m:val="i"/>
                </m:rPr>
                <w:rPr>
                  <w:color w:val="000000"/>
                </w:rPr>
                <m:t>c</m:t>
              </m:r>
            </m:sup>
          </m:sSubSup>
          <m:r>
            <m:rPr>
              <m:scr m:val="script"/>
            </m:rPr>
            <w:rPr>
              <w:color w:val="000000"/>
            </w:rPr>
            <m:t>N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p"/>
            </m:rPr>
            <w:rPr>
              <w:color w:val="000000"/>
            </w:rPr>
            <m:t>Enc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b"/>
            </m:rPr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∣</m:t>
          </m:r>
          <m:sSubSup>
            <m:sSubSupPr>
              <m:ctrlPr>
                <w:rPr>
                  <w:rFonts w:ascii="Cambria Math" w:hAnsi="Cambria Math"/>
                  <w:color w:val="000000"/>
                </w:rPr>
              </m:ctrlPr>
            </m:sSubSupPr>
            <m:e>
              <m:r>
                <m:rPr>
                  <m:sty m:val="bi"/>
                </m:rPr>
                <w:rPr>
                  <w:color w:val="000000"/>
                </w:rPr>
                <m:t>μ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p</m:t>
              </m:r>
            </m:sub>
            <m:sup>
              <m:r>
                <m:rPr>
                  <m:sty m:val="i"/>
                </m:rPr>
                <w:rPr>
                  <w:color w:val="000000"/>
                </w:rPr>
                <m:t>c</m:t>
              </m:r>
            </m:sup>
          </m:sSubSup>
          <m:r>
            <m:rPr>
              <m:sty m:val="p"/>
            </m:rPr>
            <w:rPr>
              <w:color w:val="000000"/>
            </w:rPr>
            <m:t>,</m:t>
          </m:r>
          <m:sSubSup>
            <m:sSubSupPr>
              <m:ctrlPr>
                <w:rPr>
                  <w:rFonts w:ascii="Cambria Math" w:hAnsi="Cambria Math"/>
                  <w:color w:val="000000"/>
                </w:rPr>
              </m:ctrlPr>
            </m:sSubSupPr>
            <m:e>
              <m:r>
                <m:rPr>
                  <m:sty m:val="b"/>
                </m:rPr>
                <w:rPr>
                  <w:color w:val="000000"/>
                </w:rPr>
                <m:t>Σ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p</m:t>
              </m:r>
            </m:sub>
            <m:sup>
              <m:r>
                <m:rPr>
                  <m:sty m:val="i"/>
                </m:rPr>
                <w:rPr>
                  <w:color w:val="000000"/>
                </w:rPr>
                <m:t>c</m:t>
              </m:r>
            </m:sup>
          </m:sSubSup>
          <m:r>
            <m:rPr>
              <m:sty m:val="p"/>
            </m:rPr>
            <w:rPr>
              <w:color w:val="000000"/>
            </w:rPr>
            <m:t>)</m:t>
          </m:r>
        </m:oMath>
      </m:oMathPara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：想像每個音位像一個水果籃，裡面有不同品種的蘋果（異音），每個品種有不同的形狀（均值</w:t>
      </w:r>
      <m:oMath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bi"/>
              </m:rPr>
              <w:rPr>
                <w:color w:val="000000"/>
                <w:sz w:val="21"/>
              </w:rPr>
              <m:t>μ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</m:oMath>
      <w:r>
        <w:rPr>
          <w:rFonts w:eastAsia="inter" w:cs="inter" w:ascii="inter" w:hAnsi="inter"/>
          <w:color w:val="000000"/>
          <w:sz w:val="21"/>
        </w:rPr>
        <w:t xml:space="preserve">）、大小（協方差</w:t>
      </w:r>
      <m:oMath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b"/>
              </m:rPr>
              <w:rPr>
                <w:color w:val="000000"/>
                <w:sz w:val="21"/>
              </w:rPr>
              <m:t>Σ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</m:oMath>
      <w:r>
        <w:rPr>
          <w:rFonts w:eastAsia="inter" w:cs="inter" w:ascii="inter" w:hAnsi="inter"/>
          <w:color w:val="000000"/>
          <w:sz w:val="21"/>
        </w:rPr>
        <w:t xml:space="preserve">），出現機率（</w:t>
      </w:r>
      <m:oMath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i"/>
              </m:rPr>
              <w:rPr>
                <w:color w:val="000000"/>
                <w:sz w:val="21"/>
              </w:rPr>
              <m:t>π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</m:oMath>
      <w:r>
        <w:rPr>
          <w:rFonts w:eastAsia="inter" w:cs="inter" w:ascii="inter" w:hAnsi="inter"/>
          <w:color w:val="000000"/>
          <w:sz w:val="21"/>
        </w:rPr>
        <w:t xml:space="preserve">）。你拿到一顆蘋果（語音片段），要判斷它屬於這個籃子的機率，就是看它跟每個品種的相似度加總。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變數說明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8"/>
        </w:numPr>
        <w:spacing w:line="360" w:before="105" w:after="105" w:lineRule="auto"/>
      </w:pPr>
      <m:oMath>
        <m:r>
          <m:rPr>
            <m:sty m:val="i"/>
          </m:rPr>
          <w:rPr>
            <w:color w:val="000000"/>
            <w:sz w:val="21"/>
          </w:rPr>
          <m:t>C</m:t>
        </m:r>
      </m:oMath>
      <w:r>
        <w:rPr>
          <w:rFonts w:eastAsia="inter" w:cs="inter" w:ascii="inter" w:hAnsi="inter"/>
          <w:color w:val="000000"/>
          <w:sz w:val="21"/>
        </w:rPr>
        <w:t xml:space="preserve">：每個音位的子分布（異音）數量</w:t>
      </w:r>
    </w:p>
    <w:p>
      <w:pPr>
        <w:numPr>
          <w:ilvl w:val="1"/>
          <w:numId w:val="8"/>
        </w:numPr>
        <w:spacing w:line="360" w:before="105" w:after="105" w:lineRule="auto"/>
      </w:pPr>
      <m:oMath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i"/>
              </m:rPr>
              <w:rPr>
                <w:color w:val="000000"/>
                <w:sz w:val="21"/>
              </w:rPr>
              <m:t>π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</m:oMath>
      <w:r>
        <w:rPr>
          <w:rFonts w:eastAsia="inter" w:cs="inter" w:ascii="inter" w:hAnsi="inter"/>
          <w:color w:val="000000"/>
          <w:sz w:val="21"/>
        </w:rPr>
        <w:t xml:space="preserve">：第</w:t>
      </w:r>
      <m:oMath>
        <m:r>
          <m:rPr>
            <m:sty m:val="i"/>
          </m:rPr>
          <w:rPr>
            <w:color w:val="000000"/>
            <w:sz w:val="21"/>
          </w:rPr>
          <m:t>c</m:t>
        </m:r>
      </m:oMath>
      <w:r>
        <w:rPr>
          <w:rFonts w:eastAsia="inter" w:cs="inter" w:ascii="inter" w:hAnsi="inter"/>
          <w:color w:val="000000"/>
          <w:sz w:val="21"/>
        </w:rPr>
        <w:t xml:space="preserve">個子分布的權重（機率），所有子分布加總為1</w:t>
      </w:r>
    </w:p>
    <w:p>
      <w:pPr>
        <w:numPr>
          <w:ilvl w:val="1"/>
          <w:numId w:val="8"/>
        </w:numPr>
        <w:spacing w:line="360" w:before="105" w:after="105" w:lineRule="auto"/>
      </w:pPr>
      <m:oMath>
        <m:r>
          <m:rPr>
            <m:scr m:val="script"/>
          </m:rPr>
          <w:rPr>
            <w:color w:val="000000"/>
            <w:sz w:val="21"/>
          </w:rPr>
          <m:t>N</m:t>
        </m:r>
        <m:r>
          <m:rPr>
            <m:sty m:val="p"/>
          </m:rPr>
          <w:rPr>
            <w:color w:val="000000"/>
            <w:sz w:val="21"/>
          </w:rPr>
          <m:t>(</m:t>
        </m:r>
        <m:r>
          <m:rPr>
            <m:sty m:val="p"/>
          </m:rPr>
          <w:rPr>
            <w:color w:val="000000"/>
            <w:sz w:val="21"/>
          </w:rPr>
          <m:t>⋅</m:t>
        </m:r>
        <m:r>
          <m:rPr>
            <m:sty m:val="p"/>
          </m:rPr>
          <w:rPr>
            <w:color w:val="000000"/>
            <w:sz w:val="21"/>
          </w:rPr>
          <m:t>∣</m:t>
        </m:r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bi"/>
              </m:rPr>
              <w:rPr>
                <w:color w:val="000000"/>
                <w:sz w:val="21"/>
              </w:rPr>
              <m:t>μ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  <m:r>
          <m:rPr>
            <m:sty m:val="p"/>
          </m:rPr>
          <w:rPr>
            <w:color w:val="000000"/>
            <w:sz w:val="21"/>
          </w:rPr>
          <m:t>,</m:t>
        </m:r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b"/>
              </m:rPr>
              <w:rPr>
                <w:color w:val="000000"/>
                <w:sz w:val="21"/>
              </w:rPr>
              <m:t>Σ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eastAsia="inter" w:cs="inter" w:ascii="inter" w:hAnsi="inter"/>
          <w:color w:val="000000"/>
          <w:sz w:val="21"/>
        </w:rPr>
        <w:t xml:space="preserve">：多維高斯分布，均值</w:t>
      </w:r>
      <m:oMath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bi"/>
              </m:rPr>
              <w:rPr>
                <w:color w:val="000000"/>
                <w:sz w:val="21"/>
              </w:rPr>
              <m:t>μ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</m:oMath>
      <w:r>
        <w:rPr>
          <w:rFonts w:eastAsia="inter" w:cs="inter" w:ascii="inter" w:hAnsi="inter"/>
          <w:color w:val="000000"/>
          <w:sz w:val="21"/>
        </w:rPr>
        <w:t xml:space="preserve">、協方差</w:t>
      </w:r>
      <m:oMath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b"/>
              </m:rPr>
              <w:rPr>
                <w:color w:val="000000"/>
                <w:sz w:val="21"/>
              </w:rPr>
              <m:t>Σ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</m:oMath>
    </w:p>
    <w:p>
      <w:pPr>
        <w:numPr>
          <w:ilvl w:val="1"/>
          <w:numId w:val="8"/>
        </w:numPr>
        <w:spacing w:line="360" w:before="105" w:after="105" w:lineRule="auto"/>
      </w:pPr>
      <m:oMath>
        <m:r>
          <m:rPr>
            <m:sty m:val="p"/>
          </m:rPr>
          <w:rPr>
            <w:color w:val="000000"/>
            <w:sz w:val="21"/>
          </w:rPr>
          <m:t>Enc</m:t>
        </m:r>
        <m:r>
          <m:rPr>
            <m:sty m:val="p"/>
          </m:rPr>
          <w:rPr>
            <w:color w:val="000000"/>
            <w:sz w:val="21"/>
          </w:rPr>
          <m:t>(</m:t>
        </m:r>
        <m:r>
          <m:rPr>
            <m:sty m:val="b"/>
          </m:rPr>
          <w:rPr>
            <w:color w:val="000000"/>
            <w:sz w:val="21"/>
          </w:rPr>
          <m:t>s</m:t>
        </m:r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eastAsia="inter" w:cs="inter" w:ascii="inter" w:hAnsi="inter"/>
          <w:color w:val="000000"/>
          <w:sz w:val="21"/>
        </w:rPr>
        <w:t xml:space="preserve">：語音特徵</w:t>
      </w:r>
    </w:p>
    <w:p>
      <w:pPr>
        <w:numPr>
          <w:ilvl w:val="1"/>
          <w:numId w:val="8"/>
        </w:numPr>
        <w:spacing w:line="360" w:before="105" w:after="105" w:lineRule="auto"/>
      </w:pPr>
      <m:oMath>
        <m:r>
          <m:rPr>
            <m:sty m:val="i"/>
          </m:rPr>
          <w:rPr>
            <w:color w:val="000000"/>
            <w:sz w:val="21"/>
          </w:rPr>
          <m:t>θ</m:t>
        </m:r>
        <m:r>
          <m:rPr>
            <m:sty m:val="p"/>
          </m:rPr>
          <w:rPr>
            <w:color w:val="000000"/>
            <w:sz w:val="21"/>
          </w:rPr>
          <m:t>=</m:t>
        </m:r>
        <m:r>
          <m:rPr>
            <m:sty m:val="p"/>
          </m:rPr>
          <w:rPr>
            <w:color w:val="000000"/>
            <w:sz w:val="21"/>
          </w:rPr>
          <m:t>{</m:t>
        </m:r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bi"/>
              </m:rPr>
              <w:rPr>
                <w:color w:val="000000"/>
                <w:sz w:val="21"/>
              </w:rPr>
              <m:t>μ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  <m:r>
          <m:rPr>
            <m:sty m:val="p"/>
          </m:rPr>
          <w:rPr>
            <w:color w:val="000000"/>
            <w:sz w:val="21"/>
          </w:rPr>
          <m:t>,</m:t>
        </m:r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b"/>
              </m:rPr>
              <w:rPr>
                <w:color w:val="000000"/>
                <w:sz w:val="21"/>
              </w:rPr>
              <m:t>Σ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  <m:r>
          <m:rPr>
            <m:sty m:val="p"/>
          </m:rPr>
          <w:rPr>
            <w:color w:val="000000"/>
            <w:sz w:val="21"/>
          </w:rPr>
          <m:t>,</m:t>
        </m:r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i"/>
              </m:rPr>
              <w:rPr>
                <w:color w:val="000000"/>
                <w:sz w:val="21"/>
              </w:rPr>
              <m:t>π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  <m:r>
          <m:rPr>
            <m:sty m:val="p"/>
          </m:rPr>
          <w:rPr>
            <w:color w:val="000000"/>
            <w:sz w:val="21"/>
          </w:rPr>
          <m:t>}</m:t>
        </m:r>
      </m:oMath>
      <w:r>
        <w:rPr>
          <w:rFonts w:eastAsia="inter" w:cs="inter" w:ascii="inter" w:hAnsi="inter"/>
          <w:color w:val="000000"/>
          <w:sz w:val="21"/>
        </w:rPr>
        <w:t xml:space="preserve">：所有GMM參數</w:t>
      </w:r>
      <w:bookmarkStart w:id="13" w:name="fnref1:13"/>
      <w:bookmarkEnd w:id="1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MixGoP分數</w:t>
      </w:r>
    </w:p>
    <w:p>
      <w:pPr>
        <w:spacing w:line="360" w:after="21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color w:val="000000"/>
                </w:rPr>
                <m:t>MixGoP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p</m:t>
              </m: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=</m:t>
          </m:r>
          <m:r>
            <m:rPr>
              <m:sty m:val="p"/>
            </m:rPr>
            <w:rPr>
              <w:color w:val="000000"/>
            </w:rPr>
            <m:t>log</m:t>
          </m:r>
          <m:r>
            <m:rPr>
              <m:sty m:val="p"/>
            </m:rPr>
            <w:rPr>
              <w:color w:val="000000"/>
            </w:rPr>
            <m:t>⁡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</w:rPr>
                <m:t>P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θ</m:t>
              </m: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>
              <m:sty m:val="b"/>
            </m:rPr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∣</m:t>
          </m:r>
          <m:r>
            <m:rPr>
              <m:sty m:val="i"/>
            </m:rPr>
            <w:rPr>
              <w:color w:val="000000"/>
            </w:rPr>
            <m:t>p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：你根據蘋果（語音片段）屬於這個蘋果籃（音位）的機率，給它一個對數分數，分數越低代表越不像這個籃子的蘋果（異常發音）</w:t>
      </w:r>
      <w:bookmarkStart w:id="14" w:name="fnref1:14"/>
      <w:bookmarkEnd w:id="1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Mahalanobis距離（GMM中的核心）</w:t>
      </w:r>
    </w:p>
    <w:p>
      <w:pPr>
        <w:spacing w:line="360" w:after="210" w:lineRule="auto"/>
      </w:pPr>
      <m:oMathPara>
        <m:oMath>
          <m:r>
            <m:rPr>
              <m:sty m:val="p"/>
            </m:rPr>
            <w:rPr>
              <w:color w:val="000000"/>
            </w:rPr>
            <m:t>−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</w:rPr>
                <m:t>1</m:t>
              </m:r>
            </m:num>
            <m:den>
              <m:r>
                <m:rPr>
                  <m:sty m:val="p"/>
                </m:rPr>
                <w:rPr>
                  <w:color w:val="000000"/>
                </w:rPr>
                <m:t>2</m:t>
              </m:r>
            </m:den>
          </m:f>
          <m:r>
            <m:rPr>
              <m:sty m:val="p"/>
            </m:rPr>
            <w:rPr>
              <w:color w:val="000000"/>
            </w:rPr>
            <m:t>(</m:t>
          </m:r>
          <m:r>
            <m:rPr>
              <m:sty m:val="p"/>
            </m:rPr>
            <w:rPr>
              <w:color w:val="000000"/>
            </w:rPr>
            <m:t>Enc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b"/>
            </m:rPr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−</m:t>
          </m:r>
          <m:sSubSup>
            <m:sSubSupPr>
              <m:ctrlPr>
                <w:rPr>
                  <w:rFonts w:ascii="Cambria Math" w:hAnsi="Cambria Math"/>
                  <w:color w:val="000000"/>
                </w:rPr>
              </m:ctrlPr>
            </m:sSubSupPr>
            <m:e>
              <m:r>
                <m:rPr>
                  <m:sty m:val="bi"/>
                </m:rPr>
                <w:rPr>
                  <w:color w:val="000000"/>
                </w:rPr>
                <m:t>μ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p</m:t>
              </m:r>
            </m:sub>
            <m:sup>
              <m:r>
                <m:rPr>
                  <m:sty m:val="i"/>
                </m:rPr>
                <w:rPr>
                  <w:color w:val="000000"/>
                </w:rPr>
                <m:t>c</m:t>
              </m:r>
            </m:sup>
          </m:sSubSup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color w:val="000000"/>
                </w:rPr>
                <m:t>)</m:t>
              </m:r>
            </m:e>
            <m:sup>
              <m:r>
                <m:rPr>
                  <m:sty m:val="i"/>
                </m:rPr>
                <w:rPr>
                  <w:color w:val="000000"/>
                </w:rPr>
                <m:t>T</m:t>
              </m:r>
            </m:sup>
          </m:sSup>
          <m:r>
            <m:rPr>
              <m:sty m:val="p"/>
            </m:rPr>
            <w:rPr>
              <w:color w:val="000000"/>
            </w:rPr>
            <m:t>(</m:t>
          </m:r>
          <m:sSubSup>
            <m:sSubSupPr>
              <m:ctrlPr>
                <w:rPr>
                  <w:rFonts w:ascii="Cambria Math" w:hAnsi="Cambria Math"/>
                  <w:color w:val="000000"/>
                </w:rPr>
              </m:ctrlPr>
            </m:sSubSupPr>
            <m:e>
              <m:r>
                <m:rPr>
                  <m:sty m:val="p"/>
                </m:rPr>
                <w:rPr>
                  <w:color w:val="000000"/>
                </w:rPr>
                <m:t>Σ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p</m:t>
              </m:r>
            </m:sub>
            <m:sup>
              <m:r>
                <m:rPr>
                  <m:sty m:val="i"/>
                </m:rPr>
                <w:rPr>
                  <w:color w:val="000000"/>
                </w:rPr>
                <m:t>c</m:t>
              </m:r>
            </m:sup>
          </m:sSubSup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color w:val="000000"/>
                </w:rPr>
                <m:t>)</m:t>
              </m:r>
            </m:e>
            <m:sup>
              <m:r>
                <m:rPr>
                  <m:sty m:val="p"/>
                </m:rPr>
                <w:rPr>
                  <w:color w:val="000000"/>
                </w:rPr>
                <m:t>−</m:t>
              </m:r>
              <m:r>
                <m:rPr>
                  <m:sty m:val="p"/>
                </m:rPr>
                <w:rPr>
                  <w:color w:val="000000"/>
                </w:rPr>
                <m:t>1</m:t>
              </m:r>
            </m:sup>
          </m:sSup>
          <m:r>
            <m:rPr>
              <m:sty m:val="p"/>
            </m:rPr>
            <w:rPr>
              <w:color w:val="000000"/>
            </w:rPr>
            <m:t>(</m:t>
          </m:r>
          <m:r>
            <m:rPr>
              <m:sty m:val="p"/>
            </m:rPr>
            <w:rPr>
              <w:color w:val="000000"/>
            </w:rPr>
            <m:t>Enc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b"/>
            </m:rPr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−</m:t>
          </m:r>
          <m:sSubSup>
            <m:sSubSupPr>
              <m:ctrlPr>
                <w:rPr>
                  <w:rFonts w:ascii="Cambria Math" w:hAnsi="Cambria Math"/>
                  <w:color w:val="000000"/>
                </w:rPr>
              </m:ctrlPr>
            </m:sSubSupPr>
            <m:e>
              <m:r>
                <m:rPr>
                  <m:sty m:val="bi"/>
                </m:rPr>
                <w:rPr>
                  <w:color w:val="000000"/>
                </w:rPr>
                <m:t>μ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p</m:t>
              </m:r>
            </m:sub>
            <m:sup>
              <m:r>
                <m:rPr>
                  <m:sty m:val="i"/>
                </m:rPr>
                <w:rPr>
                  <w:color w:val="000000"/>
                </w:rPr>
                <m:t>c</m:t>
              </m:r>
            </m:sup>
          </m:sSubSup>
          <m:r>
            <m:rPr>
              <m:sty m:val="p"/>
            </m:rPr>
            <w:rPr>
              <w:color w:val="000000"/>
            </w:rPr>
            <m:t>)</m:t>
          </m:r>
        </m:oMath>
      </m:oMathPara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：這就像你量測蘋果到每個品種中心的距離，不只是單純的直線距離，還考慮每個方向的變異（有的品種蘋果形狀比較分散，有的很集中），這種距離能更準確反映「像不像」</w:t>
      </w:r>
      <w:bookmarkStart w:id="15" w:name="fnref1:15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變數說明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10"/>
        </w:numPr>
        <w:spacing w:line="360" w:before="105" w:after="105" w:lineRule="auto"/>
      </w:pPr>
      <m:oMath>
        <m:r>
          <m:rPr>
            <m:sty m:val="p"/>
          </m:rPr>
          <w:rPr>
            <w:color w:val="000000"/>
            <w:sz w:val="21"/>
          </w:rPr>
          <m:t>Enc</m:t>
        </m:r>
        <m:r>
          <m:rPr>
            <m:sty m:val="p"/>
          </m:rPr>
          <w:rPr>
            <w:color w:val="000000"/>
            <w:sz w:val="21"/>
          </w:rPr>
          <m:t>(</m:t>
        </m:r>
        <m:r>
          <m:rPr>
            <m:sty m:val="b"/>
          </m:rPr>
          <w:rPr>
            <w:color w:val="000000"/>
            <w:sz w:val="21"/>
          </w:rPr>
          <m:t>s</m:t>
        </m:r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eastAsia="inter" w:cs="inter" w:ascii="inter" w:hAnsi="inter"/>
          <w:color w:val="000000"/>
          <w:sz w:val="21"/>
        </w:rPr>
        <w:t xml:space="preserve">：語音特徵</w:t>
      </w:r>
    </w:p>
    <w:p>
      <w:pPr>
        <w:numPr>
          <w:ilvl w:val="1"/>
          <w:numId w:val="10"/>
        </w:numPr>
        <w:spacing w:line="360" w:before="105" w:after="105" w:lineRule="auto"/>
      </w:pPr>
      <m:oMath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bi"/>
              </m:rPr>
              <w:rPr>
                <w:color w:val="000000"/>
                <w:sz w:val="21"/>
              </w:rPr>
              <m:t>μ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</m:oMath>
      <w:r>
        <w:rPr>
          <w:rFonts w:eastAsia="inter" w:cs="inter" w:ascii="inter" w:hAnsi="inter"/>
          <w:color w:val="000000"/>
          <w:sz w:val="21"/>
        </w:rPr>
        <w:t xml:space="preserve">：第</w:t>
      </w:r>
      <m:oMath>
        <m:r>
          <m:rPr>
            <m:sty m:val="i"/>
          </m:rPr>
          <w:rPr>
            <w:color w:val="000000"/>
            <w:sz w:val="21"/>
          </w:rPr>
          <m:t>c</m:t>
        </m:r>
      </m:oMath>
      <w:r>
        <w:rPr>
          <w:rFonts w:eastAsia="inter" w:cs="inter" w:ascii="inter" w:hAnsi="inter"/>
          <w:color w:val="000000"/>
          <w:sz w:val="21"/>
        </w:rPr>
        <w:t xml:space="preserve">個子分布的中心</w:t>
      </w:r>
    </w:p>
    <w:p>
      <w:pPr>
        <w:numPr>
          <w:ilvl w:val="1"/>
          <w:numId w:val="10"/>
        </w:numPr>
        <w:spacing w:line="360" w:before="105" w:after="105" w:lineRule="auto"/>
      </w:pPr>
      <m:oMath>
        <m:sSubSup>
          <m:sSubSupPr>
            <m:ctrlPr>
              <w:rPr>
                <w:rFonts w:ascii="Cambria Math" w:hAnsi="Cambria Math"/>
                <w:color w:val="000000"/>
                <w:sz w:val="21"/>
              </w:rPr>
            </m:ctrlPr>
          </m:sSubSupPr>
          <m:e>
            <m:r>
              <m:rPr>
                <m:sty m:val="p"/>
              </m:rPr>
              <w:rPr>
                <w:color w:val="000000"/>
                <w:sz w:val="21"/>
              </w:rPr>
              <m:t>Σ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  <m:sup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sup>
        </m:sSubSup>
      </m:oMath>
      <w:r>
        <w:rPr>
          <w:rFonts w:eastAsia="inter" w:cs="inter" w:ascii="inter" w:hAnsi="inter"/>
          <w:color w:val="000000"/>
          <w:sz w:val="21"/>
        </w:rPr>
        <w:t xml:space="preserve">：第</w:t>
      </w:r>
      <m:oMath>
        <m:r>
          <m:rPr>
            <m:sty m:val="i"/>
          </m:rPr>
          <w:rPr>
            <w:color w:val="000000"/>
            <w:sz w:val="21"/>
          </w:rPr>
          <m:t>c</m:t>
        </m:r>
      </m:oMath>
      <w:r>
        <w:rPr>
          <w:rFonts w:eastAsia="inter" w:cs="inter" w:ascii="inter" w:hAnsi="inter"/>
          <w:color w:val="000000"/>
          <w:sz w:val="21"/>
        </w:rPr>
        <w:t xml:space="preserve">個子分布的協方差矩陣</w:t>
      </w:r>
      <w:bookmarkStart w:id="16" w:name="fnref1:16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全句發音分數</w:t>
      </w:r>
    </w:p>
    <w:p>
      <w:pPr>
        <w:spacing w:line="360" w:after="210" w:lineRule="auto"/>
      </w:pPr>
      <m:oMathPara>
        <m:oMath>
          <m:r>
            <m:rPr>
              <m:sty m:val="p"/>
            </m:rPr>
            <w:rPr>
              <w:color w:val="000000"/>
            </w:rPr>
            <m:t>Pronunciation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b"/>
            </m:rPr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</w:rPr>
                <m:t>1</m:t>
              </m:r>
            </m:num>
            <m:den>
              <m:r>
                <m:rPr>
                  <m:sty m:val="i"/>
                </m:rPr>
                <w:rPr>
                  <w:color w:val="000000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</m:naryPr>
            <m:sub>
              <m:r>
                <m:rPr>
                  <m:sty m:val="i"/>
                </m:rPr>
                <w:rPr>
                  <w:color w:val="000000"/>
                </w:rPr>
                <m:t>i</m:t>
              </m:r>
              <m:r>
                <m:rPr>
                  <m:sty m:val="p"/>
                </m:rPr>
                <w:rPr>
                  <w:color w:val="000000"/>
                </w:rPr>
                <m:t>=</m:t>
              </m:r>
              <m:r>
                <m:rPr>
                  <m:sty m:val="p"/>
                </m:rPr>
                <w:rPr>
                  <w:color w:val="000000"/>
                </w:rPr>
                <m:t>1</m:t>
              </m:r>
            </m:sub>
            <m:sup>
              <m:r>
                <m:rPr>
                  <m:sty m:val="i"/>
                </m:rPr>
                <w:rPr>
                  <w:color w:val="000000"/>
                </w:rPr>
                <m:t>N</m:t>
              </m:r>
            </m:sup>
            <m:e>
              <m:r>
                <m:rPr>
                  <m:sty m:val="p"/>
                </m:rPr>
                <w:rPr>
                  <w:color w:val="000000"/>
                </w:rPr>
                <m:t xml:space="preserve"> </m:t>
              </m:r>
            </m:e>
          </m:nary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color w:val="000000"/>
                </w:rPr>
                <m:t>GoP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p</m:t>
              </m: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：把一句話的每個音位分數平均，得到整句發音的整體表現</w:t>
      </w:r>
      <w:bookmarkStart w:id="17" w:name="fnref1:17"/>
      <w:bookmarkEnd w:id="1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變數說明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11"/>
        </w:numPr>
        <w:spacing w:line="360" w:before="105" w:after="105" w:lineRule="auto"/>
      </w:pPr>
      <m:oMath>
        <m:r>
          <m:rPr>
            <m:sty m:val="b"/>
          </m:rPr>
          <w:rPr>
            <w:color w:val="000000"/>
            <w:sz w:val="21"/>
          </w:rPr>
          <m:t>x</m:t>
        </m:r>
      </m:oMath>
      <w:r>
        <w:rPr>
          <w:rFonts w:eastAsia="inter" w:cs="inter" w:ascii="inter" w:hAnsi="inter"/>
          <w:color w:val="000000"/>
          <w:sz w:val="21"/>
        </w:rPr>
        <w:t xml:space="preserve">：整句語音</w:t>
      </w:r>
    </w:p>
    <w:p>
      <w:pPr>
        <w:numPr>
          <w:ilvl w:val="1"/>
          <w:numId w:val="11"/>
        </w:numPr>
        <w:spacing w:line="360" w:before="105" w:after="105" w:lineRule="auto"/>
      </w:pPr>
      <m:oMath>
        <m:r>
          <m:rPr>
            <m:sty m:val="i"/>
          </m:rPr>
          <w:rPr>
            <w:color w:val="000000"/>
            <w:sz w:val="21"/>
          </w:rPr>
          <m:t>N</m:t>
        </m:r>
      </m:oMath>
      <w:r>
        <w:rPr>
          <w:rFonts w:eastAsia="inter" w:cs="inter" w:ascii="inter" w:hAnsi="inter"/>
          <w:color w:val="000000"/>
          <w:sz w:val="21"/>
        </w:rPr>
        <w:t xml:space="preserve">：音位數</w:t>
      </w:r>
    </w:p>
    <w:p>
      <w:pPr>
        <w:numPr>
          <w:ilvl w:val="1"/>
          <w:numId w:val="11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p"/>
              </m:rPr>
              <w:rPr>
                <w:color w:val="000000"/>
                <w:sz w:val="21"/>
              </w:rPr>
              <m:t>GoP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p</m:t>
            </m:r>
          </m:sub>
        </m:sSub>
        <m:r>
          <m:rPr>
            <m:sty m:val="p"/>
          </m:rPr>
          <w:rPr>
            <w:color w:val="000000"/>
            <w:sz w:val="21"/>
          </w:rPr>
          <m:t>(</m:t>
        </m:r>
        <m:r>
          <m:rPr>
            <m:sty m:val="i"/>
          </m:rPr>
          <w:rPr>
            <w:color w:val="000000"/>
            <w:sz w:val="21"/>
          </w:rPr>
          <m:t>s</m:t>
        </m:r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eastAsia="inter" w:cs="inter" w:ascii="inter" w:hAnsi="inter"/>
          <w:color w:val="000000"/>
          <w:sz w:val="21"/>
        </w:rPr>
        <w:t xml:space="preserve">：每個音位的發音分數</w:t>
      </w:r>
      <w:bookmarkStart w:id="18" w:name="fnref1:18"/>
      <w:bookmarkEnd w:id="1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總結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MixGoP方法</w:t>
      </w:r>
      <w:r>
        <w:rPr>
          <w:rFonts w:eastAsia="inter" w:cs="inter" w:ascii="inter" w:hAnsi="inter"/>
          <w:color w:val="000000"/>
          <w:sz w:val="21"/>
        </w:rPr>
        <w:t xml:space="preserve">：以GMM建模音位異音，結合S3M特徵，不僅克服傳統單峰假設，也不再假設異常語音與訓練分布一致，對異常發音評估更為精準。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實驗結果</w:t>
      </w:r>
      <w:r>
        <w:rPr>
          <w:rFonts w:eastAsia="inter" w:cs="inter" w:ascii="inter" w:hAnsi="inter"/>
          <w:color w:val="000000"/>
          <w:sz w:val="21"/>
        </w:rPr>
        <w:t xml:space="preserve">：在五個語音障礙與非母語資料集上，MixGoP在四個資料集取得最先進表現，證明其有效性</w:t>
      </w:r>
      <w:bookmarkStart w:id="19" w:name="fnref1:19"/>
      <w:bookmarkEnd w:id="1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S3M特徵分析</w:t>
      </w:r>
      <w:r>
        <w:rPr>
          <w:rFonts w:eastAsia="inter" w:cs="inter" w:ascii="inter" w:hAnsi="inter"/>
          <w:color w:val="000000"/>
          <w:sz w:val="21"/>
        </w:rPr>
        <w:t xml:space="preserve">：S3M比傳統特徵（MFCC、Mel spectrogram）更能捕捉異音資訊，且異音建模能力與下游評估表現呈正相關</w:t>
      </w:r>
      <w:bookmarkStart w:id="20" w:name="fnref1:20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數學公式易懂化</w:t>
      </w:r>
      <w:r>
        <w:rPr>
          <w:rFonts w:eastAsia="inter" w:cs="inter" w:ascii="inter" w:hAnsi="inter"/>
          <w:color w:val="000000"/>
          <w:sz w:val="21"/>
        </w:rPr>
        <w:t xml:space="preserve">：MixGoP的核心在於用多個「子分布」來描述一個音位的多種發音實現，並以機率和距離的方式量化發音的「正常」或「異常」程度。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結論</w:t>
      </w:r>
      <w:r>
        <w:rPr>
          <w:rFonts w:eastAsia="inter" w:cs="inter" w:ascii="inter" w:hAnsi="inter"/>
          <w:color w:val="000000"/>
        </w:rPr>
        <w:t xml:space="preserve">：本論文提出的MixGoP方法，結合S3M與GMM，有效捕捉音位異音變異，顯著提升異常發音自動評估的準確性與泛化能力，並為未來語音評估與語音模型特徵分析提供了新視角</w:t>
      </w:r>
      <w:bookmarkStart w:id="21" w:name="fnref1:21"/>
      <w:bookmarkEnd w:id="2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2" w:name="fn1"/>
    <w:bookmarkEnd w:id="22"/>
    <w:p>
      <w:pPr>
        <w:numPr>
          <w:ilvl w:val="0"/>
          <w:numId w:val="14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https://ppl-ai-file-upload.s3.amazonaws.com/web/direct-files/31472917/d431f090-fb56-4a89-b8e6-3744029796d1/Leveraging-Allophony-in-Self-Supervised-Speech-Models-for-Atypical-Pronunciation-Assessment_v2.pdf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</w:abstractNum>
  <w:abstractNum w:abstractNumId="1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32b826f2049739f548cdf23194c205b0b55e78e.png" TargetMode="Internal"/><Relationship Id="rId6" Type="http://schemas.openxmlformats.org/officeDocument/2006/relationships/hyperlink" Target="https://ppl-ai-file-upload.s3.amazonaws.com/web/direct-files/31472917/d431f090-fb56-4a89-b8e6-3744029796d1/Leveraging-Allophony-in-Self-Supervised-Speech-Models-for-Atypical-Pronunciation-Assessment_v2.pdf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2025-04-17T16:08:32.497Z</dcterms:created>
  <dcterms:modified xsi:type="dcterms:W3CDTF">2025-04-17T16:08:32.497Z</dcterms:modified>
</cp:coreProperties>
</file>