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4332"/>
        <w:gridCol w:w="4598"/>
        <w:gridCol w:w="1295"/>
      </w:tblGrid>
      <w:tr w:rsidR="00D41940" w:rsidRPr="009266A0" w14:paraId="7F3DE169" w14:textId="77777777" w:rsidTr="59F793D9">
        <w:trPr>
          <w:trHeight w:val="351"/>
        </w:trPr>
        <w:tc>
          <w:tcPr>
            <w:tcW w:w="11785" w:type="dxa"/>
            <w:gridSpan w:val="4"/>
          </w:tcPr>
          <w:p w14:paraId="6BFB9641" w14:textId="490B2400" w:rsidR="00D41940" w:rsidRPr="009266A0" w:rsidRDefault="00B13931" w:rsidP="00845122">
            <w:pPr>
              <w:framePr w:w="11732" w:h="2838" w:hSpace="180" w:wrap="around" w:vAnchor="text" w:hAnchor="page" w:x="71" w:y="-15"/>
              <w:jc w:val="center"/>
              <w:rPr>
                <w:rFonts w:ascii="Times New Roman" w:eastAsia="標楷體" w:hAnsi="Times New Roman" w:cs="Times New Roman"/>
                <w:b/>
                <w:bCs/>
                <w:sz w:val="30"/>
                <w:szCs w:val="30"/>
                <w:lang w:eastAsia="zh-TW"/>
              </w:rPr>
            </w:pPr>
            <w:bookmarkStart w:id="0" w:name="_Hlk501891334"/>
            <w:r w:rsidRPr="00B13931">
              <w:rPr>
                <w:rFonts w:ascii="Times New Roman" w:eastAsia="標楷體" w:hAnsi="Times New Roman" w:cs="Times New Roman"/>
                <w:b/>
                <w:bCs/>
                <w:sz w:val="30"/>
                <w:szCs w:val="30"/>
                <w:lang w:eastAsia="zh-TW"/>
              </w:rPr>
              <w:t>A Multi-faceted Statistical Analysis for Logit-based Pronunciation Assessment</w:t>
            </w:r>
            <w:r w:rsidR="004D5B2B">
              <w:rPr>
                <w:rFonts w:ascii="Times New Roman" w:eastAsia="標楷體" w:hAnsi="Times New Roman" w:cs="Times New Roman"/>
                <w:b/>
                <w:bCs/>
                <w:sz w:val="30"/>
                <w:szCs w:val="30"/>
                <w:lang w:eastAsia="zh-TW"/>
              </w:rPr>
              <w:br/>
            </w:r>
            <w:r w:rsidRPr="00B13931">
              <w:rPr>
                <w:rFonts w:ascii="Times New Roman" w:eastAsia="標楷體" w:hAnsi="Times New Roman" w:cs="Times New Roman"/>
                <w:b/>
                <w:bCs/>
                <w:sz w:val="30"/>
                <w:szCs w:val="30"/>
                <w:lang w:eastAsia="zh-TW"/>
              </w:rPr>
              <w:t>一種用於發音評估的</w:t>
            </w:r>
            <w:r w:rsidRPr="00B13931">
              <w:rPr>
                <w:rFonts w:ascii="Times New Roman" w:eastAsia="標楷體" w:hAnsi="Times New Roman" w:cs="Times New Roman"/>
                <w:b/>
                <w:bCs/>
                <w:sz w:val="30"/>
                <w:szCs w:val="30"/>
                <w:lang w:eastAsia="zh-TW"/>
              </w:rPr>
              <w:t xml:space="preserve"> Logit </w:t>
            </w:r>
            <w:r w:rsidRPr="00B13931">
              <w:rPr>
                <w:rFonts w:ascii="Times New Roman" w:eastAsia="標楷體" w:hAnsi="Times New Roman" w:cs="Times New Roman"/>
                <w:b/>
                <w:bCs/>
                <w:sz w:val="30"/>
                <w:szCs w:val="30"/>
                <w:lang w:eastAsia="zh-TW"/>
              </w:rPr>
              <w:t>多面向統計分析法</w:t>
            </w:r>
          </w:p>
        </w:tc>
      </w:tr>
      <w:tr w:rsidR="00D41940" w:rsidRPr="009266A0" w14:paraId="672A6659" w14:textId="77777777" w:rsidTr="59F793D9">
        <w:trPr>
          <w:trHeight w:val="289"/>
        </w:trPr>
        <w:tc>
          <w:tcPr>
            <w:tcW w:w="11785" w:type="dxa"/>
            <w:gridSpan w:val="4"/>
          </w:tcPr>
          <w:p w14:paraId="0A37501D" w14:textId="77777777" w:rsidR="00D41940" w:rsidRPr="009266A0" w:rsidRDefault="00D41940" w:rsidP="00273261">
            <w:pPr>
              <w:framePr w:w="11732" w:h="2838" w:hSpace="180" w:wrap="around" w:vAnchor="text" w:hAnchor="page" w:x="71" w:y="-15"/>
              <w:rPr>
                <w:rFonts w:ascii="Times New Roman" w:eastAsia="標楷體" w:hAnsi="Times New Roman" w:cs="Times New Roman" w:hint="eastAsia"/>
                <w:b/>
                <w:sz w:val="24"/>
                <w:szCs w:val="24"/>
                <w:lang w:eastAsia="zh-TW"/>
              </w:rPr>
            </w:pPr>
          </w:p>
        </w:tc>
      </w:tr>
      <w:tr w:rsidR="00E27E96" w:rsidRPr="009266A0" w14:paraId="4269B564" w14:textId="77777777" w:rsidTr="00B80A47">
        <w:trPr>
          <w:trHeight w:val="401"/>
        </w:trPr>
        <w:tc>
          <w:tcPr>
            <w:tcW w:w="11785" w:type="dxa"/>
            <w:gridSpan w:val="4"/>
          </w:tcPr>
          <w:p w14:paraId="0321111A" w14:textId="7F48898A" w:rsidR="00E27E96" w:rsidRPr="009266A0" w:rsidRDefault="00E27E96" w:rsidP="00273261">
            <w:pPr>
              <w:framePr w:w="11732" w:h="2838" w:hSpace="180" w:wrap="around" w:vAnchor="text" w:hAnchor="page" w:x="71" w:y="-15"/>
              <w:rPr>
                <w:rFonts w:ascii="Times New Roman" w:eastAsia="標楷體" w:hAnsi="Times New Roman" w:cs="Times New Roman"/>
                <w:b/>
                <w:bCs/>
                <w:sz w:val="24"/>
                <w:szCs w:val="24"/>
                <w:lang w:eastAsia="zh-TW"/>
              </w:rPr>
            </w:pPr>
          </w:p>
        </w:tc>
      </w:tr>
      <w:tr w:rsidR="00B80A47" w:rsidRPr="009266A0" w14:paraId="6A05A809" w14:textId="77777777" w:rsidTr="00B80A47">
        <w:trPr>
          <w:trHeight w:val="279"/>
        </w:trPr>
        <w:tc>
          <w:tcPr>
            <w:tcW w:w="1560" w:type="dxa"/>
          </w:tcPr>
          <w:p w14:paraId="49F04D68" w14:textId="439B1EF0" w:rsidR="00B80A47" w:rsidRDefault="00B80A47" w:rsidP="00B80A47">
            <w:pPr>
              <w:framePr w:w="11732" w:h="2838" w:hSpace="180" w:wrap="around" w:vAnchor="text" w:hAnchor="page" w:x="71" w:y="-15"/>
              <w:jc w:val="center"/>
              <w:rPr>
                <w:rFonts w:ascii="Times New Roman" w:eastAsia="標楷體" w:hAnsi="Times New Roman" w:cs="Times New Roman"/>
                <w:sz w:val="24"/>
                <w:szCs w:val="24"/>
                <w:lang w:eastAsia="zh-TW"/>
              </w:rPr>
            </w:pPr>
          </w:p>
        </w:tc>
        <w:tc>
          <w:tcPr>
            <w:tcW w:w="4332" w:type="dxa"/>
          </w:tcPr>
          <w:p w14:paraId="53BF2768" w14:textId="77777777" w:rsidR="00273261" w:rsidRDefault="00273261" w:rsidP="00273261">
            <w:pPr>
              <w:framePr w:w="11732" w:h="2838" w:hSpace="180" w:wrap="around" w:vAnchor="text" w:hAnchor="page" w:x="71" w:y="-15"/>
              <w:jc w:val="center"/>
              <w:rPr>
                <w:rFonts w:ascii="Times New Roman" w:eastAsia="標楷體" w:hAnsi="Times New Roman" w:cs="Times New Roman"/>
                <w:sz w:val="24"/>
                <w:szCs w:val="24"/>
              </w:rPr>
            </w:pPr>
            <w:proofErr w:type="spellStart"/>
            <w:r>
              <w:rPr>
                <w:rFonts w:ascii="Times New Roman" w:eastAsia="標楷體" w:hAnsi="Times New Roman" w:cs="Times New Roman" w:hint="eastAsia"/>
                <w:b/>
                <w:sz w:val="24"/>
                <w:szCs w:val="24"/>
                <w:lang w:eastAsia="zh-TW"/>
              </w:rPr>
              <w:t>Chieh</w:t>
            </w:r>
            <w:proofErr w:type="spellEnd"/>
            <w:r>
              <w:rPr>
                <w:rFonts w:ascii="Times New Roman" w:eastAsia="標楷體" w:hAnsi="Times New Roman" w:cs="Times New Roman" w:hint="eastAsia"/>
                <w:b/>
                <w:sz w:val="24"/>
                <w:szCs w:val="24"/>
                <w:lang w:eastAsia="zh-TW"/>
              </w:rPr>
              <w:t>-Ren Liao</w:t>
            </w:r>
          </w:p>
          <w:p w14:paraId="6757A51C" w14:textId="77777777" w:rsidR="00273261" w:rsidRPr="00B80A47" w:rsidRDefault="00273261" w:rsidP="00273261">
            <w:pPr>
              <w:framePr w:w="11732" w:h="2838" w:hSpace="180" w:wrap="around" w:vAnchor="text" w:hAnchor="page" w:x="71" w:y="-15"/>
              <w:jc w:val="center"/>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National Taiwan Normal University, Taipei, Taiwan</w:t>
            </w:r>
          </w:p>
          <w:p w14:paraId="7B40CFA2" w14:textId="28660554" w:rsidR="00B80A47" w:rsidRPr="00B80A47" w:rsidRDefault="00273261" w:rsidP="00273261">
            <w:pPr>
              <w:framePr w:w="11732" w:h="2838" w:hSpace="180" w:wrap="around" w:vAnchor="text" w:hAnchor="page" w:x="71" w:y="-15"/>
              <w:jc w:val="center"/>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80747002s</w:t>
            </w:r>
            <w:r w:rsidRPr="00B80A47">
              <w:rPr>
                <w:rFonts w:ascii="Times New Roman" w:eastAsia="標楷體" w:hAnsi="Times New Roman" w:cs="Times New Roman"/>
                <w:sz w:val="24"/>
                <w:szCs w:val="24"/>
              </w:rPr>
              <w:t>@</w:t>
            </w:r>
            <w:r>
              <w:rPr>
                <w:rFonts w:ascii="Times New Roman" w:eastAsia="標楷體" w:hAnsi="Times New Roman" w:cs="Times New Roman" w:hint="eastAsia"/>
                <w:sz w:val="24"/>
                <w:szCs w:val="24"/>
                <w:lang w:eastAsia="zh-TW"/>
              </w:rPr>
              <w:t>ntnu.edu.tw</w:t>
            </w:r>
          </w:p>
        </w:tc>
        <w:tc>
          <w:tcPr>
            <w:tcW w:w="4598" w:type="dxa"/>
          </w:tcPr>
          <w:p w14:paraId="1474FFE9" w14:textId="77777777" w:rsidR="00273261" w:rsidRDefault="00273261" w:rsidP="00273261">
            <w:pPr>
              <w:framePr w:w="11732" w:h="2838" w:hSpace="180" w:wrap="around" w:vAnchor="text" w:hAnchor="page" w:x="71" w:y="-15"/>
              <w:jc w:val="center"/>
              <w:rPr>
                <w:rFonts w:ascii="Times New Roman" w:eastAsia="標楷體" w:hAnsi="Times New Roman" w:cs="Times New Roman"/>
                <w:sz w:val="24"/>
                <w:szCs w:val="24"/>
              </w:rPr>
            </w:pPr>
            <w:r>
              <w:rPr>
                <w:rFonts w:ascii="Times New Roman" w:eastAsia="標楷體" w:hAnsi="Times New Roman" w:cs="Times New Roman" w:hint="eastAsia"/>
                <w:b/>
                <w:sz w:val="24"/>
                <w:szCs w:val="24"/>
                <w:lang w:eastAsia="zh-TW"/>
              </w:rPr>
              <w:t>Berlin Chen</w:t>
            </w:r>
          </w:p>
          <w:p w14:paraId="678A4145" w14:textId="77777777" w:rsidR="00273261" w:rsidRPr="00B80A47" w:rsidRDefault="00273261" w:rsidP="00273261">
            <w:pPr>
              <w:framePr w:w="11732" w:h="2838" w:hSpace="180" w:wrap="around" w:vAnchor="text" w:hAnchor="page" w:x="71" w:y="-15"/>
              <w:jc w:val="center"/>
              <w:rPr>
                <w:rFonts w:ascii="Times New Roman" w:eastAsia="標楷體" w:hAnsi="Times New Roman" w:cs="Times New Roman"/>
                <w:sz w:val="24"/>
                <w:szCs w:val="24"/>
              </w:rPr>
            </w:pPr>
            <w:r>
              <w:rPr>
                <w:rFonts w:ascii="Times New Roman" w:eastAsia="標楷體" w:hAnsi="Times New Roman" w:cs="Times New Roman" w:hint="eastAsia"/>
                <w:sz w:val="24"/>
                <w:szCs w:val="24"/>
                <w:lang w:eastAsia="zh-TW"/>
              </w:rPr>
              <w:t>National Taiwan Normal University, Taipei, Taiwan</w:t>
            </w:r>
          </w:p>
          <w:p w14:paraId="53E61F5E" w14:textId="3DF6D3AD" w:rsidR="00B80A47" w:rsidRDefault="00273261" w:rsidP="00273261">
            <w:pPr>
              <w:framePr w:w="11732" w:h="2838" w:hSpace="180" w:wrap="around" w:vAnchor="text" w:hAnchor="page" w:x="71" w:y="-15"/>
              <w:jc w:val="center"/>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berlin@ntnu.edu.tw</w:t>
            </w:r>
          </w:p>
        </w:tc>
        <w:tc>
          <w:tcPr>
            <w:tcW w:w="1295" w:type="dxa"/>
          </w:tcPr>
          <w:p w14:paraId="5A39BBE3" w14:textId="34E86E8E" w:rsidR="00B80A47" w:rsidRPr="009266A0" w:rsidRDefault="00B80A47" w:rsidP="00B80A47">
            <w:pPr>
              <w:framePr w:w="11732" w:h="2838" w:hSpace="180" w:wrap="around" w:vAnchor="text" w:hAnchor="page" w:x="71" w:y="-15"/>
              <w:jc w:val="center"/>
              <w:rPr>
                <w:rFonts w:ascii="Times New Roman" w:eastAsia="標楷體" w:hAnsi="Times New Roman" w:cs="Times New Roman"/>
                <w:b/>
                <w:sz w:val="24"/>
                <w:szCs w:val="24"/>
                <w:lang w:eastAsia="zh-TW"/>
              </w:rPr>
            </w:pPr>
          </w:p>
        </w:tc>
      </w:tr>
      <w:tr w:rsidR="00E27E96" w:rsidRPr="009266A0" w14:paraId="41C8F396" w14:textId="77777777" w:rsidTr="59F793D9">
        <w:trPr>
          <w:trHeight w:val="289"/>
        </w:trPr>
        <w:tc>
          <w:tcPr>
            <w:tcW w:w="11785" w:type="dxa"/>
            <w:gridSpan w:val="4"/>
          </w:tcPr>
          <w:p w14:paraId="72A3D3EC" w14:textId="77777777" w:rsidR="00E27E96" w:rsidRPr="009266A0" w:rsidRDefault="00E27E96" w:rsidP="00C424DC">
            <w:pPr>
              <w:framePr w:w="11732" w:h="2838" w:hSpace="180" w:wrap="around" w:vAnchor="text" w:hAnchor="page" w:x="71" w:y="-15"/>
              <w:jc w:val="center"/>
              <w:rPr>
                <w:rFonts w:ascii="Times New Roman" w:eastAsia="標楷體" w:hAnsi="Times New Roman" w:cs="Times New Roman"/>
                <w:b/>
                <w:sz w:val="24"/>
                <w:szCs w:val="24"/>
                <w:lang w:eastAsia="zh-TW"/>
              </w:rPr>
            </w:pPr>
          </w:p>
        </w:tc>
      </w:tr>
    </w:tbl>
    <w:bookmarkEnd w:id="0"/>
    <w:p w14:paraId="1DECEF41" w14:textId="400FFC6E" w:rsidR="00210BBA" w:rsidRDefault="00210BBA" w:rsidP="00D5598D">
      <w:pPr>
        <w:pStyle w:val="ACLAbstractHeading"/>
        <w:rPr>
          <w:rFonts w:eastAsia="標楷體"/>
        </w:rPr>
      </w:pPr>
      <w:r>
        <w:rPr>
          <w:rFonts w:eastAsia="標楷體" w:hint="eastAsia"/>
          <w:lang w:eastAsia="zh-TW"/>
        </w:rPr>
        <w:t>摘要</w:t>
      </w:r>
    </w:p>
    <w:p w14:paraId="0B1C298A" w14:textId="6E206A75" w:rsidR="000526E8" w:rsidRPr="004C72CF" w:rsidRDefault="000526E8" w:rsidP="000526E8">
      <w:pPr>
        <w:pStyle w:val="ACLAbstractText"/>
        <w:rPr>
          <w:rFonts w:eastAsia="標楷體"/>
        </w:rPr>
      </w:pPr>
      <w:r w:rsidRPr="004C72CF">
        <w:rPr>
          <w:rFonts w:eastAsia="標楷體"/>
        </w:rPr>
        <w:t>發音品質評估中的發音好壞度</w:t>
      </w:r>
      <w:r w:rsidRPr="004C72CF">
        <w:rPr>
          <w:rFonts w:eastAsia="標楷體"/>
        </w:rPr>
        <w:t xml:space="preserve"> (Goodness of Pronunciation, GOP) </w:t>
      </w:r>
      <w:r w:rsidRPr="004C72CF">
        <w:rPr>
          <w:rFonts w:eastAsia="標楷體"/>
        </w:rPr>
        <w:t>分數，是電腦輔助語言學習的關鍵技術</w:t>
      </w:r>
      <w:r w:rsidRPr="004C72CF">
        <w:rPr>
          <w:rFonts w:eastAsia="標楷體"/>
        </w:rPr>
        <w:t xml:space="preserve"> </w:t>
      </w:r>
      <w:r w:rsidRPr="004C72CF">
        <w:rPr>
          <w:rFonts w:eastAsia="標楷體"/>
        </w:rPr>
        <w:t>。近期的研究指出，直接使用聲學模型原始輸出</w:t>
      </w:r>
      <w:r w:rsidRPr="004C72CF">
        <w:rPr>
          <w:rFonts w:eastAsia="標楷體"/>
        </w:rPr>
        <w:t xml:space="preserve">logits </w:t>
      </w:r>
      <w:r w:rsidRPr="004C72CF">
        <w:rPr>
          <w:rFonts w:eastAsia="標楷體"/>
        </w:rPr>
        <w:t>來計算</w:t>
      </w:r>
      <w:r w:rsidRPr="004C72CF">
        <w:rPr>
          <w:rFonts w:eastAsia="標楷體"/>
        </w:rPr>
        <w:t xml:space="preserve"> GOP </w:t>
      </w:r>
      <w:r w:rsidRPr="004C72CF">
        <w:rPr>
          <w:rFonts w:eastAsia="標楷體"/>
        </w:rPr>
        <w:t>分數，其表現優於傳統基於</w:t>
      </w:r>
      <w:r w:rsidRPr="004C72CF">
        <w:rPr>
          <w:rFonts w:eastAsia="標楷體"/>
        </w:rPr>
        <w:t xml:space="preserve"> </w:t>
      </w:r>
      <m:oMath>
        <m:r>
          <w:rPr>
            <w:rFonts w:ascii="Cambria Math" w:eastAsia="標楷體" w:hAnsi="Cambria Math"/>
          </w:rPr>
          <m:t>softmax</m:t>
        </m:r>
      </m:oMath>
      <w:r w:rsidRPr="004C72CF">
        <w:rPr>
          <w:rFonts w:eastAsia="標楷體"/>
        </w:rPr>
        <w:t xml:space="preserve"> </w:t>
      </w:r>
      <w:r w:rsidRPr="004C72CF">
        <w:rPr>
          <w:rFonts w:eastAsia="標楷體"/>
        </w:rPr>
        <w:t>機率的方法，因為</w:t>
      </w:r>
      <w:r w:rsidRPr="004C72CF">
        <w:rPr>
          <w:rFonts w:eastAsia="標楷體"/>
        </w:rPr>
        <w:t xml:space="preserve"> logits </w:t>
      </w:r>
      <w:r w:rsidRPr="004C72CF">
        <w:rPr>
          <w:rFonts w:eastAsia="標楷體"/>
        </w:rPr>
        <w:t>避免了機率飽和問題並保留了更豐富的區分性資訊</w:t>
      </w:r>
      <w:r w:rsidRPr="004C72CF">
        <w:rPr>
          <w:rFonts w:eastAsia="標楷體"/>
        </w:rPr>
        <w:t xml:space="preserve"> </w:t>
      </w:r>
      <w:r w:rsidRPr="004C72CF">
        <w:rPr>
          <w:rFonts w:eastAsia="標楷體"/>
        </w:rPr>
        <w:t>。然而，現有的</w:t>
      </w:r>
      <w:r w:rsidRPr="004C72CF">
        <w:rPr>
          <w:rFonts w:eastAsia="標楷體"/>
        </w:rPr>
        <w:t xml:space="preserve">logit-based </w:t>
      </w:r>
      <w:r w:rsidRPr="004C72CF">
        <w:rPr>
          <w:rFonts w:eastAsia="標楷體"/>
        </w:rPr>
        <w:t>方法大多僅依賴最大值、均值或變異數等基本統計量</w:t>
      </w:r>
      <w:r w:rsidRPr="004C72CF">
        <w:rPr>
          <w:rFonts w:eastAsia="標楷體"/>
        </w:rPr>
        <w:t xml:space="preserve"> </w:t>
      </w:r>
      <w:r w:rsidRPr="004C72CF">
        <w:rPr>
          <w:rFonts w:eastAsia="標楷體"/>
        </w:rPr>
        <w:t>，這忽略了在音素持續時間內，</w:t>
      </w:r>
      <w:r w:rsidRPr="004C72CF">
        <w:rPr>
          <w:rFonts w:eastAsia="標楷體"/>
        </w:rPr>
        <w:t xml:space="preserve">logit </w:t>
      </w:r>
      <w:r w:rsidRPr="004C72CF">
        <w:rPr>
          <w:rFonts w:eastAsia="標楷體"/>
        </w:rPr>
        <w:t>序列更為複雜的動態分佈與時序特性。為了更全面地捕捉</w:t>
      </w:r>
      <w:r w:rsidRPr="004C72CF">
        <w:rPr>
          <w:rFonts w:eastAsia="標楷體"/>
        </w:rPr>
        <w:t xml:space="preserve"> logit </w:t>
      </w:r>
      <w:r w:rsidRPr="004C72CF">
        <w:rPr>
          <w:rFonts w:eastAsia="標楷體"/>
        </w:rPr>
        <w:t>序列中所蘊含的發音細節，本研究提出了一套多面向的統計分析法。我們探索了五種能夠描述</w:t>
      </w:r>
      <w:r w:rsidRPr="004C72CF">
        <w:rPr>
          <w:rFonts w:eastAsia="標楷體"/>
        </w:rPr>
        <w:t xml:space="preserve"> logit </w:t>
      </w:r>
      <w:r w:rsidRPr="004C72CF">
        <w:rPr>
          <w:rFonts w:eastAsia="標楷體"/>
        </w:rPr>
        <w:t>序列不同特性的高階統計指標：</w:t>
      </w:r>
      <w:r w:rsidRPr="004C72CF">
        <w:rPr>
          <w:rFonts w:eastAsia="標楷體"/>
        </w:rPr>
        <w:t xml:space="preserve">(1) </w:t>
      </w:r>
      <w:r w:rsidRPr="004C72CF">
        <w:rPr>
          <w:rFonts w:eastAsia="標楷體"/>
        </w:rPr>
        <w:t>動差生成函數，用以計算分佈的偏度</w:t>
      </w:r>
      <w:r w:rsidRPr="004C72CF">
        <w:rPr>
          <w:rFonts w:eastAsia="標楷體"/>
        </w:rPr>
        <w:t xml:space="preserve"> (</w:t>
      </w:r>
      <m:oMath>
        <m:r>
          <w:rPr>
            <w:rFonts w:ascii="Cambria Math" w:eastAsia="標楷體" w:hAnsi="Cambria Math"/>
          </w:rPr>
          <m:t>skewness</m:t>
        </m:r>
      </m:oMath>
      <w:r w:rsidRPr="004C72CF">
        <w:rPr>
          <w:rFonts w:eastAsia="標楷體"/>
        </w:rPr>
        <w:t xml:space="preserve">) </w:t>
      </w:r>
      <w:r w:rsidRPr="004C72CF">
        <w:rPr>
          <w:rFonts w:eastAsia="標楷體"/>
        </w:rPr>
        <w:t>與峰度</w:t>
      </w:r>
      <w:r w:rsidRPr="004C72CF">
        <w:rPr>
          <w:rFonts w:eastAsia="標楷體"/>
        </w:rPr>
        <w:t xml:space="preserve"> (</w:t>
      </w:r>
      <m:oMath>
        <m:r>
          <w:rPr>
            <w:rFonts w:ascii="Cambria Math" w:eastAsia="標楷體" w:hAnsi="Cambria Math"/>
          </w:rPr>
          <m:t>kurtosis</m:t>
        </m:r>
      </m:oMath>
      <w:r w:rsidRPr="004C72CF">
        <w:rPr>
          <w:rFonts w:eastAsia="標楷體"/>
        </w:rPr>
        <w:t>)</w:t>
      </w:r>
      <w:r w:rsidRPr="004C72CF">
        <w:rPr>
          <w:rFonts w:eastAsia="標楷體"/>
        </w:rPr>
        <w:t>；</w:t>
      </w:r>
      <w:r w:rsidRPr="004C72CF">
        <w:rPr>
          <w:rFonts w:eastAsia="標楷體"/>
        </w:rPr>
        <w:t xml:space="preserve">(2) </w:t>
      </w:r>
      <w:r w:rsidRPr="004C72CF">
        <w:rPr>
          <w:rFonts w:eastAsia="標楷體"/>
        </w:rPr>
        <w:t>資訊理論，透過計算熵</w:t>
      </w:r>
      <w:r w:rsidRPr="004C72CF">
        <w:rPr>
          <w:rFonts w:eastAsia="標楷體"/>
        </w:rPr>
        <w:t xml:space="preserve"> (entropy) </w:t>
      </w:r>
      <w:r w:rsidRPr="004C72CF">
        <w:rPr>
          <w:rFonts w:eastAsia="標楷體"/>
        </w:rPr>
        <w:t>來量化模型的不確定性；</w:t>
      </w:r>
      <w:r w:rsidRPr="004C72CF">
        <w:rPr>
          <w:rFonts w:eastAsia="標楷體"/>
        </w:rPr>
        <w:t xml:space="preserve">(3) </w:t>
      </w:r>
      <w:r w:rsidRPr="004C72CF">
        <w:rPr>
          <w:rFonts w:eastAsia="標楷體"/>
        </w:rPr>
        <w:t>高斯混合模型</w:t>
      </w:r>
      <w:r w:rsidRPr="004C72CF">
        <w:rPr>
          <w:rFonts w:eastAsia="標楷體"/>
        </w:rPr>
        <w:t xml:space="preserve"> (</w:t>
      </w:r>
      <m:oMath>
        <m:r>
          <w:rPr>
            <w:rFonts w:ascii="Cambria Math" w:eastAsia="標楷體" w:hAnsi="Cambria Math"/>
          </w:rPr>
          <m:t>GMM</m:t>
        </m:r>
      </m:oMath>
      <w:r w:rsidRPr="004C72CF">
        <w:rPr>
          <w:rFonts w:eastAsia="標楷體"/>
        </w:rPr>
        <w:t>)</w:t>
      </w:r>
      <w:r w:rsidRPr="004C72CF">
        <w:rPr>
          <w:rFonts w:eastAsia="標楷體"/>
        </w:rPr>
        <w:t>，用以擬合</w:t>
      </w:r>
      <w:r w:rsidRPr="004C72CF">
        <w:rPr>
          <w:rFonts w:eastAsia="標楷體"/>
        </w:rPr>
        <w:t xml:space="preserve"> logit </w:t>
      </w:r>
      <w:r w:rsidRPr="004C72CF">
        <w:rPr>
          <w:rFonts w:eastAsia="標楷體"/>
        </w:rPr>
        <w:t>的多模態分佈；</w:t>
      </w:r>
      <w:r w:rsidRPr="004C72CF">
        <w:rPr>
          <w:rFonts w:eastAsia="標楷體"/>
        </w:rPr>
        <w:t xml:space="preserve">(4) </w:t>
      </w:r>
      <w:r w:rsidRPr="004C72CF">
        <w:rPr>
          <w:rFonts w:eastAsia="標楷體"/>
        </w:rPr>
        <w:t>時間序列分析，計算自相關係數</w:t>
      </w:r>
      <w:r w:rsidRPr="004C72CF">
        <w:rPr>
          <w:rFonts w:eastAsia="標楷體"/>
        </w:rPr>
        <w:t xml:space="preserve"> (</w:t>
      </w:r>
      <m:oMath>
        <m:r>
          <w:rPr>
            <w:rFonts w:ascii="Cambria Math" w:eastAsia="標楷體" w:hAnsi="Cambria Math"/>
          </w:rPr>
          <m:t>autocorrelation</m:t>
        </m:r>
      </m:oMath>
      <w:r w:rsidRPr="004C72CF">
        <w:rPr>
          <w:rFonts w:eastAsia="標楷體"/>
        </w:rPr>
        <w:t xml:space="preserve">) </w:t>
      </w:r>
      <w:r w:rsidRPr="004C72CF">
        <w:rPr>
          <w:rFonts w:eastAsia="標楷體"/>
        </w:rPr>
        <w:t>來衡量</w:t>
      </w:r>
      <w:r w:rsidRPr="004C72CF">
        <w:rPr>
          <w:rFonts w:eastAsia="標楷體"/>
        </w:rPr>
        <w:t xml:space="preserve"> logit </w:t>
      </w:r>
      <w:r w:rsidRPr="004C72CF">
        <w:rPr>
          <w:rFonts w:eastAsia="標楷體"/>
        </w:rPr>
        <w:t>的穩定性；以及</w:t>
      </w:r>
      <w:r w:rsidRPr="004C72CF">
        <w:rPr>
          <w:rFonts w:eastAsia="標楷體"/>
        </w:rPr>
        <w:t xml:space="preserve"> (5) </w:t>
      </w:r>
      <w:r w:rsidRPr="004C72CF">
        <w:rPr>
          <w:rFonts w:eastAsia="標楷體"/>
        </w:rPr>
        <w:t>極值理論，採用</w:t>
      </w:r>
      <w:r w:rsidRPr="004C72CF">
        <w:rPr>
          <w:rFonts w:eastAsia="標楷體"/>
        </w:rPr>
        <w:t xml:space="preserve"> top-k </w:t>
      </w:r>
      <w:r w:rsidRPr="004C72CF">
        <w:rPr>
          <w:rFonts w:eastAsia="標楷體"/>
        </w:rPr>
        <w:t>平均來獲得更穩健的峰值信心度估計。我們在公開的</w:t>
      </w:r>
      <w:r w:rsidRPr="004C72CF">
        <w:rPr>
          <w:rFonts w:eastAsia="標楷體"/>
        </w:rPr>
        <w:t xml:space="preserve"> L2 </w:t>
      </w:r>
      <w:r w:rsidRPr="004C72CF">
        <w:rPr>
          <w:rFonts w:eastAsia="標楷體"/>
        </w:rPr>
        <w:t>英語語音資料庫</w:t>
      </w:r>
      <w:r w:rsidRPr="004C72CF">
        <w:rPr>
          <w:rFonts w:eastAsia="標楷體"/>
        </w:rPr>
        <w:t xml:space="preserve"> (SpeechOcean762) </w:t>
      </w:r>
      <w:r w:rsidRPr="004C72CF">
        <w:rPr>
          <w:rFonts w:eastAsia="標楷體"/>
        </w:rPr>
        <w:t>上進行實驗</w:t>
      </w:r>
      <w:r w:rsidRPr="004C72CF">
        <w:rPr>
          <w:rFonts w:eastAsia="標楷體"/>
        </w:rPr>
        <w:t xml:space="preserve"> </w:t>
      </w:r>
      <w:r w:rsidRPr="004C72CF">
        <w:rPr>
          <w:rFonts w:eastAsia="標楷體"/>
        </w:rPr>
        <w:t>，將這些新提出的統計指標與參考文獻中的基線方法</w:t>
      </w:r>
      <w:r w:rsidRPr="004C72CF">
        <w:rPr>
          <w:rFonts w:eastAsia="標楷體"/>
        </w:rPr>
        <w:t xml:space="preserve"> (</w:t>
      </w:r>
      <m:oMath>
        <m:sSub>
          <m:sSubPr>
            <m:ctrlPr>
              <w:rPr>
                <w:rFonts w:ascii="Cambria Math" w:eastAsia="標楷體" w:hAnsi="Cambria Math"/>
                <w:i/>
                <w:sz w:val="22"/>
              </w:rPr>
            </m:ctrlPr>
          </m:sSubPr>
          <m:e>
            <m:r>
              <w:rPr>
                <w:rFonts w:ascii="Cambria Math" w:eastAsia="標楷體" w:hAnsi="Cambria Math"/>
              </w:rPr>
              <m:t>GOP</m:t>
            </m:r>
          </m:e>
          <m:sub>
            <m:r>
              <w:rPr>
                <w:rFonts w:ascii="Cambria Math" w:eastAsia="標楷體" w:hAnsi="Cambria Math"/>
              </w:rPr>
              <m:t>MaxLogit</m:t>
            </m:r>
          </m:sub>
        </m:sSub>
      </m:oMath>
      <w:r w:rsidR="00EB66E2">
        <w:rPr>
          <w:rFonts w:eastAsia="標楷體" w:hint="eastAsia"/>
          <w:lang w:eastAsia="zh-TW"/>
        </w:rPr>
        <w:t xml:space="preserve"> ,</w:t>
      </w:r>
      <w:r w:rsidRPr="004C72CF">
        <w:rPr>
          <w:rFonts w:eastAsia="標楷體"/>
        </w:rPr>
        <w:t xml:space="preserve"> </w:t>
      </w:r>
      <m:oMath>
        <m:sSub>
          <m:sSubPr>
            <m:ctrlPr>
              <w:rPr>
                <w:rFonts w:ascii="Cambria Math" w:eastAsia="標楷體" w:hAnsi="Cambria Math"/>
                <w:i/>
                <w:sz w:val="22"/>
              </w:rPr>
            </m:ctrlPr>
          </m:sSubPr>
          <m:e>
            <m:r>
              <w:rPr>
                <w:rFonts w:ascii="Cambria Math" w:eastAsia="標楷體" w:hAnsi="Cambria Math"/>
              </w:rPr>
              <m:t>GOP</m:t>
            </m:r>
          </m:e>
          <m:sub>
            <m:r>
              <w:rPr>
                <w:rFonts w:ascii="Cambria Math" w:eastAsia="標楷體" w:hAnsi="Cambria Math"/>
              </w:rPr>
              <m:t>margin</m:t>
            </m:r>
          </m:sub>
        </m:sSub>
      </m:oMath>
      <w:r w:rsidRPr="004C72CF">
        <w:rPr>
          <w:rFonts w:eastAsia="標楷體"/>
        </w:rPr>
        <w:t xml:space="preserve">) </w:t>
      </w:r>
      <w:r w:rsidRPr="004C72CF">
        <w:rPr>
          <w:rFonts w:eastAsia="標楷體"/>
        </w:rPr>
        <w:t>進行效能比較</w:t>
      </w:r>
      <w:r w:rsidRPr="004C72CF">
        <w:rPr>
          <w:rFonts w:eastAsia="標楷體"/>
        </w:rPr>
        <w:t xml:space="preserve"> </w:t>
      </w:r>
      <w:r w:rsidRPr="004C72CF">
        <w:rPr>
          <w:rFonts w:eastAsia="標楷體"/>
        </w:rPr>
        <w:t>。初步結果顯示，部分高階統計指標，特別是那些能夠描述</w:t>
      </w:r>
      <w:r w:rsidRPr="004C72CF">
        <w:rPr>
          <w:rFonts w:eastAsia="標楷體"/>
        </w:rPr>
        <w:t xml:space="preserve">logit </w:t>
      </w:r>
      <w:r w:rsidRPr="004C72CF">
        <w:rPr>
          <w:rFonts w:eastAsia="標楷體"/>
        </w:rPr>
        <w:t>序列穩定性和分佈形狀的特徵，在發音錯誤檢測的分類任務上展現出更高的準確性，並與人類專家評分呈現出更強的相關性。這項研究證明，對</w:t>
      </w:r>
      <w:r w:rsidRPr="004C72CF">
        <w:rPr>
          <w:rFonts w:eastAsia="標楷體"/>
        </w:rPr>
        <w:t xml:space="preserve"> logit </w:t>
      </w:r>
      <w:r w:rsidRPr="004C72CF">
        <w:rPr>
          <w:rFonts w:eastAsia="標楷體"/>
        </w:rPr>
        <w:t>序列進行更深層次的統計建模，</w:t>
      </w:r>
      <w:r w:rsidR="00B13931">
        <w:rPr>
          <w:rFonts w:eastAsia="標楷體"/>
          <w:lang w:eastAsia="zh-TW"/>
        </w:rPr>
        <w:br/>
      </w:r>
      <w:r w:rsidRPr="004C72CF">
        <w:rPr>
          <w:rFonts w:eastAsia="標楷體"/>
        </w:rPr>
        <w:t>是提升自動化發音評估系統效能的一個有效途徑。</w:t>
      </w:r>
    </w:p>
    <w:p w14:paraId="72599795" w14:textId="06D6851E" w:rsidR="009266A0" w:rsidRDefault="00A5424A" w:rsidP="00017145">
      <w:pPr>
        <w:pStyle w:val="ACLAbstractHeading"/>
        <w:rPr>
          <w:rFonts w:eastAsia="標楷體"/>
        </w:rPr>
      </w:pPr>
      <w:r w:rsidRPr="009266A0">
        <w:rPr>
          <w:rFonts w:eastAsia="標楷體"/>
        </w:rPr>
        <w:t>Abstract</w:t>
      </w:r>
    </w:p>
    <w:p w14:paraId="0FE863AA" w14:textId="2256A86C" w:rsidR="004B6747" w:rsidRPr="004B6747" w:rsidRDefault="004B6747" w:rsidP="00C32218">
      <w:pPr>
        <w:jc w:val="both"/>
        <w:rPr>
          <w:rFonts w:ascii="Times New Roman" w:eastAsia="新細明體" w:hAnsi="Times New Roman" w:cs="Times New Roman"/>
          <w:lang w:eastAsia="zh-TW"/>
        </w:rPr>
      </w:pPr>
      <w:r w:rsidRPr="004B6747">
        <w:rPr>
          <w:rFonts w:ascii="Times New Roman" w:eastAsia="新細明體" w:hAnsi="Times New Roman" w:cs="Times New Roman"/>
          <w:lang w:eastAsia="zh-TW"/>
        </w:rPr>
        <w:t xml:space="preserve">The Goodness of Pronunciation (GOP) score for pronunciation quality assessment is a key technology in computer-assisted language learning. Recent studies have shown that computing GOP scores directly from the acoustic model’s raw output logits outperforms traditional softmax-probability-based methods, because logits avoid probability saturation issues and retain richer discriminative information. However, existing logit-based methods mostly rely on basic statistics such as maxima, means, or variances, which neglect the more complex dynamic distributions and temporal characteristics of logit sequences over phoneme durations. To more comprehensively capture pronunciation details embedded in logit sequences, this study proposes a multi-faceted statistical analysis method. We explore five higher-order statistical indicators that describe different characteristics of logit sequences: (1) moment-generating functions to compute distribution skewness and kurtosis; (2) information theory, using entropy to quantify model uncertainty; (3) Gaussian mixture models (GMMs) to fit multimodal distributions of logits; </w:t>
      </w:r>
      <w:r w:rsidRPr="004B6747">
        <w:rPr>
          <w:rFonts w:ascii="Times New Roman" w:eastAsia="新細明體" w:hAnsi="Times New Roman" w:cs="Times New Roman"/>
          <w:lang w:eastAsia="zh-TW"/>
        </w:rPr>
        <w:lastRenderedPageBreak/>
        <w:t>(4) time-series analysis, computing autocorrelation coefficients to measure logit stability; and (5) extreme value theory, using top-k averaging to obtain more robust peak-confidence estimates. We conduct experiments on the public L2 English speech corpus SpeechOcean762, comparing these newly proposed statistical indicators with baseline methods from the literature (</w:t>
      </w:r>
      <m:oMath>
        <m:r>
          <w:rPr>
            <w:rFonts w:ascii="Cambria Math" w:eastAsia="新細明體" w:hAnsi="Cambria Math" w:cs="Times New Roman"/>
            <w:lang w:eastAsia="zh-TW"/>
          </w:rPr>
          <m:t>GOP_MaxLogit</m:t>
        </m:r>
      </m:oMath>
      <w:r w:rsidRPr="004B6747">
        <w:rPr>
          <w:rFonts w:ascii="Times New Roman" w:eastAsia="新細明體" w:hAnsi="Times New Roman" w:cs="Times New Roman"/>
          <w:lang w:eastAsia="zh-TW"/>
        </w:rPr>
        <w:t xml:space="preserve">, </w:t>
      </w:r>
      <m:oMath>
        <m:r>
          <w:rPr>
            <w:rFonts w:ascii="Cambria Math" w:eastAsia="新細明體" w:hAnsi="Cambria Math" w:cs="Times New Roman"/>
            <w:lang w:eastAsia="zh-TW"/>
          </w:rPr>
          <m:t>GOP_margin</m:t>
        </m:r>
      </m:oMath>
      <w:r w:rsidRPr="004B6747">
        <w:rPr>
          <w:rFonts w:ascii="Times New Roman" w:eastAsia="新細明體" w:hAnsi="Times New Roman" w:cs="Times New Roman"/>
          <w:lang w:eastAsia="zh-TW"/>
        </w:rPr>
        <w:t>). Preliminary results show that some higher-order statistical indicators—particularly those that describe logit-sequence stability and distribution shape—achieve higher accuracy on pronunciation-error detection classification tasks and exhibit stronger correlation with human expert ratings. This study demonstrates that deeper statistical modeling of logit sequences is an effective approach to improving the performance of automated pronunciation assessment systems.</w:t>
      </w:r>
    </w:p>
    <w:p w14:paraId="11FA68E6" w14:textId="77777777" w:rsidR="004B6747" w:rsidRPr="004B6747" w:rsidRDefault="004B6747" w:rsidP="004B6747">
      <w:pPr>
        <w:rPr>
          <w:rFonts w:eastAsia="新細明體"/>
          <w:lang w:eastAsia="zh-TW"/>
        </w:rPr>
      </w:pPr>
    </w:p>
    <w:p w14:paraId="6CCF1FEA" w14:textId="1970FD1F" w:rsidR="00C834DD" w:rsidRPr="004B6747" w:rsidRDefault="00C834DD" w:rsidP="00C834DD">
      <w:pPr>
        <w:pStyle w:val="ACLTextFirstLine"/>
        <w:rPr>
          <w:rFonts w:eastAsia="標楷體"/>
          <w:sz w:val="20"/>
          <w:szCs w:val="20"/>
          <w:lang w:val="de-DE" w:eastAsia="zh-TW"/>
        </w:rPr>
      </w:pPr>
      <w:proofErr w:type="spellStart"/>
      <w:r w:rsidRPr="0090423E">
        <w:rPr>
          <w:rFonts w:eastAsia="標楷體" w:hint="eastAsia"/>
          <w:sz w:val="20"/>
          <w:szCs w:val="20"/>
        </w:rPr>
        <w:t>關鍵字</w:t>
      </w:r>
      <w:proofErr w:type="spellEnd"/>
      <w:r w:rsidRPr="0090423E">
        <w:rPr>
          <w:rFonts w:eastAsia="標楷體" w:hint="eastAsia"/>
          <w:sz w:val="20"/>
          <w:szCs w:val="20"/>
        </w:rPr>
        <w:t>：</w:t>
      </w:r>
      <w:r w:rsidR="00650D9C">
        <w:rPr>
          <w:rFonts w:eastAsia="標楷體"/>
          <w:sz w:val="20"/>
          <w:szCs w:val="20"/>
          <w:lang w:eastAsia="zh-TW"/>
        </w:rPr>
        <w:t>logit</w:t>
      </w:r>
      <w:r w:rsidRPr="0090423E">
        <w:rPr>
          <w:rFonts w:eastAsia="標楷體" w:hint="eastAsia"/>
          <w:sz w:val="20"/>
          <w:szCs w:val="20"/>
        </w:rPr>
        <w:t>、</w:t>
      </w:r>
      <w:proofErr w:type="spellStart"/>
      <w:r w:rsidR="00650D9C">
        <w:rPr>
          <w:rFonts w:eastAsia="標楷體"/>
          <w:sz w:val="20"/>
          <w:szCs w:val="20"/>
          <w:lang w:eastAsia="zh-TW"/>
        </w:rPr>
        <w:t>gop</w:t>
      </w:r>
      <w:proofErr w:type="spellEnd"/>
    </w:p>
    <w:p w14:paraId="3E7A9F1C" w14:textId="736F5815" w:rsidR="00A5424A" w:rsidRPr="009266A0" w:rsidRDefault="00A5424A" w:rsidP="00A5424A">
      <w:pPr>
        <w:pStyle w:val="ACLSection"/>
        <w:rPr>
          <w:rFonts w:eastAsia="標楷體"/>
        </w:rPr>
      </w:pPr>
      <w:r w:rsidRPr="009266A0">
        <w:rPr>
          <w:rFonts w:eastAsia="標楷體"/>
        </w:rPr>
        <w:t>Introduction</w:t>
      </w:r>
    </w:p>
    <w:p w14:paraId="046195C9" w14:textId="549EDF20" w:rsidR="00BB2266" w:rsidRPr="004C72CF" w:rsidRDefault="00BB2266" w:rsidP="00BB2266">
      <w:pPr>
        <w:pStyle w:val="ACLText"/>
        <w:rPr>
          <w:rFonts w:eastAsia="標楷體"/>
          <w:lang w:val="de-DE"/>
        </w:rPr>
      </w:pPr>
      <w:r w:rsidRPr="004C72CF">
        <w:rPr>
          <w:rFonts w:eastAsia="標楷體"/>
        </w:rPr>
        <w:t>在</w:t>
      </w:r>
      <w:r w:rsidRPr="004C72CF">
        <w:rPr>
          <w:rFonts w:eastAsia="標楷體"/>
          <w:lang w:eastAsia="zh-TW"/>
        </w:rPr>
        <w:t>全</w:t>
      </w:r>
      <w:r w:rsidRPr="004C72CF">
        <w:rPr>
          <w:rFonts w:eastAsia="標楷體"/>
        </w:rPr>
        <w:t>球化時代，第二語言的口語溝通能力對於學術。然而，清晰的發音對</w:t>
      </w:r>
      <w:r w:rsidRPr="004C72CF">
        <w:rPr>
          <w:rFonts w:eastAsia="標楷體"/>
        </w:rPr>
        <w:t>L2</w:t>
      </w:r>
      <w:r w:rsidRPr="004C72CF">
        <w:rPr>
          <w:rFonts w:eastAsia="標楷體"/>
        </w:rPr>
        <w:t>學習者而言充滿挑戰，主要是因為母語</w:t>
      </w:r>
      <w:r w:rsidRPr="004C72CF">
        <w:rPr>
          <w:rFonts w:eastAsia="標楷體"/>
        </w:rPr>
        <w:t xml:space="preserve"> (L2) (L1) </w:t>
      </w:r>
      <w:r w:rsidRPr="004C72CF">
        <w:rPr>
          <w:rFonts w:eastAsia="標楷體"/>
        </w:rPr>
        <w:t>的語音習慣會造成持續性的發音錯誤</w:t>
      </w:r>
      <w:r w:rsidRPr="004C72CF">
        <w:rPr>
          <w:rFonts w:eastAsia="標楷體"/>
        </w:rPr>
        <w:t xml:space="preserve"> </w:t>
      </w:r>
      <w:r w:rsidRPr="004C72CF">
        <w:rPr>
          <w:rFonts w:eastAsia="標楷體"/>
        </w:rPr>
        <w:t>。為此，電腦輔助發音訓練</w:t>
      </w:r>
      <w:r w:rsidRPr="004C72CF">
        <w:rPr>
          <w:rFonts w:eastAsia="標楷體"/>
        </w:rPr>
        <w:t xml:space="preserve"> (CAPT) </w:t>
      </w:r>
      <w:r w:rsidRPr="004C72CF">
        <w:rPr>
          <w:rFonts w:eastAsia="標楷體"/>
        </w:rPr>
        <w:t>系統被廣泛發展，以提供即時且客觀的發音回饋</w:t>
      </w:r>
      <w:r w:rsidRPr="004C72CF">
        <w:rPr>
          <w:rFonts w:eastAsia="標楷體"/>
        </w:rPr>
        <w:t xml:space="preserve"> </w:t>
      </w:r>
      <w:r w:rsidRPr="004C72CF">
        <w:rPr>
          <w:rFonts w:eastAsia="標楷體"/>
        </w:rPr>
        <w:t>。在</w:t>
      </w:r>
      <w:r w:rsidRPr="004C72CF">
        <w:rPr>
          <w:rFonts w:eastAsia="標楷體"/>
          <w:lang w:val="de-DE"/>
        </w:rPr>
        <w:t xml:space="preserve"> CAPT </w:t>
      </w:r>
      <w:r w:rsidRPr="004C72CF">
        <w:rPr>
          <w:rFonts w:eastAsia="標楷體"/>
        </w:rPr>
        <w:t>系統中</w:t>
      </w:r>
      <w:r w:rsidRPr="004C72CF">
        <w:rPr>
          <w:rFonts w:eastAsia="標楷體"/>
          <w:lang w:val="de-DE"/>
        </w:rPr>
        <w:t>，</w:t>
      </w:r>
      <w:r w:rsidRPr="004C72CF">
        <w:rPr>
          <w:rFonts w:eastAsia="標楷體"/>
        </w:rPr>
        <w:t>能夠在音素</w:t>
      </w:r>
      <w:r w:rsidRPr="004C72CF">
        <w:rPr>
          <w:rFonts w:eastAsia="標楷體"/>
          <w:lang w:val="de-DE"/>
        </w:rPr>
        <w:t xml:space="preserve"> (phoneme) </w:t>
      </w:r>
      <w:r w:rsidRPr="004C72CF">
        <w:rPr>
          <w:rFonts w:eastAsia="標楷體"/>
        </w:rPr>
        <w:t>層級進行的發音錯誤檢測</w:t>
      </w:r>
      <w:r w:rsidRPr="004C72CF">
        <w:rPr>
          <w:rFonts w:eastAsia="標楷體"/>
          <w:lang w:val="de-DE"/>
        </w:rPr>
        <w:t xml:space="preserve"> (Mispronunciation Detection)</w:t>
      </w:r>
      <w:r w:rsidRPr="004C72CF">
        <w:rPr>
          <w:rFonts w:eastAsia="標楷體"/>
          <w:lang w:val="de-DE"/>
        </w:rPr>
        <w:t>，</w:t>
      </w:r>
      <w:r w:rsidRPr="004C72CF">
        <w:rPr>
          <w:rFonts w:eastAsia="標楷體"/>
        </w:rPr>
        <w:t>被證實對學習者改善特定發音問題特別有效</w:t>
      </w:r>
      <w:r w:rsidRPr="004C72CF">
        <w:rPr>
          <w:rFonts w:eastAsia="標楷體"/>
          <w:lang w:val="de-DE"/>
        </w:rPr>
        <w:t xml:space="preserve"> </w:t>
      </w:r>
      <w:r w:rsidRPr="004C72CF">
        <w:rPr>
          <w:rFonts w:eastAsia="標楷體"/>
        </w:rPr>
        <w:t>。</w:t>
      </w:r>
    </w:p>
    <w:p w14:paraId="7E1402CD" w14:textId="1674747A" w:rsidR="00BB2266" w:rsidRPr="004C72CF" w:rsidRDefault="00BB2266" w:rsidP="00BB2266">
      <w:pPr>
        <w:pStyle w:val="ACLText"/>
        <w:rPr>
          <w:rFonts w:eastAsia="標楷體"/>
        </w:rPr>
      </w:pPr>
      <w:r w:rsidRPr="004C72CF">
        <w:rPr>
          <w:rFonts w:eastAsia="標楷體"/>
        </w:rPr>
        <w:t>發音好壞度</w:t>
      </w:r>
      <w:r w:rsidRPr="004C72CF">
        <w:rPr>
          <w:rFonts w:eastAsia="標楷體"/>
          <w:lang w:val="de-DE"/>
        </w:rPr>
        <w:t xml:space="preserve"> (Goodness of Pronunciation, </w:t>
      </w:r>
      <m:oMath>
        <m:r>
          <w:rPr>
            <w:rFonts w:ascii="Cambria Math" w:eastAsia="標楷體" w:hAnsi="Cambria Math"/>
            <w:lang w:val="de-DE"/>
          </w:rPr>
          <m:t>GOP</m:t>
        </m:r>
      </m:oMath>
      <w:r w:rsidRPr="004C72CF">
        <w:rPr>
          <w:rFonts w:eastAsia="標楷體"/>
          <w:lang w:val="de-DE"/>
        </w:rPr>
        <w:t xml:space="preserve">) </w:t>
      </w:r>
      <w:r w:rsidRPr="004C72CF">
        <w:rPr>
          <w:rFonts w:eastAsia="標楷體"/>
        </w:rPr>
        <w:t>是目前最主流的音素級別自動評估指標之一。傳統上</w:t>
      </w:r>
      <w:r w:rsidRPr="004C72CF">
        <w:rPr>
          <w:rFonts w:eastAsia="標楷體"/>
          <w:lang w:val="de-DE"/>
        </w:rPr>
        <w:t>，</w:t>
      </w:r>
      <w:r w:rsidRPr="004C72CF">
        <w:rPr>
          <w:rFonts w:eastAsia="標楷體"/>
          <w:lang w:val="de-DE"/>
        </w:rPr>
        <w:t xml:space="preserve">GOP </w:t>
      </w:r>
      <w:r w:rsidRPr="004C72CF">
        <w:rPr>
          <w:rFonts w:eastAsia="標楷體"/>
        </w:rPr>
        <w:t>分數的計算依賴於深度神經網路</w:t>
      </w:r>
      <w:r w:rsidRPr="004C72CF">
        <w:rPr>
          <w:rFonts w:eastAsia="標楷體"/>
          <w:lang w:val="de-DE"/>
        </w:rPr>
        <w:t xml:space="preserve"> (</w:t>
      </w:r>
      <m:oMath>
        <m:r>
          <w:rPr>
            <w:rFonts w:ascii="Cambria Math" w:eastAsia="標楷體" w:hAnsi="Cambria Math"/>
            <w:lang w:val="de-DE"/>
          </w:rPr>
          <m:t>DNN</m:t>
        </m:r>
      </m:oMath>
      <w:r w:rsidRPr="004C72CF">
        <w:rPr>
          <w:rFonts w:eastAsia="標楷體"/>
          <w:lang w:val="de-DE"/>
        </w:rPr>
        <w:t xml:space="preserve">) </w:t>
      </w:r>
      <w:r w:rsidRPr="004C72CF">
        <w:rPr>
          <w:rFonts w:eastAsia="標楷體"/>
        </w:rPr>
        <w:t>聲學模型輸出的後驗機率</w:t>
      </w:r>
      <w:r w:rsidRPr="004C72CF">
        <w:rPr>
          <w:rFonts w:eastAsia="標楷體"/>
          <w:lang w:val="de-DE"/>
        </w:rPr>
        <w:t xml:space="preserve"> (posterior probabilities) </w:t>
      </w:r>
      <w:r w:rsidRPr="004C72CF">
        <w:rPr>
          <w:rFonts w:eastAsia="標楷體"/>
        </w:rPr>
        <w:t>。這些機率值是透過對模型的原始輸出</w:t>
      </w:r>
      <w:r w:rsidRPr="004C72CF">
        <w:rPr>
          <w:rFonts w:eastAsia="標楷體"/>
        </w:rPr>
        <w:t xml:space="preserve">logits </w:t>
      </w:r>
      <w:r w:rsidRPr="004C72CF">
        <w:rPr>
          <w:rFonts w:eastAsia="標楷體"/>
        </w:rPr>
        <w:t>進行</w:t>
      </w:r>
      <w:r w:rsidRPr="004C72CF">
        <w:rPr>
          <w:rFonts w:eastAsia="標楷體"/>
        </w:rPr>
        <w:t xml:space="preserve"> </w:t>
      </w:r>
      <m:oMath>
        <m:r>
          <w:rPr>
            <w:rFonts w:ascii="Cambria Math" w:eastAsia="標楷體" w:hAnsi="Cambria Math"/>
          </w:rPr>
          <m:t>softmax</m:t>
        </m:r>
      </m:oMath>
      <w:r w:rsidRPr="004C72CF">
        <w:rPr>
          <w:rFonts w:eastAsia="標楷體"/>
        </w:rPr>
        <w:t xml:space="preserve"> </w:t>
      </w:r>
      <w:r w:rsidRPr="004C72CF">
        <w:rPr>
          <w:rFonts w:eastAsia="標楷體"/>
        </w:rPr>
        <w:t>歸一化得到的</w:t>
      </w:r>
      <w:r w:rsidRPr="004C72CF">
        <w:rPr>
          <w:rFonts w:eastAsia="標楷體"/>
        </w:rPr>
        <w:t xml:space="preserve"> </w:t>
      </w:r>
      <w:r w:rsidRPr="004C72CF">
        <w:rPr>
          <w:rFonts w:eastAsia="標楷體"/>
        </w:rPr>
        <w:t>。然而，</w:t>
      </w:r>
      <m:oMath>
        <m:r>
          <w:rPr>
            <w:rFonts w:ascii="Cambria Math" w:eastAsia="標楷體" w:hAnsi="Cambria Math"/>
          </w:rPr>
          <m:t>softmax</m:t>
        </m:r>
      </m:oMath>
      <w:r w:rsidRPr="004C72CF">
        <w:rPr>
          <w:rFonts w:eastAsia="標楷體"/>
        </w:rPr>
        <w:t>函數本身存在著「過度自信</w:t>
      </w:r>
      <w:r w:rsidRPr="004C72CF">
        <w:rPr>
          <w:rFonts w:eastAsia="標楷體"/>
        </w:rPr>
        <w:t xml:space="preserve"> (overconfidence)</w:t>
      </w:r>
      <w:r w:rsidRPr="004C72CF">
        <w:rPr>
          <w:rFonts w:eastAsia="標楷體"/>
        </w:rPr>
        <w:t>」的缺陷，容易將機率分佈推</w:t>
      </w:r>
      <w:r w:rsidRPr="004C72CF">
        <w:rPr>
          <w:rFonts w:eastAsia="標楷體"/>
        </w:rPr>
        <w:t>向極端，從而壓縮了不同音素之間的區分度，使得一些細微的發音偏差難以被偵測</w:t>
      </w:r>
      <w:r w:rsidRPr="004C72CF">
        <w:rPr>
          <w:rFonts w:eastAsia="標楷體"/>
        </w:rPr>
        <w:t xml:space="preserve"> </w:t>
      </w:r>
      <w:r w:rsidRPr="004C72CF">
        <w:rPr>
          <w:rFonts w:eastAsia="標楷體"/>
        </w:rPr>
        <w:t>。</w:t>
      </w:r>
    </w:p>
    <w:p w14:paraId="3AB8DD0F" w14:textId="7EC5207D" w:rsidR="00BB2266" w:rsidRPr="004C72CF" w:rsidRDefault="00BB2266" w:rsidP="00BB2266">
      <w:pPr>
        <w:pStyle w:val="ACLText"/>
        <w:rPr>
          <w:rFonts w:eastAsia="標楷體"/>
        </w:rPr>
      </w:pPr>
      <w:r w:rsidRPr="004C72CF">
        <w:rPr>
          <w:rFonts w:eastAsia="標楷體"/>
        </w:rPr>
        <w:t>為了解決</w:t>
      </w:r>
      <m:oMath>
        <m:r>
          <w:rPr>
            <w:rFonts w:ascii="Cambria Math" w:eastAsia="標楷體" w:hAnsi="Cambria Math"/>
          </w:rPr>
          <m:t xml:space="preserve"> softmax</m:t>
        </m:r>
      </m:oMath>
      <w:r w:rsidRPr="004C72CF">
        <w:rPr>
          <w:rFonts w:eastAsia="標楷體"/>
        </w:rPr>
        <w:t xml:space="preserve"> </w:t>
      </w:r>
      <w:r w:rsidRPr="004C72CF">
        <w:rPr>
          <w:rFonts w:eastAsia="標楷體"/>
        </w:rPr>
        <w:t>歸一化的限制，</w:t>
      </w:r>
      <w:r w:rsidRPr="004C72CF">
        <w:rPr>
          <w:rFonts w:eastAsia="標楷體"/>
        </w:rPr>
        <w:t>Parikh et al. (2025)</w:t>
      </w:r>
      <w:r w:rsidRPr="004C72CF">
        <w:rPr>
          <w:rFonts w:eastAsia="標楷體"/>
        </w:rPr>
        <w:t>的研究開創性地提出直接使用未經處理的</w:t>
      </w:r>
      <w:r w:rsidRPr="004C72CF">
        <w:rPr>
          <w:rFonts w:eastAsia="標楷體"/>
        </w:rPr>
        <w:t xml:space="preserve">logits </w:t>
      </w:r>
      <w:r w:rsidRPr="004C72CF">
        <w:rPr>
          <w:rFonts w:eastAsia="標楷體"/>
        </w:rPr>
        <w:t>來計算</w:t>
      </w:r>
      <w:r w:rsidRPr="004C72CF">
        <w:rPr>
          <w:rFonts w:eastAsia="標楷體"/>
        </w:rPr>
        <w:t xml:space="preserve"> GOP </w:t>
      </w:r>
      <w:r w:rsidRPr="004C72CF">
        <w:rPr>
          <w:rFonts w:eastAsia="標楷體"/>
        </w:rPr>
        <w:t>分數。相較於機率值，</w:t>
      </w:r>
      <w:r w:rsidRPr="004C72CF">
        <w:rPr>
          <w:rFonts w:eastAsia="標楷體"/>
        </w:rPr>
        <w:t xml:space="preserve">logits </w:t>
      </w:r>
      <w:r w:rsidRPr="004C72CF">
        <w:rPr>
          <w:rFonts w:eastAsia="標楷體"/>
        </w:rPr>
        <w:t>保留了更豐富的鑑別資訊，並且避免了梯度飽和問題</w:t>
      </w:r>
      <w:r w:rsidRPr="004C72CF">
        <w:rPr>
          <w:rFonts w:eastAsia="標楷體"/>
        </w:rPr>
        <w:t xml:space="preserve"> </w:t>
      </w:r>
      <w:r w:rsidRPr="004C72CF">
        <w:rPr>
          <w:rFonts w:eastAsia="標楷體"/>
        </w:rPr>
        <w:t>。該研究探索了幾種基於</w:t>
      </w:r>
      <w:r w:rsidRPr="004C72CF">
        <w:rPr>
          <w:rFonts w:eastAsia="標楷體"/>
          <w:lang w:val="de-DE"/>
        </w:rPr>
        <w:t xml:space="preserve">logit </w:t>
      </w:r>
      <w:r w:rsidRPr="004C72CF">
        <w:rPr>
          <w:rFonts w:eastAsia="標楷體"/>
        </w:rPr>
        <w:t>的指標</w:t>
      </w:r>
      <w:r w:rsidRPr="004C72CF">
        <w:rPr>
          <w:rFonts w:eastAsia="標楷體"/>
          <w:lang w:val="de-DE"/>
        </w:rPr>
        <w:t>，</w:t>
      </w:r>
      <w:r w:rsidRPr="004C72CF">
        <w:rPr>
          <w:rFonts w:eastAsia="標楷體"/>
        </w:rPr>
        <w:t>例如最大</w:t>
      </w:r>
      <w:r w:rsidRPr="004C72CF">
        <w:rPr>
          <w:rFonts w:eastAsia="標楷體"/>
          <w:lang w:val="de-DE"/>
        </w:rPr>
        <w:t xml:space="preserve"> Logit (</w:t>
      </w:r>
      <m:oMath>
        <m:sSub>
          <m:sSubPr>
            <m:ctrlPr>
              <w:rPr>
                <w:rFonts w:ascii="Cambria Math" w:eastAsia="標楷體" w:hAnsi="Cambria Math"/>
                <w:i/>
              </w:rPr>
            </m:ctrlPr>
          </m:sSubPr>
          <m:e>
            <m:r>
              <w:rPr>
                <w:rFonts w:ascii="Cambria Math" w:eastAsia="標楷體" w:hAnsi="Cambria Math"/>
              </w:rPr>
              <m:t>GOP</m:t>
            </m:r>
          </m:e>
          <m:sub>
            <m:r>
              <w:rPr>
                <w:rFonts w:ascii="Cambria Math" w:eastAsia="標楷體" w:hAnsi="Cambria Math"/>
              </w:rPr>
              <m:t>MaxLogit</m:t>
            </m:r>
          </m:sub>
        </m:sSub>
      </m:oMath>
      <w:r w:rsidRPr="004C72CF">
        <w:rPr>
          <w:rFonts w:eastAsia="標楷體"/>
          <w:lang w:val="de-DE"/>
        </w:rPr>
        <w:t xml:space="preserve">) </w:t>
      </w:r>
      <w:r w:rsidRPr="004C72CF">
        <w:rPr>
          <w:rFonts w:eastAsia="標楷體"/>
          <w:lang w:val="de-DE"/>
        </w:rPr>
        <w:t>，</w:t>
      </w:r>
      <w:r w:rsidRPr="004C72CF">
        <w:rPr>
          <w:rFonts w:eastAsia="標楷體"/>
        </w:rPr>
        <w:t>用以捕捉模型的峰值信心</w:t>
      </w:r>
      <w:r w:rsidRPr="004C72CF">
        <w:rPr>
          <w:rFonts w:eastAsia="標楷體"/>
          <w:lang w:val="de-DE"/>
        </w:rPr>
        <w:t>；</w:t>
      </w:r>
      <w:r w:rsidRPr="004C72CF">
        <w:rPr>
          <w:rFonts w:eastAsia="標楷體"/>
          <w:lang w:val="de-DE"/>
        </w:rPr>
        <w:t xml:space="preserve">Logit </w:t>
      </w:r>
      <w:r w:rsidRPr="004C72CF">
        <w:rPr>
          <w:rFonts w:eastAsia="標楷體"/>
        </w:rPr>
        <w:t>邊界</w:t>
      </w:r>
      <w:r w:rsidRPr="004C72CF">
        <w:rPr>
          <w:rFonts w:eastAsia="標楷體"/>
          <w:lang w:val="de-DE"/>
        </w:rPr>
        <w:t xml:space="preserve"> (</w:t>
      </w:r>
      <m:oMath>
        <m:sSub>
          <m:sSubPr>
            <m:ctrlPr>
              <w:rPr>
                <w:rFonts w:ascii="Cambria Math" w:eastAsia="標楷體" w:hAnsi="Cambria Math"/>
                <w:i/>
              </w:rPr>
            </m:ctrlPr>
          </m:sSubPr>
          <m:e>
            <m:r>
              <w:rPr>
                <w:rFonts w:ascii="Cambria Math" w:eastAsia="標楷體" w:hAnsi="Cambria Math"/>
              </w:rPr>
              <m:t>GOP</m:t>
            </m:r>
          </m:e>
          <m:sub>
            <m:r>
              <w:rPr>
                <w:rFonts w:ascii="Cambria Math" w:eastAsia="標楷體" w:hAnsi="Cambria Math"/>
              </w:rPr>
              <m:t>margin</m:t>
            </m:r>
          </m:sub>
        </m:sSub>
      </m:oMath>
      <w:r w:rsidRPr="004C72CF">
        <w:rPr>
          <w:rFonts w:eastAsia="標楷體"/>
          <w:lang w:val="de-DE"/>
        </w:rPr>
        <w:t xml:space="preserve">) </w:t>
      </w:r>
      <w:r w:rsidRPr="004C72CF">
        <w:rPr>
          <w:rFonts w:eastAsia="標楷體"/>
          <w:lang w:val="de-DE"/>
        </w:rPr>
        <w:t>，</w:t>
      </w:r>
      <w:r w:rsidRPr="004C72CF">
        <w:rPr>
          <w:rFonts w:eastAsia="標楷體"/>
        </w:rPr>
        <w:t>用以量化目標音素與其最主要競爭者之間的分離程度</w:t>
      </w:r>
      <w:r w:rsidRPr="004C72CF">
        <w:rPr>
          <w:rFonts w:eastAsia="標楷體"/>
          <w:lang w:val="de-DE"/>
        </w:rPr>
        <w:t>；</w:t>
      </w:r>
      <w:r w:rsidRPr="004C72CF">
        <w:rPr>
          <w:rFonts w:eastAsia="標楷體"/>
        </w:rPr>
        <w:t>以及</w:t>
      </w:r>
      <w:r w:rsidRPr="004C72CF">
        <w:rPr>
          <w:rFonts w:eastAsia="標楷體"/>
          <w:lang w:val="de-DE"/>
        </w:rPr>
        <w:t xml:space="preserve">Logit </w:t>
      </w:r>
      <w:r w:rsidRPr="004C72CF">
        <w:rPr>
          <w:rFonts w:eastAsia="標楷體"/>
        </w:rPr>
        <w:t>變異數</w:t>
      </w:r>
      <w:r w:rsidRPr="004C72CF">
        <w:rPr>
          <w:rFonts w:eastAsia="標楷體"/>
          <w:lang w:val="de-DE"/>
        </w:rPr>
        <w:t xml:space="preserve"> </w:t>
      </w:r>
      <w:r w:rsidR="00EB66E2">
        <w:rPr>
          <w:rFonts w:eastAsia="標楷體" w:hint="eastAsia"/>
          <w:lang w:val="de-DE" w:eastAsia="zh-TW"/>
        </w:rPr>
        <w:t>(</w:t>
      </w:r>
      <m:oMath>
        <m:sSub>
          <m:sSubPr>
            <m:ctrlPr>
              <w:rPr>
                <w:rFonts w:ascii="Cambria Math" w:eastAsia="標楷體" w:hAnsi="Cambria Math"/>
                <w:i/>
                <w:lang w:val="de-DE"/>
              </w:rPr>
            </m:ctrlPr>
          </m:sSubPr>
          <m:e>
            <m:r>
              <w:rPr>
                <w:rFonts w:ascii="Cambria Math" w:eastAsia="標楷體" w:hAnsi="Cambria Math"/>
                <w:lang w:val="de-DE"/>
              </w:rPr>
              <m:t>GOP</m:t>
            </m:r>
          </m:e>
          <m:sub>
            <m:r>
              <w:rPr>
                <w:rFonts w:ascii="Cambria Math" w:eastAsia="標楷體" w:hAnsi="Cambria Math"/>
                <w:lang w:val="de-DE" w:eastAsia="zh-TW"/>
              </w:rPr>
              <m:t>VarLogit</m:t>
            </m:r>
          </m:sub>
        </m:sSub>
      </m:oMath>
      <w:r w:rsidR="00EB66E2" w:rsidRPr="004C72CF">
        <w:rPr>
          <w:rFonts w:eastAsia="標楷體"/>
          <w:lang w:val="de-DE"/>
        </w:rPr>
        <w:t xml:space="preserve"> </w:t>
      </w:r>
      <w:r w:rsidRPr="004C72CF">
        <w:rPr>
          <w:rFonts w:eastAsia="標楷體"/>
          <w:lang w:val="de-DE"/>
        </w:rPr>
        <w:t xml:space="preserve">) </w:t>
      </w:r>
      <w:r w:rsidRPr="004C72CF">
        <w:rPr>
          <w:rFonts w:eastAsia="標楷體"/>
          <w:lang w:val="de-DE"/>
        </w:rPr>
        <w:t>，</w:t>
      </w:r>
      <w:r w:rsidRPr="004C72CF">
        <w:rPr>
          <w:rFonts w:eastAsia="標楷體"/>
        </w:rPr>
        <w:t>用以衡量模型信心的穩定性。他們的實驗證明，在多數情況下，</w:t>
      </w:r>
      <w:r w:rsidRPr="004C72CF">
        <w:rPr>
          <w:rFonts w:eastAsia="標楷體"/>
        </w:rPr>
        <w:t xml:space="preserve">logit-based </w:t>
      </w:r>
      <w:r w:rsidRPr="004C72CF">
        <w:rPr>
          <w:rFonts w:eastAsia="標楷體"/>
        </w:rPr>
        <w:t>的方法在發音錯誤檢測的分類任務上優於傳統的機率方法</w:t>
      </w:r>
      <w:r w:rsidRPr="004C72CF">
        <w:rPr>
          <w:rFonts w:eastAsia="標楷體"/>
        </w:rPr>
        <w:t xml:space="preserve"> </w:t>
      </w:r>
      <w:r w:rsidRPr="004C72CF">
        <w:rPr>
          <w:rFonts w:eastAsia="標楷體"/>
        </w:rPr>
        <w:t>。</w:t>
      </w:r>
    </w:p>
    <w:p w14:paraId="61056A3B" w14:textId="77777777" w:rsidR="00BB2266" w:rsidRPr="004C72CF" w:rsidRDefault="00BB2266" w:rsidP="00BB2266">
      <w:pPr>
        <w:pStyle w:val="ACLText"/>
        <w:rPr>
          <w:rFonts w:eastAsia="標楷體"/>
        </w:rPr>
      </w:pPr>
      <w:r w:rsidRPr="004C72CF">
        <w:rPr>
          <w:rFonts w:eastAsia="標楷體"/>
        </w:rPr>
        <w:t>儘管</w:t>
      </w:r>
      <w:r w:rsidRPr="004C72CF">
        <w:rPr>
          <w:rFonts w:eastAsia="標楷體"/>
        </w:rPr>
        <w:t xml:space="preserve"> Parikh et al. </w:t>
      </w:r>
      <w:r w:rsidRPr="004C72CF">
        <w:rPr>
          <w:rFonts w:eastAsia="標楷體"/>
        </w:rPr>
        <w:t>的研究為</w:t>
      </w:r>
      <w:r w:rsidRPr="004C72CF">
        <w:rPr>
          <w:rFonts w:eastAsia="標楷體"/>
        </w:rPr>
        <w:t xml:space="preserve"> GOP </w:t>
      </w:r>
      <w:r w:rsidRPr="004C72CF">
        <w:rPr>
          <w:rFonts w:eastAsia="標楷體"/>
        </w:rPr>
        <w:t>計算開闢了新的方向，但我們認為，他們所使用的方法仍有其侷限性。這些指標主要依賴</w:t>
      </w:r>
      <w:r w:rsidRPr="004C72CF">
        <w:rPr>
          <w:rFonts w:eastAsia="標楷體"/>
        </w:rPr>
        <w:t xml:space="preserve"> logit </w:t>
      </w:r>
      <w:r w:rsidRPr="004C72CF">
        <w:rPr>
          <w:rFonts w:eastAsia="標楷體"/>
        </w:rPr>
        <w:t>序列的單點統計量</w:t>
      </w:r>
      <w:r w:rsidRPr="004C72CF">
        <w:rPr>
          <w:rFonts w:eastAsia="標楷體"/>
        </w:rPr>
        <w:t xml:space="preserve"> (</w:t>
      </w:r>
      <w:r w:rsidRPr="004C72CF">
        <w:rPr>
          <w:rFonts w:eastAsia="標楷體"/>
        </w:rPr>
        <w:t>如最大值</w:t>
      </w:r>
      <w:r w:rsidRPr="004C72CF">
        <w:rPr>
          <w:rFonts w:eastAsia="標楷體"/>
        </w:rPr>
        <w:t xml:space="preserve">) </w:t>
      </w:r>
      <w:r w:rsidRPr="004C72CF">
        <w:rPr>
          <w:rFonts w:eastAsia="標楷體"/>
        </w:rPr>
        <w:t>或一階動差</w:t>
      </w:r>
      <w:r w:rsidRPr="004C72CF">
        <w:rPr>
          <w:rFonts w:eastAsia="標楷體"/>
        </w:rPr>
        <w:t xml:space="preserve"> (</w:t>
      </w:r>
      <w:r w:rsidRPr="004C72CF">
        <w:rPr>
          <w:rFonts w:eastAsia="標楷體"/>
        </w:rPr>
        <w:t>如均值、變異數</w:t>
      </w:r>
      <w:r w:rsidRPr="004C72CF">
        <w:rPr>
          <w:rFonts w:eastAsia="標楷體"/>
        </w:rPr>
        <w:t>)</w:t>
      </w:r>
      <w:r w:rsidRPr="004C72CF">
        <w:rPr>
          <w:rFonts w:eastAsia="標楷體"/>
        </w:rPr>
        <w:t>。這相當於將一個音素在持續時間內的</w:t>
      </w:r>
      <w:r w:rsidRPr="004C72CF">
        <w:rPr>
          <w:rFonts w:eastAsia="標楷體"/>
        </w:rPr>
        <w:t xml:space="preserve"> logit </w:t>
      </w:r>
      <w:r w:rsidRPr="004C72CF">
        <w:rPr>
          <w:rFonts w:eastAsia="標楷體"/>
        </w:rPr>
        <w:t>變化視為一組無序的數字集合，忽略了其作為時間序列的內在結構以及其統計分佈的完整「形狀」。一個發音的過程是連續且動態的，其對應的</w:t>
      </w:r>
      <w:r w:rsidRPr="004C72CF">
        <w:rPr>
          <w:rFonts w:eastAsia="標楷體"/>
        </w:rPr>
        <w:t xml:space="preserve"> logit </w:t>
      </w:r>
      <w:r w:rsidRPr="004C72CF">
        <w:rPr>
          <w:rFonts w:eastAsia="標楷體"/>
        </w:rPr>
        <w:t>序列在時間維度上的穩定性、對稱性與峰銳度，理應蘊含著關於發音品質的更深層線索。</w:t>
      </w:r>
    </w:p>
    <w:p w14:paraId="45EE2519" w14:textId="77777777" w:rsidR="00BB2266" w:rsidRPr="004C72CF" w:rsidRDefault="00BB2266" w:rsidP="00BB2266">
      <w:pPr>
        <w:pStyle w:val="ACLText"/>
        <w:rPr>
          <w:rFonts w:eastAsia="標楷體"/>
          <w:lang w:eastAsia="zh-TW"/>
        </w:rPr>
      </w:pPr>
      <w:r w:rsidRPr="004C72CF">
        <w:rPr>
          <w:rFonts w:eastAsia="標楷體"/>
        </w:rPr>
        <w:t>基於此觀點，本研究旨在「超越均值與變異數」，提出一套更為全面且多面向的</w:t>
      </w:r>
      <w:r w:rsidRPr="004C72CF">
        <w:rPr>
          <w:rFonts w:eastAsia="標楷體"/>
        </w:rPr>
        <w:t xml:space="preserve"> logit </w:t>
      </w:r>
      <w:r w:rsidRPr="004C72CF">
        <w:rPr>
          <w:rFonts w:eastAsia="標楷體"/>
        </w:rPr>
        <w:t>序列統計分析法。</w:t>
      </w:r>
      <w:r w:rsidRPr="004C72CF">
        <w:rPr>
          <w:rFonts w:eastAsia="標楷體"/>
        </w:rPr>
        <w:t xml:space="preserve"> </w:t>
      </w:r>
      <w:r w:rsidRPr="004C72CF">
        <w:rPr>
          <w:rFonts w:eastAsia="標楷體"/>
        </w:rPr>
        <w:t>我們不再僅僅滿足於</w:t>
      </w:r>
      <w:r w:rsidRPr="004C72CF">
        <w:rPr>
          <w:rFonts w:eastAsia="標楷體"/>
        </w:rPr>
        <w:t xml:space="preserve"> logit </w:t>
      </w:r>
      <w:r w:rsidRPr="004C72CF">
        <w:rPr>
          <w:rFonts w:eastAsia="標楷體"/>
        </w:rPr>
        <w:t>的基本統計量，而是將其視為一個完整的統計分佈和時間序列來進行建模。我們系統性地引入了五類能夠從不同維度描述該序列特性的高階統計指標，包括：</w:t>
      </w:r>
    </w:p>
    <w:p w14:paraId="6CFD3362" w14:textId="6CAF9370" w:rsidR="00BB2266" w:rsidRPr="004C72CF" w:rsidRDefault="00BB2266" w:rsidP="00B65AE3">
      <w:pPr>
        <w:pStyle w:val="ACLText"/>
        <w:numPr>
          <w:ilvl w:val="0"/>
          <w:numId w:val="31"/>
        </w:numPr>
        <w:rPr>
          <w:rFonts w:eastAsia="標楷體"/>
        </w:rPr>
      </w:pPr>
      <w:r w:rsidRPr="004C72CF">
        <w:rPr>
          <w:rFonts w:eastAsia="標楷體"/>
        </w:rPr>
        <w:lastRenderedPageBreak/>
        <w:t>分佈形狀特徵：透過計算偏度</w:t>
      </w:r>
      <w:r w:rsidRPr="004C72CF">
        <w:rPr>
          <w:rFonts w:eastAsia="標楷體"/>
        </w:rPr>
        <w:t xml:space="preserve"> (</w:t>
      </w:r>
      <m:oMath>
        <m:r>
          <w:rPr>
            <w:rFonts w:ascii="Cambria Math" w:eastAsia="標楷體" w:hAnsi="Cambria Math"/>
          </w:rPr>
          <m:t>skewness</m:t>
        </m:r>
      </m:oMath>
      <w:r w:rsidRPr="004C72CF">
        <w:rPr>
          <w:rFonts w:eastAsia="標楷體"/>
        </w:rPr>
        <w:t xml:space="preserve">) </w:t>
      </w:r>
      <w:r w:rsidRPr="004C72CF">
        <w:rPr>
          <w:rFonts w:eastAsia="標楷體"/>
        </w:rPr>
        <w:t>與峰度</w:t>
      </w:r>
      <w:r w:rsidRPr="004C72CF">
        <w:rPr>
          <w:rFonts w:eastAsia="標楷體"/>
        </w:rPr>
        <w:t xml:space="preserve"> (</w:t>
      </w:r>
      <m:oMath>
        <m:r>
          <w:rPr>
            <w:rFonts w:ascii="Cambria Math" w:eastAsia="標楷體" w:hAnsi="Cambria Math"/>
          </w:rPr>
          <m:t>kurtosis</m:t>
        </m:r>
      </m:oMath>
      <w:r w:rsidRPr="004C72CF">
        <w:rPr>
          <w:rFonts w:eastAsia="標楷體"/>
        </w:rPr>
        <w:t xml:space="preserve">) </w:t>
      </w:r>
      <w:r w:rsidRPr="004C72CF">
        <w:rPr>
          <w:rFonts w:eastAsia="標楷體"/>
        </w:rPr>
        <w:t>來捕捉</w:t>
      </w:r>
      <w:r w:rsidRPr="004C72CF">
        <w:rPr>
          <w:rFonts w:eastAsia="標楷體"/>
        </w:rPr>
        <w:t xml:space="preserve"> logit </w:t>
      </w:r>
      <w:r w:rsidRPr="004C72CF">
        <w:rPr>
          <w:rFonts w:eastAsia="標楷體"/>
        </w:rPr>
        <w:t>分佈的不對稱性與集中趨勢。</w:t>
      </w:r>
    </w:p>
    <w:p w14:paraId="48A92C8A" w14:textId="0282560C" w:rsidR="00BB2266" w:rsidRPr="004C72CF" w:rsidRDefault="00BB2266" w:rsidP="00B65AE3">
      <w:pPr>
        <w:pStyle w:val="ACLText"/>
        <w:numPr>
          <w:ilvl w:val="0"/>
          <w:numId w:val="31"/>
        </w:numPr>
        <w:rPr>
          <w:rFonts w:eastAsia="標楷體"/>
        </w:rPr>
      </w:pPr>
      <w:r w:rsidRPr="004C72CF">
        <w:rPr>
          <w:rFonts w:eastAsia="標楷體"/>
        </w:rPr>
        <w:t>資訊理論特徵：利用資訊熵</w:t>
      </w:r>
      <w:r w:rsidRPr="004C72CF">
        <w:rPr>
          <w:rFonts w:eastAsia="標楷體"/>
        </w:rPr>
        <w:t xml:space="preserve"> (</w:t>
      </w:r>
      <m:oMath>
        <m:r>
          <w:rPr>
            <w:rFonts w:ascii="Cambria Math" w:eastAsia="標楷體" w:hAnsi="Cambria Math"/>
          </w:rPr>
          <m:t>entropy</m:t>
        </m:r>
      </m:oMath>
      <w:r w:rsidRPr="004C72CF">
        <w:rPr>
          <w:rFonts w:eastAsia="標楷體"/>
        </w:rPr>
        <w:t xml:space="preserve">) </w:t>
      </w:r>
      <w:r w:rsidRPr="004C72CF">
        <w:rPr>
          <w:rFonts w:eastAsia="標楷體"/>
        </w:rPr>
        <w:t>來量化模型在預測時的不確定性。</w:t>
      </w:r>
    </w:p>
    <w:p w14:paraId="1D1E8061" w14:textId="6F7B0ACE" w:rsidR="00BB2266" w:rsidRPr="004C72CF" w:rsidRDefault="00BB2266" w:rsidP="00B65AE3">
      <w:pPr>
        <w:pStyle w:val="ACLText"/>
        <w:numPr>
          <w:ilvl w:val="0"/>
          <w:numId w:val="31"/>
        </w:numPr>
        <w:rPr>
          <w:rFonts w:eastAsia="標楷體"/>
        </w:rPr>
      </w:pPr>
      <w:r w:rsidRPr="004C72CF">
        <w:rPr>
          <w:rFonts w:eastAsia="標楷體"/>
        </w:rPr>
        <w:t>時序穩定性特徵：計算自相關係數</w:t>
      </w:r>
      <w:r w:rsidRPr="004C72CF">
        <w:rPr>
          <w:rFonts w:eastAsia="標楷體"/>
        </w:rPr>
        <w:t xml:space="preserve"> (</w:t>
      </w:r>
      <m:oMath>
        <m:r>
          <w:rPr>
            <w:rFonts w:ascii="Cambria Math" w:eastAsia="標楷體" w:hAnsi="Cambria Math"/>
          </w:rPr>
          <m:t>autocorrelation</m:t>
        </m:r>
      </m:oMath>
      <w:r w:rsidRPr="004C72CF">
        <w:rPr>
          <w:rFonts w:eastAsia="標楷體"/>
        </w:rPr>
        <w:t xml:space="preserve">) </w:t>
      </w:r>
      <w:r w:rsidRPr="004C72CF">
        <w:rPr>
          <w:rFonts w:eastAsia="標楷體"/>
        </w:rPr>
        <w:t>來衡量</w:t>
      </w:r>
      <w:r w:rsidRPr="004C72CF">
        <w:rPr>
          <w:rFonts w:eastAsia="標楷體"/>
        </w:rPr>
        <w:t xml:space="preserve"> logit </w:t>
      </w:r>
      <w:r w:rsidRPr="004C72CF">
        <w:rPr>
          <w:rFonts w:eastAsia="標楷體"/>
        </w:rPr>
        <w:t>序列隨時間變化的平滑程度。</w:t>
      </w:r>
    </w:p>
    <w:p w14:paraId="362FBF56" w14:textId="501DF980" w:rsidR="00BB2266" w:rsidRPr="004C72CF" w:rsidRDefault="00BB2266" w:rsidP="00B65AE3">
      <w:pPr>
        <w:pStyle w:val="ACLText"/>
        <w:numPr>
          <w:ilvl w:val="0"/>
          <w:numId w:val="31"/>
        </w:numPr>
        <w:rPr>
          <w:rFonts w:eastAsia="標楷體"/>
        </w:rPr>
      </w:pPr>
      <w:r w:rsidRPr="004C72CF">
        <w:rPr>
          <w:rFonts w:eastAsia="標楷體"/>
        </w:rPr>
        <w:t>分佈擬合特徵：採用高斯混合模型</w:t>
      </w:r>
      <w:r w:rsidRPr="004C72CF">
        <w:rPr>
          <w:rFonts w:eastAsia="標楷體"/>
        </w:rPr>
        <w:t xml:space="preserve"> (</w:t>
      </w:r>
      <m:oMath>
        <m:r>
          <w:rPr>
            <w:rFonts w:ascii="Cambria Math" w:eastAsia="標楷體" w:hAnsi="Cambria Math"/>
          </w:rPr>
          <m:t>GMM</m:t>
        </m:r>
      </m:oMath>
      <w:r w:rsidRPr="004C72CF">
        <w:rPr>
          <w:rFonts w:eastAsia="標楷體"/>
        </w:rPr>
        <w:t xml:space="preserve">) </w:t>
      </w:r>
      <w:r w:rsidRPr="004C72CF">
        <w:rPr>
          <w:rFonts w:eastAsia="標楷體"/>
        </w:rPr>
        <w:t>來建模</w:t>
      </w:r>
      <w:r w:rsidRPr="004C72CF">
        <w:rPr>
          <w:rFonts w:eastAsia="標楷體"/>
        </w:rPr>
        <w:t xml:space="preserve"> logit </w:t>
      </w:r>
      <w:r w:rsidRPr="004C72CF">
        <w:rPr>
          <w:rFonts w:eastAsia="標楷體"/>
        </w:rPr>
        <w:t>序列可能存在的多模態特性。</w:t>
      </w:r>
    </w:p>
    <w:p w14:paraId="60CC25A0" w14:textId="77777777" w:rsidR="00BB2266" w:rsidRPr="004C72CF" w:rsidRDefault="00BB2266" w:rsidP="00B65AE3">
      <w:pPr>
        <w:pStyle w:val="ACLText"/>
        <w:numPr>
          <w:ilvl w:val="0"/>
          <w:numId w:val="31"/>
        </w:numPr>
        <w:rPr>
          <w:rFonts w:eastAsia="標楷體"/>
        </w:rPr>
      </w:pPr>
      <w:r w:rsidRPr="004C72CF">
        <w:rPr>
          <w:rFonts w:eastAsia="標楷體"/>
        </w:rPr>
        <w:t>峰值穩健性特徵：透過極值理論中的</w:t>
      </w:r>
      <w:r w:rsidRPr="004C72CF">
        <w:rPr>
          <w:rFonts w:eastAsia="標楷體"/>
        </w:rPr>
        <w:t xml:space="preserve"> top-k </w:t>
      </w:r>
      <w:r w:rsidRPr="004C72CF">
        <w:rPr>
          <w:rFonts w:eastAsia="標楷體"/>
        </w:rPr>
        <w:t>平均值來取代單一最大值，以獲得更可靠的峰值信心度。</w:t>
      </w:r>
    </w:p>
    <w:p w14:paraId="7D125DCA" w14:textId="5C11FC22" w:rsidR="00387E4F" w:rsidRPr="009266A0" w:rsidRDefault="00BB2266" w:rsidP="00BB2266">
      <w:pPr>
        <w:pStyle w:val="ACLText"/>
        <w:rPr>
          <w:rFonts w:eastAsia="標楷體"/>
        </w:rPr>
      </w:pPr>
      <w:r w:rsidRPr="004C72CF">
        <w:rPr>
          <w:rFonts w:eastAsia="標楷體"/>
        </w:rPr>
        <w:t>我們將在公開的</w:t>
      </w:r>
      <w:r w:rsidRPr="004C72CF">
        <w:rPr>
          <w:rFonts w:eastAsia="標楷體"/>
        </w:rPr>
        <w:t xml:space="preserve"> SpeechOcean762 </w:t>
      </w:r>
      <w:r w:rsidRPr="004C72CF">
        <w:rPr>
          <w:rFonts w:eastAsia="標楷體"/>
        </w:rPr>
        <w:t>資料集</w:t>
      </w:r>
      <w:r w:rsidRPr="004C72CF">
        <w:rPr>
          <w:rFonts w:eastAsia="標楷體"/>
        </w:rPr>
        <w:t xml:space="preserve"> </w:t>
      </w:r>
      <w:r w:rsidRPr="004C72CF">
        <w:rPr>
          <w:rFonts w:eastAsia="標楷體"/>
        </w:rPr>
        <w:t>上驗證這些新指標的有效性，並與</w:t>
      </w:r>
      <w:r w:rsidRPr="004C72CF">
        <w:rPr>
          <w:rFonts w:eastAsia="標楷體"/>
        </w:rPr>
        <w:t xml:space="preserve">Parikh et al. </w:t>
      </w:r>
      <w:r w:rsidRPr="004C72CF">
        <w:rPr>
          <w:rFonts w:eastAsia="標楷體"/>
        </w:rPr>
        <w:t>的基線方法進行深入比較。本研究期望能證明，透過對</w:t>
      </w:r>
      <w:r w:rsidRPr="004C72CF">
        <w:rPr>
          <w:rFonts w:eastAsia="標楷體"/>
        </w:rPr>
        <w:t xml:space="preserve"> logit </w:t>
      </w:r>
      <w:r w:rsidRPr="004C72CF">
        <w:rPr>
          <w:rFonts w:eastAsia="標楷體"/>
        </w:rPr>
        <w:t>序列進行更深層次的統計建模，我們能夠更精準地捕捉到發音的細微差異，從而為自動化發音評估技術開闢新的可能性。</w:t>
      </w:r>
    </w:p>
    <w:p w14:paraId="31456FB5" w14:textId="77777777" w:rsidR="00C1585C" w:rsidRPr="009266A0" w:rsidRDefault="00C1585C" w:rsidP="00C1585C">
      <w:pPr>
        <w:pStyle w:val="ACLTextFirstLine"/>
        <w:ind w:firstLine="0"/>
        <w:rPr>
          <w:rFonts w:eastAsia="標楷體"/>
        </w:rPr>
      </w:pPr>
    </w:p>
    <w:p w14:paraId="2A20396B" w14:textId="0AA357BF" w:rsidR="0087257A" w:rsidRPr="009266A0" w:rsidRDefault="004C72CF" w:rsidP="009704C1">
      <w:pPr>
        <w:pStyle w:val="ACLSection"/>
        <w:rPr>
          <w:rFonts w:eastAsia="標楷體"/>
        </w:rPr>
      </w:pPr>
      <w:r>
        <w:rPr>
          <w:rFonts w:eastAsia="標楷體" w:hint="eastAsia"/>
          <w:lang w:eastAsia="zh-TW"/>
        </w:rPr>
        <w:t>研究方法</w:t>
      </w:r>
    </w:p>
    <w:p w14:paraId="2237CC81" w14:textId="77777777" w:rsidR="004C72CF" w:rsidRPr="005E0170" w:rsidRDefault="004C72CF" w:rsidP="004C72CF">
      <w:pPr>
        <w:pStyle w:val="ACLText"/>
        <w:rPr>
          <w:rFonts w:eastAsia="標楷體"/>
        </w:rPr>
      </w:pPr>
      <w:r w:rsidRPr="005E0170">
        <w:rPr>
          <w:rFonts w:eastAsia="標楷體"/>
        </w:rPr>
        <w:t>本研究旨在透過對</w:t>
      </w:r>
      <w:r w:rsidRPr="005E0170">
        <w:rPr>
          <w:rFonts w:eastAsia="標楷體"/>
        </w:rPr>
        <w:t xml:space="preserve"> logit </w:t>
      </w:r>
      <w:r w:rsidRPr="005E0170">
        <w:rPr>
          <w:rFonts w:eastAsia="標楷體"/>
        </w:rPr>
        <w:t>序列進行更深層次的統計分析，來提升發音錯誤檢測的準確性。在本章節中，我們首先將簡要回顧作為我們比較基準的</w:t>
      </w:r>
      <w:r w:rsidRPr="005E0170">
        <w:rPr>
          <w:rFonts w:eastAsia="標楷體"/>
        </w:rPr>
        <w:t xml:space="preserve"> logit-based GOP </w:t>
      </w:r>
      <w:r w:rsidRPr="005E0170">
        <w:rPr>
          <w:rFonts w:eastAsia="標楷體"/>
        </w:rPr>
        <w:t>指標。接著，我們將詳細闡述本研究提出的五類多面向統計特徵，這些特徵旨在從分佈形狀、資訊量、時間穩定性等多個維度，更全面地捕捉發音的細微動態。</w:t>
      </w:r>
    </w:p>
    <w:p w14:paraId="7E3A8E07" w14:textId="20FB20AE" w:rsidR="004C72CF" w:rsidRPr="005E0170" w:rsidRDefault="000E5D69" w:rsidP="004C72CF">
      <w:pPr>
        <w:pStyle w:val="ACLText"/>
        <w:rPr>
          <w:rFonts w:eastAsia="標楷體"/>
        </w:rPr>
      </w:pPr>
      <w:r>
        <w:rPr>
          <w:rFonts w:eastAsia="標楷體" w:hint="eastAsia"/>
          <w:lang w:eastAsia="zh-TW"/>
        </w:rPr>
        <w:t>2</w:t>
      </w:r>
      <w:r w:rsidR="004C72CF" w:rsidRPr="005E0170">
        <w:rPr>
          <w:rFonts w:eastAsia="標楷體"/>
        </w:rPr>
        <w:t xml:space="preserve">.1. </w:t>
      </w:r>
      <w:r w:rsidR="004C72CF" w:rsidRPr="005E0170">
        <w:rPr>
          <w:rFonts w:eastAsia="標楷體"/>
        </w:rPr>
        <w:t>基線</w:t>
      </w:r>
      <w:r w:rsidR="004C72CF" w:rsidRPr="005E0170">
        <w:rPr>
          <w:rFonts w:eastAsia="標楷體"/>
        </w:rPr>
        <w:t xml:space="preserve"> </w:t>
      </w:r>
      <m:oMath>
        <m:r>
          <w:rPr>
            <w:rFonts w:ascii="Cambria Math" w:eastAsia="標楷體" w:hAnsi="Cambria Math"/>
          </w:rPr>
          <m:t>Logit-based GOP</m:t>
        </m:r>
      </m:oMath>
      <w:r w:rsidR="004C72CF" w:rsidRPr="005E0170">
        <w:rPr>
          <w:rFonts w:eastAsia="標楷體"/>
        </w:rPr>
        <w:t xml:space="preserve"> </w:t>
      </w:r>
      <w:r w:rsidR="004C72CF" w:rsidRPr="005E0170">
        <w:rPr>
          <w:rFonts w:eastAsia="標楷體"/>
        </w:rPr>
        <w:t>指標</w:t>
      </w:r>
      <w:r w:rsidR="004C72CF" w:rsidRPr="005E0170">
        <w:rPr>
          <w:rFonts w:eastAsia="標楷體"/>
        </w:rPr>
        <w:t xml:space="preserve"> (</w:t>
      </w:r>
      <m:oMath>
        <m:r>
          <w:rPr>
            <w:rFonts w:ascii="Cambria Math" w:eastAsia="標楷體" w:hAnsi="Cambria Math"/>
          </w:rPr>
          <m:t>Baseline Logit-based GOP Metrics</m:t>
        </m:r>
      </m:oMath>
      <w:r w:rsidR="004C72CF" w:rsidRPr="005E0170">
        <w:rPr>
          <w:rFonts w:eastAsia="標楷體"/>
        </w:rPr>
        <w:t>)</w:t>
      </w:r>
      <w:r w:rsidR="004C72CF" w:rsidRPr="005E0170">
        <w:rPr>
          <w:rFonts w:eastAsia="標楷體"/>
        </w:rPr>
        <w:t>我們選用</w:t>
      </w:r>
      <w:r w:rsidR="004C72CF" w:rsidRPr="005E0170">
        <w:rPr>
          <w:rFonts w:eastAsia="標楷體"/>
        </w:rPr>
        <w:t xml:space="preserve"> Parikh et al. (2025) </w:t>
      </w:r>
      <w:r w:rsidR="004C72CF" w:rsidRPr="005E0170">
        <w:rPr>
          <w:rFonts w:eastAsia="標楷體"/>
        </w:rPr>
        <w:t>所提出的主要</w:t>
      </w:r>
      <w:r w:rsidR="004C72CF" w:rsidRPr="005E0170">
        <w:rPr>
          <w:rFonts w:eastAsia="標楷體"/>
        </w:rPr>
        <w:t xml:space="preserve"> logit-</w:t>
      </w:r>
      <w:r w:rsidR="004C72CF" w:rsidRPr="005E0170">
        <w:rPr>
          <w:rFonts w:eastAsia="標楷體"/>
        </w:rPr>
        <w:t xml:space="preserve">based </w:t>
      </w:r>
      <w:r w:rsidR="004C72CF" w:rsidRPr="005E0170">
        <w:rPr>
          <w:rFonts w:eastAsia="標楷體"/>
        </w:rPr>
        <w:t>指標作為效能比較的基線。這些指標代表了當前</w:t>
      </w:r>
      <w:r w:rsidR="004C72CF" w:rsidRPr="005E0170">
        <w:rPr>
          <w:rFonts w:eastAsia="標楷體"/>
        </w:rPr>
        <w:t xml:space="preserve"> logit-based GOP </w:t>
      </w:r>
      <w:r w:rsidR="004C72CF" w:rsidRPr="005E0170">
        <w:rPr>
          <w:rFonts w:eastAsia="標楷體"/>
        </w:rPr>
        <w:t>方法的基礎。</w:t>
      </w:r>
    </w:p>
    <w:p w14:paraId="2767AA77" w14:textId="4436B2E2" w:rsidR="004C72CF" w:rsidRPr="005E0170" w:rsidRDefault="004C72CF" w:rsidP="004C72CF">
      <w:pPr>
        <w:pStyle w:val="ACLText"/>
        <w:rPr>
          <w:rFonts w:eastAsia="標楷體"/>
        </w:rPr>
      </w:pPr>
      <w:r w:rsidRPr="005E0170">
        <w:rPr>
          <w:rFonts w:eastAsia="標楷體"/>
        </w:rPr>
        <w:t>最大</w:t>
      </w:r>
      <w:r w:rsidRPr="005E0170">
        <w:rPr>
          <w:rFonts w:eastAsia="標楷體"/>
        </w:rPr>
        <w:t xml:space="preserve"> Logit (</w:t>
      </w:r>
      <m:oMath>
        <m:sSub>
          <m:sSubPr>
            <m:ctrlPr>
              <w:rPr>
                <w:rFonts w:ascii="Cambria Math" w:eastAsia="標楷體" w:hAnsi="Cambria Math"/>
                <w:i/>
              </w:rPr>
            </m:ctrlPr>
          </m:sSubPr>
          <m:e>
            <m:r>
              <w:rPr>
                <w:rFonts w:ascii="Cambria Math" w:eastAsia="標楷體" w:hAnsi="Cambria Math"/>
              </w:rPr>
              <m:t>GOP</m:t>
            </m:r>
          </m:e>
          <m:sub>
            <m:r>
              <w:rPr>
                <w:rFonts w:ascii="Cambria Math" w:eastAsia="標楷體" w:hAnsi="Cambria Math"/>
              </w:rPr>
              <m:t>MaxLogit</m:t>
            </m:r>
          </m:sub>
        </m:sSub>
      </m:oMath>
      <w:proofErr w:type="gramStart"/>
      <w:r w:rsidRPr="005E0170">
        <w:rPr>
          <w:rFonts w:eastAsia="標楷體"/>
        </w:rPr>
        <w:t>​)</w:t>
      </w:r>
      <w:r w:rsidRPr="005E0170">
        <w:rPr>
          <w:rFonts w:eastAsia="標楷體"/>
        </w:rPr>
        <w:t>：</w:t>
      </w:r>
      <w:proofErr w:type="gramEnd"/>
      <w:r w:rsidRPr="005E0170">
        <w:rPr>
          <w:rFonts w:eastAsia="標楷體"/>
        </w:rPr>
        <w:t>取音素對齊幀範圍內，目標音素</w:t>
      </w:r>
      <w:r w:rsidRPr="005E0170">
        <w:rPr>
          <w:rFonts w:eastAsia="標楷體"/>
        </w:rPr>
        <w:t xml:space="preserve"> p </w:t>
      </w:r>
      <w:r w:rsidRPr="005E0170">
        <w:rPr>
          <w:rFonts w:eastAsia="標楷體"/>
        </w:rPr>
        <w:t>的</w:t>
      </w:r>
      <w:r w:rsidRPr="005E0170">
        <w:rPr>
          <w:rFonts w:eastAsia="標楷體"/>
        </w:rPr>
        <w:t xml:space="preserve"> logit </w:t>
      </w:r>
      <w:r w:rsidRPr="005E0170">
        <w:rPr>
          <w:rFonts w:eastAsia="標楷體"/>
        </w:rPr>
        <w:t>序列</w:t>
      </w:r>
      <w:r w:rsidRPr="005E0170">
        <w:rPr>
          <w:rFonts w:eastAsia="標楷體"/>
        </w:rPr>
        <w:t xml:space="preserve"> </w:t>
      </w:r>
      <m:oMath>
        <m:sSubSup>
          <m:sSubSupPr>
            <m:ctrlPr>
              <w:rPr>
                <w:rFonts w:ascii="Cambria Math" w:eastAsia="標楷體" w:hAnsi="Cambria Math"/>
                <w:i/>
              </w:rPr>
            </m:ctrlPr>
          </m:sSubSupPr>
          <m:e>
            <m:r>
              <w:rPr>
                <w:rFonts w:ascii="Cambria Math" w:eastAsia="標楷體" w:hAnsi="Cambria Math"/>
              </w:rPr>
              <m:t>l</m:t>
            </m:r>
          </m:e>
          <m:sub>
            <m:r>
              <w:rPr>
                <w:rFonts w:ascii="Cambria Math" w:eastAsia="標楷體" w:hAnsi="Cambria Math"/>
              </w:rPr>
              <m:t>t</m:t>
            </m:r>
          </m:sub>
          <m:sup>
            <m:r>
              <w:rPr>
                <w:rFonts w:ascii="Cambria Math" w:eastAsia="標楷體" w:hAnsi="Cambria Math"/>
              </w:rPr>
              <m:t>(</m:t>
            </m:r>
            <m:r>
              <w:rPr>
                <w:rFonts w:ascii="Cambria Math" w:eastAsia="標楷體" w:hAnsi="Cambria Math"/>
                <w:lang w:eastAsia="zh-TW"/>
              </w:rPr>
              <m:t>p)</m:t>
            </m:r>
          </m:sup>
        </m:sSubSup>
      </m:oMath>
      <w:r w:rsidRPr="005E0170">
        <w:rPr>
          <w:rFonts w:eastAsia="標楷體"/>
        </w:rPr>
        <w:t xml:space="preserve">​ </w:t>
      </w:r>
      <w:r w:rsidRPr="005E0170">
        <w:rPr>
          <w:rFonts w:eastAsia="標楷體"/>
        </w:rPr>
        <w:t>中的最大值。此指標反映了模型在整個發音過程中所達到的最高信心水準。</w:t>
      </w:r>
    </w:p>
    <w:p w14:paraId="47A8DEF8" w14:textId="7070C0F0" w:rsidR="00EB66E2" w:rsidRPr="002307B1" w:rsidRDefault="00000000" w:rsidP="002307B1">
      <w:pPr>
        <w:pStyle w:val="ACLText"/>
        <w:jc w:val="left"/>
        <w:rPr>
          <w:rFonts w:eastAsia="標楷體"/>
          <w:lang w:eastAsia="zh-TW"/>
        </w:rPr>
      </w:pPr>
      <m:oMath>
        <m:sSub>
          <m:sSubPr>
            <m:ctrlPr>
              <w:rPr>
                <w:rFonts w:ascii="Cambria Math" w:eastAsia="標楷體" w:hAnsi="Cambria Math" w:cs="Cambria Math"/>
                <w:i/>
                <w:vertAlign w:val="subscript"/>
              </w:rPr>
            </m:ctrlPr>
          </m:sSubPr>
          <m:e>
            <m:r>
              <w:rPr>
                <w:rFonts w:ascii="Cambria Math" w:eastAsia="標楷體" w:hAnsi="Cambria Math" w:cs="Cambria Math"/>
                <w:vertAlign w:val="subscript"/>
              </w:rPr>
              <m:t>GOP</m:t>
            </m:r>
          </m:e>
          <m:sub>
            <m:r>
              <w:rPr>
                <w:rFonts w:ascii="Cambria Math" w:eastAsia="標楷體" w:hAnsi="Cambria Math" w:cs="Cambria Math"/>
                <w:vertAlign w:val="subscript"/>
              </w:rPr>
              <m:t>MaxLogit</m:t>
            </m:r>
          </m:sub>
        </m:sSub>
        <m:d>
          <m:dPr>
            <m:ctrlPr>
              <w:rPr>
                <w:rFonts w:ascii="Cambria Math" w:eastAsia="標楷體" w:hAnsi="Cambria Math" w:cs="Cambria Math"/>
                <w:vertAlign w:val="subscript"/>
              </w:rPr>
            </m:ctrlPr>
          </m:dPr>
          <m:e>
            <m:r>
              <w:rPr>
                <w:rFonts w:ascii="Cambria Math" w:eastAsia="標楷體" w:hAnsi="Cambria Math" w:cs="Cambria Math"/>
                <w:vertAlign w:val="subscript"/>
              </w:rPr>
              <m:t>P</m:t>
            </m:r>
          </m:e>
        </m:d>
        <m:r>
          <m:rPr>
            <m:sty m:val="p"/>
          </m:rPr>
          <w:rPr>
            <w:rFonts w:ascii="Cambria Math" w:eastAsia="標楷體" w:hAnsi="Cambria Math" w:cs="Cambria Math"/>
            <w:vertAlign w:val="subscript"/>
          </w:rPr>
          <m:t>=</m:t>
        </m:r>
        <m:func>
          <m:funcPr>
            <m:ctrlPr>
              <w:rPr>
                <w:rFonts w:ascii="Cambria Math" w:eastAsia="標楷體" w:hAnsi="Cambria Math" w:cs="Cambria Math"/>
                <w:vertAlign w:val="subscript"/>
              </w:rPr>
            </m:ctrlPr>
          </m:funcPr>
          <m:fName>
            <m:limLow>
              <m:limLowPr>
                <m:ctrlPr>
                  <w:rPr>
                    <w:rFonts w:ascii="Cambria Math" w:eastAsia="標楷體" w:hAnsi="Cambria Math" w:cs="Cambria Math"/>
                    <w:vertAlign w:val="subscript"/>
                  </w:rPr>
                </m:ctrlPr>
              </m:limLowPr>
              <m:e>
                <m:r>
                  <m:rPr>
                    <m:sty m:val="p"/>
                  </m:rPr>
                  <w:rPr>
                    <w:rFonts w:ascii="Cambria Math" w:eastAsia="標楷體" w:hAnsi="Cambria Math" w:cs="Cambria Math"/>
                    <w:vertAlign w:val="subscript"/>
                  </w:rPr>
                  <m:t>max</m:t>
                </m:r>
              </m:e>
              <m:lim>
                <m:r>
                  <w:rPr>
                    <w:rFonts w:ascii="Cambria Math" w:eastAsia="標楷體" w:hAnsi="Cambria Math" w:cs="Cambria Math"/>
                    <w:vertAlign w:val="subscript"/>
                  </w:rPr>
                  <m:t>t∈</m:t>
                </m:r>
                <m:d>
                  <m:dPr>
                    <m:begChr m:val="["/>
                    <m:endChr m:val="]"/>
                    <m:ctrlPr>
                      <w:rPr>
                        <w:rFonts w:ascii="Cambria Math" w:eastAsia="標楷體" w:hAnsi="Cambria Math" w:cs="Cambria Math"/>
                        <w:i/>
                        <w:vertAlign w:val="subscript"/>
                      </w:rPr>
                    </m:ctrlPr>
                  </m:dPr>
                  <m:e>
                    <m:sSub>
                      <m:sSubPr>
                        <m:ctrlPr>
                          <w:rPr>
                            <w:rFonts w:ascii="Cambria Math" w:eastAsia="標楷體" w:hAnsi="Cambria Math" w:cs="Cambria Math"/>
                            <w:i/>
                            <w:vertAlign w:val="subscript"/>
                          </w:rPr>
                        </m:ctrlPr>
                      </m:sSubPr>
                      <m:e>
                        <m:r>
                          <w:rPr>
                            <w:rFonts w:ascii="Cambria Math" w:eastAsia="標楷體" w:hAnsi="Cambria Math" w:cs="Cambria Math"/>
                            <w:vertAlign w:val="subscript"/>
                          </w:rPr>
                          <m:t>t</m:t>
                        </m:r>
                      </m:e>
                      <m:sub>
                        <m:r>
                          <w:rPr>
                            <w:rFonts w:ascii="Cambria Math" w:eastAsia="標楷體" w:hAnsi="Cambria Math" w:cs="Cambria Math"/>
                            <w:vertAlign w:val="subscript"/>
                          </w:rPr>
                          <m:t>1</m:t>
                        </m:r>
                      </m:sub>
                    </m:sSub>
                    <m:r>
                      <w:rPr>
                        <w:rFonts w:ascii="Cambria Math" w:eastAsia="標楷體" w:hAnsi="Cambria Math" w:cs="Cambria Math"/>
                        <w:vertAlign w:val="subscript"/>
                      </w:rPr>
                      <m:t>,</m:t>
                    </m:r>
                    <m:sSub>
                      <m:sSubPr>
                        <m:ctrlPr>
                          <w:rPr>
                            <w:rFonts w:ascii="Cambria Math" w:eastAsia="標楷體" w:hAnsi="Cambria Math" w:cs="Cambria Math"/>
                            <w:i/>
                            <w:vertAlign w:val="subscript"/>
                          </w:rPr>
                        </m:ctrlPr>
                      </m:sSubPr>
                      <m:e>
                        <m:r>
                          <w:rPr>
                            <w:rFonts w:ascii="Cambria Math" w:eastAsia="標楷體" w:hAnsi="Cambria Math" w:cs="Cambria Math"/>
                            <w:vertAlign w:val="subscript"/>
                          </w:rPr>
                          <m:t>t</m:t>
                        </m:r>
                      </m:e>
                      <m:sub>
                        <m:r>
                          <w:rPr>
                            <w:rFonts w:ascii="Cambria Math" w:eastAsia="標楷體" w:hAnsi="Cambria Math" w:cs="Cambria Math"/>
                            <w:vertAlign w:val="subscript"/>
                          </w:rPr>
                          <m:t>2</m:t>
                        </m:r>
                      </m:sub>
                    </m:sSub>
                  </m:e>
                </m:d>
              </m:lim>
            </m:limLow>
          </m:fName>
          <m:e>
            <m:sSubSup>
              <m:sSubSupPr>
                <m:ctrlPr>
                  <w:rPr>
                    <w:rFonts w:ascii="Cambria Math" w:eastAsia="標楷體" w:hAnsi="Cambria Math" w:cs="Cambria Math"/>
                    <w:i/>
                    <w:vertAlign w:val="subscript"/>
                  </w:rPr>
                </m:ctrlPr>
              </m:sSubSupPr>
              <m:e>
                <m:r>
                  <w:rPr>
                    <w:rFonts w:ascii="Cambria Math" w:eastAsia="標楷體" w:hAnsi="Cambria Math" w:cs="Cambria Math"/>
                    <w:vertAlign w:val="subscript"/>
                  </w:rPr>
                  <m:t>l</m:t>
                </m:r>
              </m:e>
              <m:sub>
                <m:r>
                  <w:rPr>
                    <w:rFonts w:ascii="Cambria Math" w:eastAsia="標楷體" w:hAnsi="Cambria Math" w:cs="Cambria Math"/>
                    <w:vertAlign w:val="subscript"/>
                  </w:rPr>
                  <m:t>t</m:t>
                </m:r>
              </m:sub>
              <m:sup>
                <m:r>
                  <w:rPr>
                    <w:rFonts w:ascii="Cambria Math" w:eastAsia="標楷體" w:hAnsi="Cambria Math" w:cs="Cambria Math"/>
                    <w:vertAlign w:val="subscript"/>
                  </w:rPr>
                  <m:t>p</m:t>
                </m:r>
              </m:sup>
            </m:sSubSup>
          </m:e>
        </m:func>
      </m:oMath>
      <w:r w:rsidR="002307B1">
        <w:rPr>
          <w:rFonts w:eastAsia="標楷體" w:hint="eastAsia"/>
          <w:vertAlign w:val="subscript"/>
        </w:rPr>
        <w:t xml:space="preserve"> </w:t>
      </w:r>
      <w:r w:rsidR="002307B1">
        <w:rPr>
          <w:rFonts w:eastAsia="標楷體"/>
          <w:vertAlign w:val="subscript"/>
        </w:rPr>
        <w:t xml:space="preserve">                               </w:t>
      </w:r>
      <w:r w:rsidR="002307B1">
        <w:rPr>
          <w:rFonts w:eastAsia="標楷體"/>
        </w:rPr>
        <w:t>(</w:t>
      </w:r>
      <w:r w:rsidR="002307B1">
        <w:rPr>
          <w:rFonts w:eastAsia="標楷體" w:hint="eastAsia"/>
          <w:lang w:eastAsia="zh-TW"/>
        </w:rPr>
        <w:t>式</w:t>
      </w:r>
      <w:r w:rsidR="002307B1">
        <w:rPr>
          <w:rFonts w:eastAsia="標楷體" w:hint="eastAsia"/>
          <w:lang w:eastAsia="zh-TW"/>
        </w:rPr>
        <w:t>1</w:t>
      </w:r>
      <w:r w:rsidR="002307B1">
        <w:rPr>
          <w:rFonts w:eastAsia="標楷體"/>
        </w:rPr>
        <w:t>)</w:t>
      </w:r>
    </w:p>
    <w:p w14:paraId="4F35B251" w14:textId="3885EB84" w:rsidR="004C72CF" w:rsidRPr="005E0170" w:rsidRDefault="004C72CF" w:rsidP="004C72CF">
      <w:pPr>
        <w:pStyle w:val="ACLText"/>
        <w:rPr>
          <w:rFonts w:eastAsia="標楷體"/>
        </w:rPr>
      </w:pPr>
      <w:r w:rsidRPr="005E0170">
        <w:rPr>
          <w:rFonts w:eastAsia="標楷體"/>
        </w:rPr>
        <w:t xml:space="preserve">Logit </w:t>
      </w:r>
      <w:proofErr w:type="spellStart"/>
      <w:r w:rsidRPr="005E0170">
        <w:rPr>
          <w:rFonts w:eastAsia="標楷體"/>
        </w:rPr>
        <w:t>邊界</w:t>
      </w:r>
      <w:proofErr w:type="spellEnd"/>
      <w:r w:rsidRPr="005E0170">
        <w:rPr>
          <w:rFonts w:eastAsia="標楷體"/>
        </w:rPr>
        <w:t xml:space="preserve"> (</w:t>
      </w:r>
      <m:oMath>
        <m:sSub>
          <m:sSubPr>
            <m:ctrlPr>
              <w:rPr>
                <w:rFonts w:ascii="Cambria Math" w:eastAsia="標楷體" w:hAnsi="Cambria Math"/>
                <w:i/>
              </w:rPr>
            </m:ctrlPr>
          </m:sSubPr>
          <m:e>
            <m:r>
              <w:rPr>
                <w:rFonts w:ascii="Cambria Math" w:eastAsia="標楷體" w:hAnsi="Cambria Math"/>
              </w:rPr>
              <m:t>GOP</m:t>
            </m:r>
          </m:e>
          <m:sub>
            <m:r>
              <w:rPr>
                <w:rFonts w:ascii="Cambria Math" w:eastAsia="標楷體" w:hAnsi="Cambria Math"/>
              </w:rPr>
              <m:t>margin</m:t>
            </m:r>
          </m:sub>
        </m:sSub>
      </m:oMath>
      <w:proofErr w:type="gramStart"/>
      <w:r w:rsidRPr="005E0170">
        <w:rPr>
          <w:rFonts w:eastAsia="標楷體"/>
        </w:rPr>
        <w:t>​)</w:t>
      </w:r>
      <w:r w:rsidRPr="005E0170">
        <w:rPr>
          <w:rFonts w:eastAsia="標楷體"/>
        </w:rPr>
        <w:t>：</w:t>
      </w:r>
      <w:proofErr w:type="gramEnd"/>
      <w:r w:rsidRPr="005E0170">
        <w:rPr>
          <w:rFonts w:eastAsia="標楷體"/>
        </w:rPr>
        <w:t>計算在每一幀中，目標音素的</w:t>
      </w:r>
      <w:r w:rsidRPr="005E0170">
        <w:rPr>
          <w:rFonts w:eastAsia="標楷體"/>
        </w:rPr>
        <w:t xml:space="preserve"> logit </w:t>
      </w:r>
      <w:r w:rsidRPr="005E0170">
        <w:rPr>
          <w:rFonts w:eastAsia="標楷體"/>
        </w:rPr>
        <w:t>值與最強競爭音素的</w:t>
      </w:r>
      <w:r w:rsidRPr="005E0170">
        <w:rPr>
          <w:rFonts w:eastAsia="標楷體"/>
        </w:rPr>
        <w:t xml:space="preserve"> logit </w:t>
      </w:r>
      <w:r w:rsidRPr="005E0170">
        <w:rPr>
          <w:rFonts w:eastAsia="標楷體"/>
        </w:rPr>
        <w:t>值之間的差值，再將這些差值於整個音素段內取平均。此指標量化了目標音素在</w:t>
      </w:r>
      <w:r w:rsidRPr="005E0170">
        <w:rPr>
          <w:rFonts w:eastAsia="標楷體"/>
        </w:rPr>
        <w:t xml:space="preserve"> logit </w:t>
      </w:r>
      <w:r w:rsidRPr="005E0170">
        <w:rPr>
          <w:rFonts w:eastAsia="標楷體"/>
        </w:rPr>
        <w:t>空間中的「突出程度」或「可區分性」。</w:t>
      </w:r>
    </w:p>
    <w:p w14:paraId="5A06B9FF" w14:textId="70727306" w:rsidR="004C72CF" w:rsidRPr="002F7E98" w:rsidRDefault="00000000" w:rsidP="004C72CF">
      <w:pPr>
        <w:pStyle w:val="ACLText"/>
        <w:rPr>
          <w:rFonts w:eastAsia="標楷體"/>
        </w:rPr>
      </w:pPr>
      <m:oMath>
        <m:sSub>
          <m:sSubPr>
            <m:ctrlPr>
              <w:rPr>
                <w:rFonts w:ascii="Cambria Math" w:eastAsia="標楷體" w:hAnsi="Cambria Math" w:cs="Cambria Math"/>
                <w:i/>
                <w:vertAlign w:val="subscript"/>
              </w:rPr>
            </m:ctrlPr>
          </m:sSubPr>
          <m:e>
            <m:r>
              <w:rPr>
                <w:rFonts w:ascii="Cambria Math" w:eastAsia="標楷體" w:hAnsi="Cambria Math" w:cs="Cambria Math"/>
                <w:vertAlign w:val="subscript"/>
              </w:rPr>
              <m:t>GOP</m:t>
            </m:r>
          </m:e>
          <m:sub>
            <m:r>
              <w:rPr>
                <w:rFonts w:ascii="Cambria Math" w:eastAsia="標楷體" w:hAnsi="Cambria Math" w:cs="Cambria Math"/>
                <w:vertAlign w:val="subscript"/>
              </w:rPr>
              <m:t>margin</m:t>
            </m:r>
          </m:sub>
        </m:sSub>
        <m:d>
          <m:dPr>
            <m:ctrlPr>
              <w:rPr>
                <w:rFonts w:ascii="Cambria Math" w:eastAsia="標楷體" w:hAnsi="Cambria Math" w:cs="Cambria Math"/>
                <w:vertAlign w:val="subscript"/>
              </w:rPr>
            </m:ctrlPr>
          </m:dPr>
          <m:e>
            <m:r>
              <w:rPr>
                <w:rFonts w:ascii="Cambria Math" w:eastAsia="標楷體" w:hAnsi="Cambria Math" w:cs="Cambria Math"/>
                <w:vertAlign w:val="subscript"/>
              </w:rPr>
              <m:t>P</m:t>
            </m:r>
          </m:e>
        </m:d>
        <m:r>
          <m:rPr>
            <m:sty m:val="p"/>
          </m:rPr>
          <w:rPr>
            <w:rFonts w:ascii="Cambria Math" w:eastAsia="標楷體" w:hAnsi="Cambria Math" w:cs="Cambria Math"/>
            <w:vertAlign w:val="subscript"/>
          </w:rPr>
          <m:t>=</m:t>
        </m:r>
        <m:f>
          <m:fPr>
            <m:ctrlPr>
              <w:rPr>
                <w:rFonts w:ascii="Cambria Math" w:eastAsia="標楷體" w:hAnsi="Cambria Math" w:cs="Cambria Math"/>
                <w:vertAlign w:val="subscript"/>
              </w:rPr>
            </m:ctrlPr>
          </m:fPr>
          <m:num>
            <m:r>
              <w:rPr>
                <w:rFonts w:ascii="Cambria Math" w:eastAsia="標楷體" w:hAnsi="Cambria Math" w:cs="Cambria Math"/>
                <w:vertAlign w:val="subscript"/>
              </w:rPr>
              <m:t>1</m:t>
            </m:r>
          </m:num>
          <m:den>
            <m:r>
              <w:rPr>
                <w:rFonts w:ascii="Cambria Math" w:eastAsia="標楷體" w:hAnsi="Cambria Math" w:cs="Cambria Math"/>
                <w:vertAlign w:val="subscript"/>
              </w:rPr>
              <m:t>T</m:t>
            </m:r>
          </m:den>
        </m:f>
        <m:nary>
          <m:naryPr>
            <m:chr m:val="∑"/>
            <m:limLoc m:val="undOvr"/>
            <m:ctrlPr>
              <w:rPr>
                <w:rFonts w:ascii="Cambria Math" w:eastAsia="標楷體" w:hAnsi="Cambria Math" w:cs="Cambria Math"/>
                <w:i/>
                <w:vertAlign w:val="subscript"/>
              </w:rPr>
            </m:ctrlPr>
          </m:naryPr>
          <m:sub>
            <m:r>
              <w:rPr>
                <w:rFonts w:ascii="Cambria Math" w:eastAsia="標楷體" w:hAnsi="Cambria Math" w:cs="Cambria Math"/>
                <w:vertAlign w:val="subscript"/>
              </w:rPr>
              <m:t>t=</m:t>
            </m:r>
            <m:sSub>
              <m:sSubPr>
                <m:ctrlPr>
                  <w:rPr>
                    <w:rFonts w:ascii="Cambria Math" w:eastAsia="標楷體" w:hAnsi="Cambria Math" w:cs="Cambria Math"/>
                    <w:i/>
                    <w:vertAlign w:val="subscript"/>
                  </w:rPr>
                </m:ctrlPr>
              </m:sSubPr>
              <m:e>
                <m:r>
                  <w:rPr>
                    <w:rFonts w:ascii="Cambria Math" w:eastAsia="標楷體" w:hAnsi="Cambria Math" w:cs="Cambria Math"/>
                    <w:vertAlign w:val="subscript"/>
                  </w:rPr>
                  <m:t>t</m:t>
                </m:r>
              </m:e>
              <m:sub>
                <m:r>
                  <w:rPr>
                    <w:rFonts w:ascii="Cambria Math" w:eastAsia="標楷體" w:hAnsi="Cambria Math" w:cs="Cambria Math"/>
                    <w:vertAlign w:val="subscript"/>
                  </w:rPr>
                  <m:t>1</m:t>
                </m:r>
              </m:sub>
            </m:sSub>
          </m:sub>
          <m:sup>
            <m:sSub>
              <m:sSubPr>
                <m:ctrlPr>
                  <w:rPr>
                    <w:rFonts w:ascii="Cambria Math" w:eastAsia="標楷體" w:hAnsi="Cambria Math" w:cs="Cambria Math"/>
                    <w:i/>
                    <w:vertAlign w:val="subscript"/>
                  </w:rPr>
                </m:ctrlPr>
              </m:sSubPr>
              <m:e>
                <m:r>
                  <w:rPr>
                    <w:rFonts w:ascii="Cambria Math" w:eastAsia="標楷體" w:hAnsi="Cambria Math" w:cs="Cambria Math"/>
                    <w:vertAlign w:val="subscript"/>
                  </w:rPr>
                  <m:t>t</m:t>
                </m:r>
              </m:e>
              <m:sub>
                <m:r>
                  <w:rPr>
                    <w:rFonts w:ascii="Cambria Math" w:eastAsia="標楷體" w:hAnsi="Cambria Math" w:cs="Cambria Math"/>
                    <w:vertAlign w:val="subscript"/>
                  </w:rPr>
                  <m:t>2</m:t>
                </m:r>
              </m:sub>
            </m:sSub>
          </m:sup>
          <m:e>
            <m:d>
              <m:dPr>
                <m:ctrlPr>
                  <w:rPr>
                    <w:rFonts w:ascii="Cambria Math" w:eastAsia="標楷體" w:hAnsi="Cambria Math" w:cs="Cambria Math"/>
                    <w:i/>
                    <w:vertAlign w:val="subscript"/>
                  </w:rPr>
                </m:ctrlPr>
              </m:dPr>
              <m:e>
                <m:sSubSup>
                  <m:sSubSupPr>
                    <m:ctrlPr>
                      <w:rPr>
                        <w:rFonts w:ascii="Cambria Math" w:eastAsia="標楷體" w:hAnsi="Cambria Math" w:cs="Cambria Math"/>
                        <w:i/>
                        <w:vertAlign w:val="subscript"/>
                      </w:rPr>
                    </m:ctrlPr>
                  </m:sSubSupPr>
                  <m:e>
                    <m:r>
                      <w:rPr>
                        <w:rFonts w:ascii="Cambria Math" w:eastAsia="標楷體" w:hAnsi="Cambria Math" w:cs="Cambria Math"/>
                        <w:vertAlign w:val="subscript"/>
                      </w:rPr>
                      <m:t>l</m:t>
                    </m:r>
                  </m:e>
                  <m:sub>
                    <m:r>
                      <w:rPr>
                        <w:rFonts w:ascii="Cambria Math" w:eastAsia="標楷體" w:hAnsi="Cambria Math" w:cs="Cambria Math"/>
                        <w:vertAlign w:val="subscript"/>
                      </w:rPr>
                      <m:t>x</m:t>
                    </m:r>
                  </m:sub>
                  <m:sup>
                    <m:r>
                      <w:rPr>
                        <w:rFonts w:ascii="Cambria Math" w:eastAsia="標楷體" w:hAnsi="Cambria Math" w:cs="Cambria Math"/>
                        <w:vertAlign w:val="subscript"/>
                      </w:rPr>
                      <m:t>p</m:t>
                    </m:r>
                  </m:sup>
                </m:sSubSup>
                <m:r>
                  <w:rPr>
                    <w:rFonts w:ascii="Cambria Math" w:eastAsia="標楷體" w:hAnsi="Cambria Math" w:cs="Cambria Math"/>
                    <w:vertAlign w:val="subscript"/>
                  </w:rPr>
                  <m:t xml:space="preserve">- </m:t>
                </m:r>
                <m:func>
                  <m:funcPr>
                    <m:ctrlPr>
                      <w:rPr>
                        <w:rFonts w:ascii="Cambria Math" w:eastAsia="標楷體" w:hAnsi="Cambria Math" w:cs="Cambria Math"/>
                        <w:i/>
                        <w:vertAlign w:val="subscript"/>
                      </w:rPr>
                    </m:ctrlPr>
                  </m:funcPr>
                  <m:fName>
                    <m:limLow>
                      <m:limLowPr>
                        <m:ctrlPr>
                          <w:rPr>
                            <w:rFonts w:ascii="Cambria Math" w:eastAsia="標楷體" w:hAnsi="Cambria Math" w:cs="Cambria Math"/>
                            <w:i/>
                            <w:vertAlign w:val="subscript"/>
                          </w:rPr>
                        </m:ctrlPr>
                      </m:limLowPr>
                      <m:e>
                        <m:r>
                          <m:rPr>
                            <m:sty m:val="p"/>
                          </m:rPr>
                          <w:rPr>
                            <w:rFonts w:ascii="Cambria Math" w:eastAsia="標楷體" w:hAnsi="Cambria Math" w:cs="Cambria Math"/>
                            <w:vertAlign w:val="subscript"/>
                          </w:rPr>
                          <m:t>max</m:t>
                        </m:r>
                      </m:e>
                      <m:lim>
                        <m:r>
                          <w:rPr>
                            <w:rFonts w:ascii="Cambria Math" w:eastAsia="標楷體" w:hAnsi="Cambria Math" w:cs="Cambria Math"/>
                            <w:vertAlign w:val="subscript"/>
                          </w:rPr>
                          <m:t>k≠p</m:t>
                        </m:r>
                      </m:lim>
                    </m:limLow>
                  </m:fName>
                  <m:e>
                    <m:sSubSup>
                      <m:sSubSupPr>
                        <m:ctrlPr>
                          <w:rPr>
                            <w:rFonts w:ascii="Cambria Math" w:eastAsia="標楷體" w:hAnsi="Cambria Math" w:cs="Cambria Math"/>
                            <w:i/>
                            <w:vertAlign w:val="subscript"/>
                          </w:rPr>
                        </m:ctrlPr>
                      </m:sSubSupPr>
                      <m:e>
                        <m:r>
                          <w:rPr>
                            <w:rFonts w:ascii="Cambria Math" w:eastAsia="標楷體" w:hAnsi="Cambria Math" w:cs="Cambria Math"/>
                            <w:vertAlign w:val="subscript"/>
                          </w:rPr>
                          <m:t>l</m:t>
                        </m:r>
                      </m:e>
                      <m:sub>
                        <m:r>
                          <w:rPr>
                            <w:rFonts w:ascii="Cambria Math" w:eastAsia="標楷體" w:hAnsi="Cambria Math" w:cs="Cambria Math"/>
                            <w:vertAlign w:val="subscript"/>
                          </w:rPr>
                          <m:t>t</m:t>
                        </m:r>
                      </m:sub>
                      <m:sup>
                        <m:r>
                          <w:rPr>
                            <w:rFonts w:ascii="Cambria Math" w:eastAsia="標楷體" w:hAnsi="Cambria Math" w:cs="Cambria Math"/>
                            <w:vertAlign w:val="subscript"/>
                          </w:rPr>
                          <m:t>k</m:t>
                        </m:r>
                      </m:sup>
                    </m:sSubSup>
                  </m:e>
                </m:func>
              </m:e>
            </m:d>
          </m:e>
        </m:nary>
      </m:oMath>
      <w:r w:rsidR="002F7E98">
        <w:rPr>
          <w:rFonts w:eastAsia="標楷體" w:hint="eastAsia"/>
          <w:vertAlign w:val="subscript"/>
        </w:rPr>
        <w:t xml:space="preserve"> </w:t>
      </w:r>
      <w:r w:rsidR="002F7E98">
        <w:rPr>
          <w:rFonts w:eastAsia="標楷體"/>
        </w:rPr>
        <w:t xml:space="preserve"> (</w:t>
      </w:r>
      <w:r w:rsidR="002F7E98">
        <w:rPr>
          <w:rFonts w:eastAsia="標楷體" w:hint="eastAsia"/>
          <w:lang w:eastAsia="zh-TW"/>
        </w:rPr>
        <w:t>式</w:t>
      </w:r>
      <w:r w:rsidR="002F7E98">
        <w:rPr>
          <w:rFonts w:eastAsia="標楷體"/>
          <w:lang w:eastAsia="zh-TW"/>
        </w:rPr>
        <w:t>2</w:t>
      </w:r>
      <w:r w:rsidR="002F7E98">
        <w:rPr>
          <w:rFonts w:eastAsia="標楷體"/>
        </w:rPr>
        <w:t>)</w:t>
      </w:r>
    </w:p>
    <w:p w14:paraId="4F1A4D0B" w14:textId="3BA09442" w:rsidR="004C72CF" w:rsidRPr="005E0170" w:rsidRDefault="004C72CF" w:rsidP="004C72CF">
      <w:pPr>
        <w:pStyle w:val="ACLText"/>
        <w:rPr>
          <w:rFonts w:eastAsia="標楷體"/>
        </w:rPr>
      </w:pPr>
      <w:r w:rsidRPr="005E0170">
        <w:rPr>
          <w:rFonts w:eastAsia="標楷體"/>
        </w:rPr>
        <w:t xml:space="preserve">Logit </w:t>
      </w:r>
      <w:r w:rsidRPr="005E0170">
        <w:rPr>
          <w:rFonts w:eastAsia="標楷體"/>
        </w:rPr>
        <w:t>變異數</w:t>
      </w:r>
      <w:r w:rsidRPr="005E0170">
        <w:rPr>
          <w:rFonts w:eastAsia="標楷體"/>
        </w:rPr>
        <w:t xml:space="preserve"> (</w:t>
      </w:r>
      <m:oMath>
        <m:sSub>
          <m:sSubPr>
            <m:ctrlPr>
              <w:rPr>
                <w:rFonts w:ascii="Cambria Math" w:eastAsia="標楷體" w:hAnsi="Cambria Math"/>
                <w:i/>
                <w:lang w:val="de-DE"/>
              </w:rPr>
            </m:ctrlPr>
          </m:sSubPr>
          <m:e>
            <m:r>
              <w:rPr>
                <w:rFonts w:ascii="Cambria Math" w:eastAsia="標楷體" w:hAnsi="Cambria Math"/>
                <w:lang w:val="de-DE"/>
              </w:rPr>
              <m:t>GOP</m:t>
            </m:r>
          </m:e>
          <m:sub>
            <m:r>
              <w:rPr>
                <w:rFonts w:ascii="Cambria Math" w:eastAsia="標楷體" w:hAnsi="Cambria Math"/>
                <w:lang w:val="de-DE" w:eastAsia="zh-TW"/>
              </w:rPr>
              <m:t>VarLogit</m:t>
            </m:r>
          </m:sub>
        </m:sSub>
      </m:oMath>
      <w:proofErr w:type="gramStart"/>
      <w:r w:rsidRPr="005E0170">
        <w:rPr>
          <w:rFonts w:eastAsia="標楷體"/>
        </w:rPr>
        <w:t>​)</w:t>
      </w:r>
      <w:r w:rsidRPr="005E0170">
        <w:rPr>
          <w:rFonts w:eastAsia="標楷體"/>
        </w:rPr>
        <w:t>：</w:t>
      </w:r>
      <w:proofErr w:type="gramEnd"/>
      <w:r w:rsidRPr="005E0170">
        <w:rPr>
          <w:rFonts w:eastAsia="標楷體"/>
        </w:rPr>
        <w:t>計算目標音素</w:t>
      </w:r>
      <w:r w:rsidRPr="005E0170">
        <w:rPr>
          <w:rFonts w:eastAsia="標楷體"/>
        </w:rPr>
        <w:t xml:space="preserve"> logit </w:t>
      </w:r>
      <w:r w:rsidRPr="005E0170">
        <w:rPr>
          <w:rFonts w:eastAsia="標楷體"/>
        </w:rPr>
        <w:t>序列的變異數，用以衡量模型信心的穩定性。較低的變異數通常表示一個穩定、流暢的發音。</w:t>
      </w:r>
    </w:p>
    <w:p w14:paraId="3F0A7DEE" w14:textId="77777777" w:rsidR="004C72CF" w:rsidRPr="005E0170" w:rsidRDefault="004C72CF" w:rsidP="004C72CF">
      <w:pPr>
        <w:pStyle w:val="ACLText"/>
        <w:rPr>
          <w:rFonts w:eastAsia="標楷體"/>
        </w:rPr>
      </w:pPr>
      <w:r w:rsidRPr="005E0170">
        <w:rPr>
          <w:rFonts w:eastAsia="標楷體"/>
        </w:rPr>
        <w:t xml:space="preserve">2.2. </w:t>
      </w:r>
      <w:r w:rsidRPr="005E0170">
        <w:rPr>
          <w:rFonts w:eastAsia="標楷體"/>
        </w:rPr>
        <w:t>提出的多面向統計指標</w:t>
      </w:r>
      <w:r w:rsidRPr="005E0170">
        <w:rPr>
          <w:rFonts w:eastAsia="標楷體"/>
        </w:rPr>
        <w:t xml:space="preserve"> (Proposed Multi-faceted Statistical Metrics)</w:t>
      </w:r>
    </w:p>
    <w:p w14:paraId="108DF2A0" w14:textId="77777777" w:rsidR="004C72CF" w:rsidRPr="005E0170" w:rsidRDefault="004C72CF" w:rsidP="004C72CF">
      <w:pPr>
        <w:pStyle w:val="ACLText"/>
        <w:rPr>
          <w:rFonts w:eastAsia="標楷體"/>
        </w:rPr>
      </w:pPr>
      <w:r w:rsidRPr="005E0170">
        <w:rPr>
          <w:rFonts w:eastAsia="標楷體"/>
        </w:rPr>
        <w:t>為了超越基線指標的侷限，我們引入了五類更為複雜的統計方法。這些方法被設計用來從</w:t>
      </w:r>
      <w:r w:rsidRPr="005E0170">
        <w:rPr>
          <w:rFonts w:eastAsia="標楷體"/>
        </w:rPr>
        <w:t xml:space="preserve"> logit </w:t>
      </w:r>
      <w:r w:rsidRPr="005E0170">
        <w:rPr>
          <w:rFonts w:eastAsia="標楷體"/>
        </w:rPr>
        <w:t>序列中提取更深層次的資訊。</w:t>
      </w:r>
    </w:p>
    <w:p w14:paraId="30A18B77" w14:textId="77777777" w:rsidR="004C72CF" w:rsidRPr="005E0170" w:rsidRDefault="004C72CF" w:rsidP="002F7E98">
      <w:pPr>
        <w:pStyle w:val="ACLText"/>
        <w:rPr>
          <w:rFonts w:eastAsia="標楷體"/>
        </w:rPr>
      </w:pPr>
      <w:r w:rsidRPr="005E0170">
        <w:rPr>
          <w:rFonts w:eastAsia="標楷體"/>
        </w:rPr>
        <w:t xml:space="preserve">2.2.1. </w:t>
      </w:r>
      <w:r w:rsidRPr="005E0170">
        <w:rPr>
          <w:rFonts w:eastAsia="標楷體"/>
        </w:rPr>
        <w:t>分佈形狀特徵：動差分析</w:t>
      </w:r>
      <w:r w:rsidRPr="005E0170">
        <w:rPr>
          <w:rFonts w:eastAsia="標楷體"/>
        </w:rPr>
        <w:t xml:space="preserve"> (Distribution Shape: Moment Analysis)</w:t>
      </w:r>
    </w:p>
    <w:p w14:paraId="40701591" w14:textId="77777777" w:rsidR="004C72CF" w:rsidRPr="005E0170" w:rsidRDefault="004C72CF" w:rsidP="002F7E98">
      <w:pPr>
        <w:pStyle w:val="ACLText"/>
        <w:rPr>
          <w:rFonts w:eastAsia="標楷體"/>
        </w:rPr>
      </w:pPr>
      <w:r w:rsidRPr="005E0170">
        <w:rPr>
          <w:rFonts w:eastAsia="標楷體"/>
        </w:rPr>
        <w:t>除了二階動差（變異數），更高階的動差能提供關於</w:t>
      </w:r>
      <w:r w:rsidRPr="005E0170">
        <w:rPr>
          <w:rFonts w:eastAsia="標楷體"/>
        </w:rPr>
        <w:t xml:space="preserve"> logit </w:t>
      </w:r>
      <w:r w:rsidRPr="005E0170">
        <w:rPr>
          <w:rFonts w:eastAsia="標楷體"/>
        </w:rPr>
        <w:t>序列統計分佈「形狀」的額外資訊，這對於描述模型信心的動態變化至關重要。</w:t>
      </w:r>
    </w:p>
    <w:p w14:paraId="26F84481" w14:textId="65A342C1" w:rsidR="004C72CF" w:rsidRPr="005E0170" w:rsidRDefault="004C72CF" w:rsidP="002F7E98">
      <w:pPr>
        <w:pStyle w:val="ACLText"/>
        <w:numPr>
          <w:ilvl w:val="0"/>
          <w:numId w:val="32"/>
        </w:numPr>
        <w:ind w:left="284" w:hanging="284"/>
        <w:rPr>
          <w:rFonts w:eastAsia="標楷體"/>
        </w:rPr>
      </w:pPr>
      <w:r w:rsidRPr="005E0170">
        <w:rPr>
          <w:rFonts w:eastAsia="標楷體"/>
        </w:rPr>
        <w:t>偏度</w:t>
      </w:r>
      <w:r w:rsidRPr="005E0170">
        <w:rPr>
          <w:rFonts w:eastAsia="標楷體"/>
        </w:rPr>
        <w:t xml:space="preserve"> (</w:t>
      </w:r>
      <m:oMath>
        <m:r>
          <w:rPr>
            <w:rFonts w:ascii="Cambria Math" w:eastAsia="標楷體" w:hAnsi="Cambria Math"/>
          </w:rPr>
          <m:t>Skewness, G1</m:t>
        </m:r>
      </m:oMath>
      <w:proofErr w:type="gramStart"/>
      <w:r w:rsidRPr="005E0170">
        <w:rPr>
          <w:rFonts w:eastAsia="標楷體"/>
        </w:rPr>
        <w:t>​)</w:t>
      </w:r>
      <w:r w:rsidRPr="005E0170">
        <w:rPr>
          <w:rFonts w:eastAsia="標楷體"/>
        </w:rPr>
        <w:t>：</w:t>
      </w:r>
      <w:proofErr w:type="gramEnd"/>
      <w:r w:rsidRPr="005E0170">
        <w:rPr>
          <w:rFonts w:eastAsia="標楷體"/>
        </w:rPr>
        <w:t>作為第三階標準化動差，偏度衡量</w:t>
      </w:r>
      <w:r w:rsidRPr="005E0170">
        <w:rPr>
          <w:rFonts w:eastAsia="標楷體"/>
        </w:rPr>
        <w:t xml:space="preserve"> logit </w:t>
      </w:r>
      <w:r w:rsidRPr="005E0170">
        <w:rPr>
          <w:rFonts w:eastAsia="標楷體"/>
        </w:rPr>
        <w:t>分佈的不對稱性。正偏度可能表示模型信心是逐漸建立然後迅速下降的過程，而負偏度則相反。異常的偏斜可能暗示著不自然的發音模式。</w:t>
      </w:r>
    </w:p>
    <w:p w14:paraId="1D68C0C3" w14:textId="4236A646" w:rsidR="004C72CF" w:rsidRPr="005E0170" w:rsidRDefault="004C72CF" w:rsidP="002F7E98">
      <w:pPr>
        <w:pStyle w:val="ACLText"/>
        <w:numPr>
          <w:ilvl w:val="0"/>
          <w:numId w:val="32"/>
        </w:numPr>
        <w:ind w:left="284" w:hanging="284"/>
        <w:rPr>
          <w:rFonts w:eastAsia="標楷體"/>
        </w:rPr>
      </w:pPr>
      <w:proofErr w:type="spellStart"/>
      <w:r w:rsidRPr="005E0170">
        <w:rPr>
          <w:rFonts w:eastAsia="標楷體"/>
        </w:rPr>
        <w:t>峰度</w:t>
      </w:r>
      <w:proofErr w:type="spellEnd"/>
      <w:r w:rsidRPr="005E0170">
        <w:rPr>
          <w:rFonts w:eastAsia="標楷體"/>
        </w:rPr>
        <w:t xml:space="preserve"> (</w:t>
      </w:r>
      <m:oMath>
        <m:r>
          <w:rPr>
            <w:rFonts w:ascii="Cambria Math" w:eastAsia="標楷體" w:hAnsi="Cambria Math"/>
          </w:rPr>
          <m:t>Kurtosis, G2</m:t>
        </m:r>
      </m:oMath>
      <w:proofErr w:type="gramStart"/>
      <w:r w:rsidRPr="005E0170">
        <w:rPr>
          <w:rFonts w:eastAsia="標楷體"/>
        </w:rPr>
        <w:t>​)</w:t>
      </w:r>
      <w:r w:rsidRPr="005E0170">
        <w:rPr>
          <w:rFonts w:eastAsia="標楷體"/>
        </w:rPr>
        <w:t>：</w:t>
      </w:r>
      <w:proofErr w:type="gramEnd"/>
      <w:r w:rsidRPr="005E0170">
        <w:rPr>
          <w:rFonts w:eastAsia="標楷體"/>
        </w:rPr>
        <w:t>作為第四階標準化動差，峰度衡量分佈的「峰銳度」與「尾部</w:t>
      </w:r>
      <w:r w:rsidRPr="005E0170">
        <w:rPr>
          <w:rFonts w:eastAsia="標楷體"/>
        </w:rPr>
        <w:lastRenderedPageBreak/>
        <w:t>厚度」。高峰度表示模型的信心高度集中於某個值，伴隨可能的極端離群值；低峰度則表示分佈較為平坦。這有助於識別發音過程中信心的集中或分散程度。</w:t>
      </w:r>
    </w:p>
    <w:p w14:paraId="62400FBB" w14:textId="2FBD47F4" w:rsidR="004C72CF" w:rsidRPr="005E0170" w:rsidRDefault="004C72CF" w:rsidP="00450DD4">
      <w:pPr>
        <w:pStyle w:val="ACLText"/>
        <w:rPr>
          <w:rFonts w:eastAsia="標楷體"/>
        </w:rPr>
      </w:pPr>
      <w:r w:rsidRPr="005E0170">
        <w:rPr>
          <w:rFonts w:eastAsia="標楷體"/>
        </w:rPr>
        <w:t xml:space="preserve">2.2.2. </w:t>
      </w:r>
      <w:proofErr w:type="spellStart"/>
      <w:r w:rsidRPr="005E0170">
        <w:rPr>
          <w:rFonts w:eastAsia="標楷體"/>
        </w:rPr>
        <w:t>資訊理論特徵：不確定性量化</w:t>
      </w:r>
      <w:proofErr w:type="spellEnd"/>
      <w:r w:rsidRPr="005E0170">
        <w:rPr>
          <w:rFonts w:eastAsia="標楷體"/>
        </w:rPr>
        <w:t xml:space="preserve"> (Information Theory: Uncertainty </w:t>
      </w:r>
      <w:proofErr w:type="gramStart"/>
      <w:r w:rsidRPr="005E0170">
        <w:rPr>
          <w:rFonts w:eastAsia="標楷體"/>
        </w:rPr>
        <w:t>Quantification)</w:t>
      </w:r>
      <w:proofErr w:type="spellStart"/>
      <w:r w:rsidRPr="005E0170">
        <w:rPr>
          <w:rFonts w:eastAsia="標楷體"/>
        </w:rPr>
        <w:t>此方法從整個後驗機率分佈的角度出發</w:t>
      </w:r>
      <w:proofErr w:type="gramEnd"/>
      <w:r w:rsidRPr="005E0170">
        <w:rPr>
          <w:rFonts w:eastAsia="標楷體"/>
        </w:rPr>
        <w:t>，而非僅僅關注目標音素，用以量化模型在預測時的整體「混淆程度</w:t>
      </w:r>
      <w:proofErr w:type="spellEnd"/>
      <w:r w:rsidRPr="005E0170">
        <w:rPr>
          <w:rFonts w:eastAsia="標楷體"/>
        </w:rPr>
        <w:t>」。</w:t>
      </w:r>
    </w:p>
    <w:p w14:paraId="4EA85D43" w14:textId="4A7D04BF" w:rsidR="004C72CF" w:rsidRDefault="004C72CF" w:rsidP="00450DD4">
      <w:pPr>
        <w:pStyle w:val="ACLText"/>
        <w:numPr>
          <w:ilvl w:val="0"/>
          <w:numId w:val="20"/>
        </w:numPr>
        <w:ind w:left="284" w:hanging="284"/>
        <w:rPr>
          <w:rFonts w:eastAsia="標楷體"/>
          <w:lang w:eastAsia="zh-TW"/>
        </w:rPr>
      </w:pPr>
      <w:r w:rsidRPr="005E0170">
        <w:rPr>
          <w:rFonts w:eastAsia="標楷體"/>
        </w:rPr>
        <w:t>平均夏農熵</w:t>
      </w:r>
      <w:r w:rsidRPr="005E0170">
        <w:rPr>
          <w:rFonts w:eastAsia="標楷體"/>
        </w:rPr>
        <w:t xml:space="preserve"> (Mean Shannon Entropy)</w:t>
      </w:r>
      <w:r w:rsidRPr="005E0170">
        <w:rPr>
          <w:rFonts w:eastAsia="標楷體"/>
        </w:rPr>
        <w:t>：我們計算音素段內每一幀的後驗機率分佈</w:t>
      </w:r>
      <m:oMath>
        <m:sSub>
          <m:sSubPr>
            <m:ctrlPr>
              <w:rPr>
                <w:rFonts w:ascii="Cambria Math" w:eastAsia="標楷體" w:hAnsi="Cambria Math"/>
                <w:i/>
              </w:rPr>
            </m:ctrlPr>
          </m:sSubPr>
          <m:e>
            <m:r>
              <w:rPr>
                <w:rFonts w:ascii="Cambria Math" w:eastAsia="標楷體" w:hAnsi="Cambria Math"/>
              </w:rPr>
              <m:t>x</m:t>
            </m:r>
          </m:e>
          <m:sub>
            <m:r>
              <w:rPr>
                <w:rFonts w:ascii="Cambria Math" w:eastAsia="標楷體" w:hAnsi="Cambria Math"/>
              </w:rPr>
              <m:t>t</m:t>
            </m:r>
          </m:sub>
        </m:sSub>
      </m:oMath>
      <w:r w:rsidRPr="005E0170">
        <w:rPr>
          <w:rFonts w:eastAsia="標楷體"/>
        </w:rPr>
        <w:t>的夏農熵，然後取其平均值。熵是模型不確定性的直接度量。一個高的平均熵意味著模型的機率被分散在多個候選音素上，是發音含糊或錯誤的強烈信號。</w:t>
      </w:r>
    </w:p>
    <w:p w14:paraId="3FB2639E" w14:textId="6B59A2A8" w:rsidR="007A0441" w:rsidRPr="007F14EA" w:rsidRDefault="00000000" w:rsidP="007F14EA">
      <w:pPr>
        <w:pStyle w:val="ACLTextFirstLine"/>
        <w:ind w:leftChars="193" w:left="425"/>
        <w:jc w:val="center"/>
        <w:rPr>
          <w:rFonts w:eastAsia="標楷體"/>
          <w:sz w:val="19"/>
          <w:szCs w:val="19"/>
          <w:lang w:eastAsia="zh-TW"/>
        </w:rPr>
      </w:pPr>
      <m:oMath>
        <m:sSub>
          <m:sSubPr>
            <m:ctrlPr>
              <w:rPr>
                <w:rFonts w:ascii="Cambria Math" w:eastAsia="標楷體" w:hAnsi="Cambria Math"/>
                <w:i/>
                <w:sz w:val="19"/>
                <w:szCs w:val="19"/>
                <w:lang w:eastAsia="zh-TW"/>
              </w:rPr>
            </m:ctrlPr>
          </m:sSubPr>
          <m:e>
            <m:r>
              <w:rPr>
                <w:rFonts w:ascii="Cambria Math" w:eastAsia="標楷體" w:hAnsi="Cambria Math"/>
                <w:sz w:val="19"/>
                <w:szCs w:val="19"/>
                <w:lang w:eastAsia="zh-TW"/>
              </w:rPr>
              <m:t>H</m:t>
            </m:r>
          </m:e>
          <m:sub>
            <m:r>
              <w:rPr>
                <w:rFonts w:ascii="Cambria Math" w:eastAsia="標楷體" w:hAnsi="Cambria Math"/>
                <w:sz w:val="19"/>
                <w:szCs w:val="19"/>
                <w:lang w:eastAsia="zh-TW"/>
              </w:rPr>
              <m:t>mean</m:t>
            </m:r>
          </m:sub>
        </m:sSub>
        <m:r>
          <w:rPr>
            <w:rFonts w:ascii="Cambria Math" w:eastAsia="標楷體" w:hAnsi="Cambria Math"/>
            <w:sz w:val="19"/>
            <w:szCs w:val="19"/>
            <w:lang w:eastAsia="zh-TW"/>
          </w:rPr>
          <m:t>=</m:t>
        </m:r>
        <m:f>
          <m:fPr>
            <m:ctrlPr>
              <w:rPr>
                <w:rFonts w:ascii="Cambria Math" w:eastAsia="標楷體" w:hAnsi="Cambria Math"/>
                <w:i/>
                <w:sz w:val="19"/>
                <w:szCs w:val="19"/>
                <w:lang w:eastAsia="zh-TW"/>
              </w:rPr>
            </m:ctrlPr>
          </m:fPr>
          <m:num>
            <m:r>
              <w:rPr>
                <w:rFonts w:ascii="Cambria Math" w:eastAsia="標楷體" w:hAnsi="Cambria Math"/>
                <w:sz w:val="19"/>
                <w:szCs w:val="19"/>
                <w:lang w:eastAsia="zh-TW"/>
              </w:rPr>
              <m:t>1</m:t>
            </m:r>
          </m:num>
          <m:den>
            <m:r>
              <w:rPr>
                <w:rFonts w:ascii="Cambria Math" w:eastAsia="標楷體" w:hAnsi="Cambria Math"/>
                <w:sz w:val="19"/>
                <w:szCs w:val="19"/>
                <w:lang w:eastAsia="zh-TW"/>
              </w:rPr>
              <m:t>T</m:t>
            </m:r>
          </m:den>
        </m:f>
        <m:nary>
          <m:naryPr>
            <m:chr m:val="∑"/>
            <m:limLoc m:val="undOvr"/>
            <m:ctrlPr>
              <w:rPr>
                <w:rFonts w:ascii="Cambria Math" w:eastAsia="標楷體" w:hAnsi="Cambria Math"/>
                <w:i/>
                <w:sz w:val="19"/>
                <w:szCs w:val="19"/>
                <w:lang w:eastAsia="zh-TW"/>
              </w:rPr>
            </m:ctrlPr>
          </m:naryPr>
          <m:sub>
            <m:r>
              <w:rPr>
                <w:rFonts w:ascii="Cambria Math" w:eastAsia="標楷體" w:hAnsi="Cambria Math"/>
                <w:sz w:val="19"/>
                <w:szCs w:val="19"/>
                <w:lang w:eastAsia="zh-TW"/>
              </w:rPr>
              <m:t>t=</m:t>
            </m:r>
            <m:sSub>
              <m:sSubPr>
                <m:ctrlPr>
                  <w:rPr>
                    <w:rFonts w:ascii="Cambria Math" w:eastAsia="標楷體" w:hAnsi="Cambria Math"/>
                    <w:i/>
                    <w:sz w:val="19"/>
                    <w:szCs w:val="19"/>
                    <w:lang w:eastAsia="zh-TW"/>
                  </w:rPr>
                </m:ctrlPr>
              </m:sSubPr>
              <m:e>
                <m:r>
                  <w:rPr>
                    <w:rFonts w:ascii="Cambria Math" w:eastAsia="標楷體" w:hAnsi="Cambria Math"/>
                    <w:sz w:val="19"/>
                    <w:szCs w:val="19"/>
                    <w:lang w:eastAsia="zh-TW"/>
                  </w:rPr>
                  <m:t>t</m:t>
                </m:r>
              </m:e>
              <m:sub>
                <m:r>
                  <w:rPr>
                    <w:rFonts w:ascii="Cambria Math" w:eastAsia="標楷體" w:hAnsi="Cambria Math"/>
                    <w:sz w:val="19"/>
                    <w:szCs w:val="19"/>
                    <w:lang w:eastAsia="zh-TW"/>
                  </w:rPr>
                  <m:t>1</m:t>
                </m:r>
              </m:sub>
            </m:sSub>
          </m:sub>
          <m:sup>
            <m:sSub>
              <m:sSubPr>
                <m:ctrlPr>
                  <w:rPr>
                    <w:rFonts w:ascii="Cambria Math" w:eastAsia="標楷體" w:hAnsi="Cambria Math"/>
                    <w:i/>
                    <w:sz w:val="19"/>
                    <w:szCs w:val="19"/>
                    <w:lang w:eastAsia="zh-TW"/>
                  </w:rPr>
                </m:ctrlPr>
              </m:sSubPr>
              <m:e>
                <m:r>
                  <w:rPr>
                    <w:rFonts w:ascii="Cambria Math" w:eastAsia="標楷體" w:hAnsi="Cambria Math"/>
                    <w:sz w:val="19"/>
                    <w:szCs w:val="19"/>
                    <w:lang w:eastAsia="zh-TW"/>
                  </w:rPr>
                  <m:t>t</m:t>
                </m:r>
              </m:e>
              <m:sub>
                <m:r>
                  <w:rPr>
                    <w:rFonts w:ascii="Cambria Math" w:eastAsia="標楷體" w:hAnsi="Cambria Math"/>
                    <w:sz w:val="19"/>
                    <w:szCs w:val="19"/>
                    <w:lang w:eastAsia="zh-TW"/>
                  </w:rPr>
                  <m:t>2</m:t>
                </m:r>
              </m:sub>
            </m:sSub>
          </m:sup>
          <m:e>
            <m:r>
              <w:rPr>
                <w:rFonts w:ascii="Cambria Math" w:eastAsia="標楷體" w:hAnsi="Cambria Math"/>
                <w:sz w:val="19"/>
                <w:szCs w:val="19"/>
                <w:lang w:eastAsia="zh-TW"/>
              </w:rPr>
              <m:t>-</m:t>
            </m:r>
            <m:d>
              <m:dPr>
                <m:ctrlPr>
                  <w:rPr>
                    <w:rFonts w:ascii="Cambria Math" w:eastAsia="標楷體" w:hAnsi="Cambria Math"/>
                    <w:i/>
                    <w:sz w:val="19"/>
                    <w:szCs w:val="19"/>
                    <w:lang w:eastAsia="zh-TW"/>
                  </w:rPr>
                </m:ctrlPr>
              </m:dPr>
              <m:e>
                <m:nary>
                  <m:naryPr>
                    <m:chr m:val="∑"/>
                    <m:limLoc m:val="undOvr"/>
                    <m:ctrlPr>
                      <w:rPr>
                        <w:rFonts w:ascii="Cambria Math" w:eastAsia="標楷體" w:hAnsi="Cambria Math"/>
                        <w:i/>
                        <w:sz w:val="19"/>
                        <w:szCs w:val="19"/>
                        <w:lang w:eastAsia="zh-TW"/>
                      </w:rPr>
                    </m:ctrlPr>
                  </m:naryPr>
                  <m:sub>
                    <m:r>
                      <w:rPr>
                        <w:rFonts w:ascii="Cambria Math" w:eastAsia="標楷體" w:hAnsi="Cambria Math"/>
                        <w:sz w:val="19"/>
                        <w:szCs w:val="19"/>
                        <w:lang w:eastAsia="zh-TW"/>
                      </w:rPr>
                      <m:t>k=1</m:t>
                    </m:r>
                  </m:sub>
                  <m:sup>
                    <m:r>
                      <w:rPr>
                        <w:rFonts w:ascii="Cambria Math" w:eastAsia="標楷體" w:hAnsi="Cambria Math"/>
                        <w:sz w:val="19"/>
                        <w:szCs w:val="19"/>
                        <w:lang w:eastAsia="zh-TW"/>
                      </w:rPr>
                      <m:t>D</m:t>
                    </m:r>
                  </m:sup>
                  <m:e>
                    <m:r>
                      <w:rPr>
                        <w:rFonts w:ascii="Cambria Math" w:eastAsia="標楷體" w:hAnsi="Cambria Math"/>
                        <w:sz w:val="19"/>
                        <w:szCs w:val="19"/>
                        <w:lang w:eastAsia="zh-TW"/>
                      </w:rPr>
                      <m:t>P</m:t>
                    </m:r>
                    <m:d>
                      <m:dPr>
                        <m:ctrlPr>
                          <w:rPr>
                            <w:rFonts w:ascii="Cambria Math" w:eastAsia="標楷體" w:hAnsi="Cambria Math"/>
                            <w:i/>
                            <w:sz w:val="19"/>
                            <w:szCs w:val="19"/>
                            <w:lang w:eastAsia="zh-TW"/>
                          </w:rPr>
                        </m:ctrlPr>
                      </m:dPr>
                      <m:e>
                        <m:r>
                          <w:rPr>
                            <w:rFonts w:ascii="Cambria Math" w:eastAsia="標楷體" w:hAnsi="Cambria Math"/>
                            <w:sz w:val="19"/>
                            <w:szCs w:val="19"/>
                            <w:lang w:eastAsia="zh-TW"/>
                          </w:rPr>
                          <m:t>k|</m:t>
                        </m:r>
                        <m:sSub>
                          <m:sSubPr>
                            <m:ctrlPr>
                              <w:rPr>
                                <w:rFonts w:ascii="Cambria Math" w:eastAsia="標楷體" w:hAnsi="Cambria Math"/>
                                <w:i/>
                                <w:sz w:val="19"/>
                                <w:szCs w:val="19"/>
                                <w:lang w:eastAsia="zh-TW"/>
                              </w:rPr>
                            </m:ctrlPr>
                          </m:sSubPr>
                          <m:e>
                            <m:r>
                              <w:rPr>
                                <w:rFonts w:ascii="Cambria Math" w:eastAsia="標楷體" w:hAnsi="Cambria Math"/>
                                <w:sz w:val="19"/>
                                <w:szCs w:val="19"/>
                                <w:lang w:eastAsia="zh-TW"/>
                              </w:rPr>
                              <m:t>x</m:t>
                            </m:r>
                          </m:e>
                          <m:sub>
                            <m:r>
                              <w:rPr>
                                <w:rFonts w:ascii="Cambria Math" w:eastAsia="標楷體" w:hAnsi="Cambria Math"/>
                                <w:sz w:val="19"/>
                                <w:szCs w:val="19"/>
                                <w:lang w:eastAsia="zh-TW"/>
                              </w:rPr>
                              <m:t>t</m:t>
                            </m:r>
                          </m:sub>
                        </m:sSub>
                      </m:e>
                    </m:d>
                    <m:func>
                      <m:funcPr>
                        <m:ctrlPr>
                          <w:rPr>
                            <w:rFonts w:ascii="Cambria Math" w:eastAsia="標楷體" w:hAnsi="Cambria Math"/>
                            <w:i/>
                            <w:sz w:val="19"/>
                            <w:szCs w:val="19"/>
                            <w:lang w:eastAsia="zh-TW"/>
                          </w:rPr>
                        </m:ctrlPr>
                      </m:funcPr>
                      <m:fName>
                        <m:r>
                          <m:rPr>
                            <m:sty m:val="p"/>
                          </m:rPr>
                          <w:rPr>
                            <w:rFonts w:ascii="Cambria Math" w:eastAsia="標楷體" w:hAnsi="Cambria Math"/>
                            <w:sz w:val="19"/>
                            <w:szCs w:val="19"/>
                          </w:rPr>
                          <m:t>log</m:t>
                        </m:r>
                      </m:fName>
                      <m:e>
                        <m:r>
                          <w:rPr>
                            <w:rFonts w:ascii="Cambria Math" w:eastAsia="標楷體" w:hAnsi="Cambria Math"/>
                            <w:sz w:val="19"/>
                            <w:szCs w:val="19"/>
                            <w:lang w:eastAsia="zh-TW"/>
                          </w:rPr>
                          <m:t>P</m:t>
                        </m:r>
                        <m:d>
                          <m:dPr>
                            <m:ctrlPr>
                              <w:rPr>
                                <w:rFonts w:ascii="Cambria Math" w:eastAsia="標楷體" w:hAnsi="Cambria Math"/>
                                <w:i/>
                                <w:sz w:val="19"/>
                                <w:szCs w:val="19"/>
                                <w:lang w:eastAsia="zh-TW"/>
                              </w:rPr>
                            </m:ctrlPr>
                          </m:dPr>
                          <m:e>
                            <m:r>
                              <w:rPr>
                                <w:rFonts w:ascii="Cambria Math" w:eastAsia="標楷體" w:hAnsi="Cambria Math"/>
                                <w:sz w:val="19"/>
                                <w:szCs w:val="19"/>
                                <w:lang w:eastAsia="zh-TW"/>
                              </w:rPr>
                              <m:t>k|</m:t>
                            </m:r>
                            <m:sSub>
                              <m:sSubPr>
                                <m:ctrlPr>
                                  <w:rPr>
                                    <w:rFonts w:ascii="Cambria Math" w:eastAsia="標楷體" w:hAnsi="Cambria Math"/>
                                    <w:i/>
                                    <w:sz w:val="19"/>
                                    <w:szCs w:val="19"/>
                                    <w:lang w:eastAsia="zh-TW"/>
                                  </w:rPr>
                                </m:ctrlPr>
                              </m:sSubPr>
                              <m:e>
                                <m:r>
                                  <w:rPr>
                                    <w:rFonts w:ascii="Cambria Math" w:eastAsia="標楷體" w:hAnsi="Cambria Math"/>
                                    <w:sz w:val="19"/>
                                    <w:szCs w:val="19"/>
                                    <w:lang w:eastAsia="zh-TW"/>
                                  </w:rPr>
                                  <m:t>x</m:t>
                                </m:r>
                              </m:e>
                              <m:sub>
                                <m:r>
                                  <w:rPr>
                                    <w:rFonts w:ascii="Cambria Math" w:eastAsia="標楷體" w:hAnsi="Cambria Math"/>
                                    <w:sz w:val="19"/>
                                    <w:szCs w:val="19"/>
                                    <w:lang w:eastAsia="zh-TW"/>
                                  </w:rPr>
                                  <m:t>t</m:t>
                                </m:r>
                              </m:sub>
                            </m:sSub>
                          </m:e>
                        </m:d>
                      </m:e>
                    </m:func>
                  </m:e>
                </m:nary>
              </m:e>
            </m:d>
          </m:e>
        </m:nary>
      </m:oMath>
      <w:r w:rsidR="007F14EA" w:rsidRPr="007F14EA">
        <w:rPr>
          <w:rFonts w:eastAsia="標楷體" w:hint="eastAsia"/>
          <w:sz w:val="19"/>
          <w:szCs w:val="19"/>
          <w:lang w:eastAsia="zh-TW"/>
        </w:rPr>
        <w:t xml:space="preserve"> </w:t>
      </w:r>
      <w:r w:rsidR="007F14EA" w:rsidRPr="007F14EA">
        <w:rPr>
          <w:rFonts w:eastAsia="標楷體"/>
          <w:sz w:val="19"/>
          <w:szCs w:val="19"/>
          <w:lang w:eastAsia="zh-TW"/>
        </w:rPr>
        <w:t xml:space="preserve"> </w:t>
      </w:r>
      <w:r w:rsidR="007F14EA">
        <w:rPr>
          <w:rFonts w:eastAsia="標楷體" w:hint="eastAsia"/>
          <w:sz w:val="19"/>
          <w:szCs w:val="19"/>
          <w:lang w:eastAsia="zh-TW"/>
        </w:rPr>
        <w:t>(</w:t>
      </w:r>
      <w:r w:rsidR="007F14EA">
        <w:rPr>
          <w:rFonts w:eastAsia="標楷體" w:hint="eastAsia"/>
          <w:sz w:val="19"/>
          <w:szCs w:val="19"/>
          <w:lang w:eastAsia="zh-TW"/>
        </w:rPr>
        <w:t>式</w:t>
      </w:r>
      <w:r w:rsidR="007F14EA">
        <w:rPr>
          <w:rFonts w:eastAsia="標楷體" w:hint="eastAsia"/>
          <w:sz w:val="19"/>
          <w:szCs w:val="19"/>
          <w:lang w:eastAsia="zh-TW"/>
        </w:rPr>
        <w:t>3</w:t>
      </w:r>
      <w:r w:rsidR="007F14EA">
        <w:rPr>
          <w:rFonts w:eastAsia="標楷體"/>
          <w:sz w:val="19"/>
          <w:szCs w:val="19"/>
          <w:lang w:eastAsia="zh-TW"/>
        </w:rPr>
        <w:t>)</w:t>
      </w:r>
    </w:p>
    <w:p w14:paraId="4B55A107" w14:textId="018C9B61" w:rsidR="004C72CF" w:rsidRPr="005E0170" w:rsidRDefault="004C72CF" w:rsidP="00450DD4">
      <w:pPr>
        <w:pStyle w:val="ACLText"/>
        <w:numPr>
          <w:ilvl w:val="0"/>
          <w:numId w:val="20"/>
        </w:numPr>
        <w:ind w:left="284" w:hanging="338"/>
        <w:rPr>
          <w:rFonts w:eastAsia="標楷體"/>
        </w:rPr>
      </w:pPr>
      <w:proofErr w:type="spellStart"/>
      <w:r w:rsidRPr="005E0170">
        <w:rPr>
          <w:rFonts w:eastAsia="標楷體"/>
        </w:rPr>
        <w:t>平均</w:t>
      </w:r>
      <w:proofErr w:type="spellEnd"/>
      <w:r w:rsidRPr="005E0170">
        <w:rPr>
          <w:rFonts w:eastAsia="標楷體"/>
        </w:rPr>
        <w:t xml:space="preserve"> KL </w:t>
      </w:r>
      <w:proofErr w:type="spellStart"/>
      <w:r w:rsidRPr="005E0170">
        <w:rPr>
          <w:rFonts w:eastAsia="標楷體"/>
        </w:rPr>
        <w:t>散度</w:t>
      </w:r>
      <w:proofErr w:type="spellEnd"/>
      <w:r w:rsidRPr="005E0170">
        <w:rPr>
          <w:rFonts w:eastAsia="標楷體"/>
        </w:rPr>
        <w:t xml:space="preserve"> (Mean KL </w:t>
      </w:r>
      <w:proofErr w:type="gramStart"/>
      <w:r w:rsidRPr="005E0170">
        <w:rPr>
          <w:rFonts w:eastAsia="標楷體"/>
        </w:rPr>
        <w:t>Divergence)</w:t>
      </w:r>
      <w:r w:rsidRPr="005E0170">
        <w:rPr>
          <w:rFonts w:eastAsia="標楷體"/>
        </w:rPr>
        <w:t>：</w:t>
      </w:r>
      <w:proofErr w:type="spellStart"/>
      <w:proofErr w:type="gramEnd"/>
      <w:r w:rsidRPr="005E0170">
        <w:rPr>
          <w:rFonts w:eastAsia="標楷體"/>
        </w:rPr>
        <w:t>此指標衡量每一幀的實際後驗機率分佈</w:t>
      </w:r>
      <w:proofErr w:type="spellEnd"/>
      <w:r w:rsidRPr="005E0170">
        <w:rPr>
          <w:rFonts w:eastAsia="標楷體"/>
        </w:rPr>
        <w:t xml:space="preserve"> </w:t>
      </w:r>
      <m:oMath>
        <m:r>
          <w:rPr>
            <w:rFonts w:ascii="Cambria Math" w:eastAsia="標楷體" w:hAnsi="Cambria Math"/>
            <w:lang w:eastAsia="zh-TW"/>
          </w:rPr>
          <m:t>P</m:t>
        </m:r>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x</m:t>
            </m:r>
          </m:e>
          <m:sub>
            <m:r>
              <w:rPr>
                <w:rFonts w:ascii="Cambria Math" w:eastAsia="標楷體" w:hAnsi="Cambria Math"/>
              </w:rPr>
              <m:t>t</m:t>
            </m:r>
          </m:sub>
        </m:sSub>
        <m:r>
          <w:rPr>
            <w:rFonts w:ascii="Cambria Math" w:eastAsia="標楷體" w:hAnsi="Cambria Math"/>
          </w:rPr>
          <m:t>)</m:t>
        </m:r>
      </m:oMath>
      <w:r w:rsidRPr="005E0170">
        <w:rPr>
          <w:rFonts w:eastAsia="標楷體"/>
        </w:rPr>
        <w:t xml:space="preserve"> </w:t>
      </w:r>
      <w:r w:rsidRPr="005E0170">
        <w:rPr>
          <w:rFonts w:eastAsia="標楷體"/>
        </w:rPr>
        <w:t>與一個代表「完美發音」的理想分佈（即目標音素機率為</w:t>
      </w:r>
      <w:r w:rsidRPr="005E0170">
        <w:rPr>
          <w:rFonts w:eastAsia="標楷體"/>
        </w:rPr>
        <w:t>1</w:t>
      </w:r>
      <w:r w:rsidRPr="005E0170">
        <w:rPr>
          <w:rFonts w:eastAsia="標楷體"/>
        </w:rPr>
        <w:t>的</w:t>
      </w:r>
      <w:r w:rsidRPr="005E0170">
        <w:rPr>
          <w:rFonts w:eastAsia="標楷體"/>
        </w:rPr>
        <w:t xml:space="preserve"> one-hot </w:t>
      </w:r>
      <w:r w:rsidRPr="005E0170">
        <w:rPr>
          <w:rFonts w:eastAsia="標楷體"/>
        </w:rPr>
        <w:t>向量</w:t>
      </w:r>
      <w:r w:rsidRPr="005E0170">
        <w:rPr>
          <w:rFonts w:eastAsia="標楷體"/>
        </w:rPr>
        <w:t xml:space="preserve"> Q</w:t>
      </w:r>
      <w:r w:rsidRPr="005E0170">
        <w:rPr>
          <w:rFonts w:eastAsia="標楷體"/>
        </w:rPr>
        <w:t>）之間的「距離」。較大的</w:t>
      </w:r>
      <w:r w:rsidRPr="005E0170">
        <w:rPr>
          <w:rFonts w:eastAsia="標楷體"/>
        </w:rPr>
        <w:t xml:space="preserve"> KL </w:t>
      </w:r>
      <w:r w:rsidRPr="005E0170">
        <w:rPr>
          <w:rFonts w:eastAsia="標楷體"/>
        </w:rPr>
        <w:t>散度意味著模型的輸出與理想狀態相去甚遠。</w:t>
      </w:r>
    </w:p>
    <w:p w14:paraId="2F0F65DB" w14:textId="55FF99B1" w:rsidR="004C72CF" w:rsidRPr="005E0170" w:rsidRDefault="004C72CF" w:rsidP="00450DD4">
      <w:pPr>
        <w:pStyle w:val="ACLText"/>
        <w:rPr>
          <w:rFonts w:eastAsia="標楷體"/>
        </w:rPr>
      </w:pPr>
      <w:r w:rsidRPr="005E0170">
        <w:rPr>
          <w:rFonts w:eastAsia="標楷體"/>
        </w:rPr>
        <w:t xml:space="preserve">2.2.3. </w:t>
      </w:r>
      <w:proofErr w:type="spellStart"/>
      <w:r w:rsidRPr="005E0170">
        <w:rPr>
          <w:rFonts w:eastAsia="標楷體"/>
        </w:rPr>
        <w:t>分佈擬合特徵：高斯混合模型</w:t>
      </w:r>
      <w:proofErr w:type="spellEnd"/>
      <w:r w:rsidR="00450DD4">
        <w:rPr>
          <w:rFonts w:eastAsia="標楷體"/>
        </w:rPr>
        <w:br/>
        <w:t xml:space="preserve">         </w:t>
      </w:r>
      <w:proofErr w:type="gramStart"/>
      <w:r w:rsidR="00450DD4">
        <w:rPr>
          <w:rFonts w:eastAsia="標楷體"/>
        </w:rPr>
        <w:t xml:space="preserve">   (</w:t>
      </w:r>
      <w:proofErr w:type="gramEnd"/>
      <w:r w:rsidR="00450DD4" w:rsidRPr="00450DD4">
        <w:rPr>
          <w:rFonts w:eastAsia="標楷體"/>
        </w:rPr>
        <w:t xml:space="preserve">Distribution Fitting: Gaussian Mixture </w:t>
      </w:r>
      <w:r w:rsidR="00450DD4">
        <w:rPr>
          <w:rFonts w:eastAsia="標楷體"/>
        </w:rPr>
        <w:br/>
        <w:t xml:space="preserve">            </w:t>
      </w:r>
      <w:r w:rsidR="00450DD4" w:rsidRPr="00450DD4">
        <w:rPr>
          <w:rFonts w:eastAsia="標楷體"/>
        </w:rPr>
        <w:t>Models</w:t>
      </w:r>
      <w:r w:rsidR="00450DD4">
        <w:rPr>
          <w:rFonts w:eastAsia="標楷體"/>
        </w:rPr>
        <w:t>)</w:t>
      </w:r>
    </w:p>
    <w:p w14:paraId="7CC35401" w14:textId="7E8A7640" w:rsidR="004C72CF" w:rsidRPr="005E0170" w:rsidRDefault="004C72CF" w:rsidP="007F14EA">
      <w:pPr>
        <w:pStyle w:val="ACLText"/>
        <w:rPr>
          <w:rFonts w:eastAsia="標楷體"/>
        </w:rPr>
      </w:pPr>
      <w:r w:rsidRPr="005E0170">
        <w:rPr>
          <w:rFonts w:eastAsia="標楷體"/>
        </w:rPr>
        <w:t>我們假設</w:t>
      </w:r>
      <w:r w:rsidRPr="005E0170">
        <w:rPr>
          <w:rFonts w:eastAsia="標楷體"/>
        </w:rPr>
        <w:t xml:space="preserve"> logit </w:t>
      </w:r>
      <w:r w:rsidRPr="005E0170">
        <w:rPr>
          <w:rFonts w:eastAsia="標楷體"/>
        </w:rPr>
        <w:t>序列的分佈並非單峰，而是可能由多個潛在狀態（如音素的起始、穩定、結束階段）混合而成。高斯混合模型</w:t>
      </w:r>
      <w:r w:rsidRPr="005E0170">
        <w:rPr>
          <w:rFonts w:eastAsia="標楷體"/>
        </w:rPr>
        <w:t xml:space="preserve"> (GMM) </w:t>
      </w:r>
      <w:r w:rsidRPr="005E0170">
        <w:rPr>
          <w:rFonts w:eastAsia="標楷體"/>
        </w:rPr>
        <w:t>能有效捕捉這種多模態特性。我們將</w:t>
      </w:r>
      <w:r w:rsidRPr="005E0170">
        <w:rPr>
          <w:rFonts w:eastAsia="標楷體"/>
        </w:rPr>
        <w:t xml:space="preserve"> logit </w:t>
      </w:r>
      <w:r w:rsidRPr="005E0170">
        <w:rPr>
          <w:rFonts w:eastAsia="標楷體"/>
        </w:rPr>
        <w:t>序列擬合成一個包含</w:t>
      </w:r>
      <w:r w:rsidRPr="005E0170">
        <w:rPr>
          <w:rFonts w:eastAsia="標楷體"/>
        </w:rPr>
        <w:t xml:space="preserve"> K </w:t>
      </w:r>
      <w:r w:rsidRPr="005E0170">
        <w:rPr>
          <w:rFonts w:eastAsia="標楷體"/>
        </w:rPr>
        <w:t>個高斯分量的</w:t>
      </w:r>
      <w:r w:rsidRPr="005E0170">
        <w:rPr>
          <w:rFonts w:eastAsia="標楷體"/>
        </w:rPr>
        <w:t xml:space="preserve"> GMM</w:t>
      </w:r>
      <w:r w:rsidRPr="005E0170">
        <w:rPr>
          <w:rFonts w:eastAsia="標楷體"/>
        </w:rPr>
        <w:t>，並提取其參數作為特徵，例如各分量的均值</w:t>
      </w:r>
      <w:r w:rsidRPr="005E0170">
        <w:rPr>
          <w:rFonts w:eastAsia="標楷體"/>
        </w:rPr>
        <w:t xml:space="preserve"> (μ</w:t>
      </w:r>
      <w:proofErr w:type="gramStart"/>
      <w:r w:rsidRPr="007A0441">
        <w:rPr>
          <w:rFonts w:eastAsia="標楷體"/>
          <w:vertAlign w:val="subscript"/>
        </w:rPr>
        <w:t>k</w:t>
      </w:r>
      <w:r w:rsidRPr="005E0170">
        <w:rPr>
          <w:rFonts w:eastAsia="標楷體"/>
        </w:rPr>
        <w:t>​)</w:t>
      </w:r>
      <w:r w:rsidRPr="005E0170">
        <w:rPr>
          <w:rFonts w:eastAsia="標楷體"/>
        </w:rPr>
        <w:t>、</w:t>
      </w:r>
      <w:proofErr w:type="gramEnd"/>
      <w:r w:rsidRPr="005E0170">
        <w:rPr>
          <w:rFonts w:eastAsia="標楷體"/>
        </w:rPr>
        <w:t>變異數</w:t>
      </w:r>
      <w:r w:rsidRPr="005E0170">
        <w:rPr>
          <w:rFonts w:eastAsia="標楷體"/>
        </w:rPr>
        <w:t xml:space="preserve"> (</w:t>
      </w:r>
      <m:oMath>
        <m:sSubSup>
          <m:sSubSupPr>
            <m:ctrlPr>
              <w:rPr>
                <w:rFonts w:ascii="Cambria Math" w:eastAsia="標楷體" w:hAnsi="Cambria Math"/>
                <w:i/>
              </w:rPr>
            </m:ctrlPr>
          </m:sSubSupPr>
          <m:e>
            <m:r>
              <w:rPr>
                <w:rFonts w:ascii="Cambria Math" w:eastAsia="標楷體" w:hAnsi="Cambria Math"/>
              </w:rPr>
              <m:t>σ</m:t>
            </m:r>
          </m:e>
          <m:sub>
            <m:r>
              <w:rPr>
                <w:rFonts w:ascii="Cambria Math" w:eastAsia="標楷體" w:hAnsi="Cambria Math"/>
              </w:rPr>
              <m:t>k</m:t>
            </m:r>
          </m:sub>
          <m:sup>
            <m:r>
              <w:rPr>
                <w:rFonts w:ascii="Cambria Math" w:eastAsia="標楷體" w:hAnsi="Cambria Math"/>
              </w:rPr>
              <m:t>2</m:t>
            </m:r>
          </m:sup>
        </m:sSubSup>
      </m:oMath>
      <w:r w:rsidRPr="005E0170">
        <w:rPr>
          <w:rFonts w:eastAsia="標楷體"/>
        </w:rPr>
        <w:t xml:space="preserve">​) </w:t>
      </w:r>
      <w:r w:rsidRPr="005E0170">
        <w:rPr>
          <w:rFonts w:eastAsia="標楷體"/>
        </w:rPr>
        <w:t>和權重</w:t>
      </w:r>
      <w:r w:rsidRPr="005E0170">
        <w:rPr>
          <w:rFonts w:eastAsia="標楷體"/>
        </w:rPr>
        <w:t xml:space="preserve"> (w</w:t>
      </w:r>
      <w:r w:rsidRPr="002D3932">
        <w:rPr>
          <w:rFonts w:eastAsia="標楷體"/>
          <w:vertAlign w:val="subscript"/>
        </w:rPr>
        <w:t>k</w:t>
      </w:r>
      <w:r w:rsidRPr="005E0170">
        <w:rPr>
          <w:rFonts w:eastAsia="標楷體"/>
        </w:rPr>
        <w:t>​)</w:t>
      </w:r>
      <w:r w:rsidRPr="005E0170">
        <w:rPr>
          <w:rFonts w:eastAsia="標楷體"/>
        </w:rPr>
        <w:t>。這些參數能精細地描述發音過程中模型信心的多階段動態。</w:t>
      </w:r>
    </w:p>
    <w:p w14:paraId="6C7A9535" w14:textId="77777777" w:rsidR="004C72CF" w:rsidRPr="005E0170" w:rsidRDefault="004C72CF" w:rsidP="00450DD4">
      <w:pPr>
        <w:pStyle w:val="ACLText"/>
        <w:rPr>
          <w:rFonts w:eastAsia="標楷體"/>
        </w:rPr>
      </w:pPr>
      <w:r w:rsidRPr="005E0170">
        <w:rPr>
          <w:rFonts w:eastAsia="標楷體"/>
        </w:rPr>
        <w:t xml:space="preserve">2.2.4. </w:t>
      </w:r>
      <w:r w:rsidRPr="005E0170">
        <w:rPr>
          <w:rFonts w:eastAsia="標楷體"/>
        </w:rPr>
        <w:t>時序穩定性特徵：自相關分析</w:t>
      </w:r>
      <w:r w:rsidRPr="005E0170">
        <w:rPr>
          <w:rFonts w:eastAsia="標楷體"/>
        </w:rPr>
        <w:t xml:space="preserve"> (Temporal Stability: Autocorrelation Analysis)</w:t>
      </w:r>
    </w:p>
    <w:p w14:paraId="35BB135B" w14:textId="77777777" w:rsidR="004C72CF" w:rsidRPr="005E0170" w:rsidRDefault="004C72CF" w:rsidP="00450DD4">
      <w:pPr>
        <w:pStyle w:val="ACLText"/>
        <w:rPr>
          <w:rFonts w:eastAsia="標楷體"/>
        </w:rPr>
      </w:pPr>
      <w:r w:rsidRPr="005E0170">
        <w:rPr>
          <w:rFonts w:eastAsia="標楷體"/>
        </w:rPr>
        <w:t>為了彌補現有方法忽略</w:t>
      </w:r>
      <w:r w:rsidRPr="005E0170">
        <w:rPr>
          <w:rFonts w:eastAsia="標楷體"/>
        </w:rPr>
        <w:t xml:space="preserve"> logit </w:t>
      </w:r>
      <w:r w:rsidRPr="005E0170">
        <w:rPr>
          <w:rFonts w:eastAsia="標楷體"/>
        </w:rPr>
        <w:t>序列時間順序性的不足，我們引入時間序列分析。我們計算</w:t>
      </w:r>
      <w:r w:rsidRPr="005E0170">
        <w:rPr>
          <w:rFonts w:eastAsia="標楷體"/>
        </w:rPr>
        <w:t xml:space="preserve"> logit </w:t>
      </w:r>
      <w:r w:rsidRPr="005E0170">
        <w:rPr>
          <w:rFonts w:eastAsia="標楷體"/>
        </w:rPr>
        <w:t>序列在延遲為</w:t>
      </w:r>
      <w:r w:rsidRPr="005E0170">
        <w:rPr>
          <w:rFonts w:eastAsia="標楷體"/>
        </w:rPr>
        <w:t xml:space="preserve"> 1 (lag-1) </w:t>
      </w:r>
      <w:r w:rsidRPr="005E0170">
        <w:rPr>
          <w:rFonts w:eastAsia="標楷體"/>
        </w:rPr>
        <w:t>時的自相關係數</w:t>
      </w:r>
      <w:r w:rsidRPr="005E0170">
        <w:rPr>
          <w:rFonts w:eastAsia="標楷體"/>
        </w:rPr>
        <w:t xml:space="preserve"> (Autocorrelation)</w:t>
      </w:r>
      <w:r w:rsidRPr="005E0170">
        <w:rPr>
          <w:rFonts w:eastAsia="標楷體"/>
        </w:rPr>
        <w:t>。一個高的正相關係數表示</w:t>
      </w:r>
      <w:r w:rsidRPr="005E0170">
        <w:rPr>
          <w:rFonts w:eastAsia="標楷體"/>
        </w:rPr>
        <w:t xml:space="preserve"> logit </w:t>
      </w:r>
      <w:r w:rsidRPr="005E0170">
        <w:rPr>
          <w:rFonts w:eastAsia="標楷體"/>
        </w:rPr>
        <w:t>序列是平滑且穩定變化的，這通常對應於一個清晰、穩定的發音。反之，一個接近於零或負值的係數則暗示著序列存在劇烈、不規則的波動，可能是發音不穩定的跡象。</w:t>
      </w:r>
    </w:p>
    <w:p w14:paraId="64E262B2" w14:textId="77777777" w:rsidR="004C72CF" w:rsidRPr="005E0170" w:rsidRDefault="004C72CF" w:rsidP="00450DD4">
      <w:pPr>
        <w:pStyle w:val="ACLText"/>
        <w:rPr>
          <w:rFonts w:eastAsia="標楷體"/>
        </w:rPr>
      </w:pPr>
      <w:r w:rsidRPr="005E0170">
        <w:rPr>
          <w:rFonts w:eastAsia="標楷體"/>
        </w:rPr>
        <w:t xml:space="preserve">2.2.5. </w:t>
      </w:r>
      <w:r w:rsidRPr="005E0170">
        <w:rPr>
          <w:rFonts w:eastAsia="標楷體"/>
        </w:rPr>
        <w:t>峰值穩健性特徵：極值理論</w:t>
      </w:r>
      <w:r w:rsidRPr="005E0170">
        <w:rPr>
          <w:rFonts w:eastAsia="標楷體"/>
        </w:rPr>
        <w:t xml:space="preserve"> (Peak Robustness: Extreme Value Theory)</w:t>
      </w:r>
    </w:p>
    <w:p w14:paraId="2140C20D" w14:textId="09D4A8C9" w:rsidR="0087257A" w:rsidRPr="009266A0" w:rsidRDefault="00000000" w:rsidP="00450DD4">
      <w:pPr>
        <w:pStyle w:val="ACLTextFirstLine"/>
        <w:ind w:firstLine="0"/>
        <w:rPr>
          <w:rFonts w:eastAsia="標楷體"/>
        </w:rPr>
      </w:pPr>
      <m:oMath>
        <m:sSub>
          <m:sSubPr>
            <m:ctrlPr>
              <w:rPr>
                <w:rFonts w:ascii="Cambria Math" w:eastAsia="標楷體" w:hAnsi="Cambria Math"/>
                <w:i/>
              </w:rPr>
            </m:ctrlPr>
          </m:sSubPr>
          <m:e>
            <m:r>
              <w:rPr>
                <w:rFonts w:ascii="Cambria Math" w:eastAsia="標楷體" w:hAnsi="Cambria Math"/>
              </w:rPr>
              <m:t>GOP</m:t>
            </m:r>
          </m:e>
          <m:sub>
            <m:r>
              <w:rPr>
                <w:rFonts w:ascii="Cambria Math" w:eastAsia="標楷體" w:hAnsi="Cambria Math"/>
              </w:rPr>
              <m:t>MaxLogit</m:t>
            </m:r>
          </m:sub>
        </m:sSub>
      </m:oMath>
      <w:r w:rsidR="004C72CF" w:rsidRPr="005E0170">
        <w:rPr>
          <w:rFonts w:eastAsia="標楷體"/>
        </w:rPr>
        <w:t>對單一的雜訊尖峰非常敏感。為了解決這個問題，我們採用一個更穩健的峰值估計方法：</w:t>
      </w:r>
      <m:oMath>
        <m:r>
          <w:rPr>
            <w:rFonts w:ascii="Cambria Math" w:eastAsia="標楷體" w:hAnsi="Cambria Math"/>
          </w:rPr>
          <m:t>top-k</m:t>
        </m:r>
      </m:oMath>
      <w:r w:rsidR="004C72CF" w:rsidRPr="005E0170">
        <w:rPr>
          <w:rFonts w:eastAsia="標楷體"/>
        </w:rPr>
        <w:t xml:space="preserve"> </w:t>
      </w:r>
      <w:r w:rsidR="004C72CF" w:rsidRPr="005E0170">
        <w:rPr>
          <w:rFonts w:eastAsia="標楷體"/>
        </w:rPr>
        <w:t>平均值。此方法選取</w:t>
      </w:r>
      <w:r w:rsidR="004C72CF" w:rsidRPr="005E0170">
        <w:rPr>
          <w:rFonts w:eastAsia="標楷體"/>
        </w:rPr>
        <w:t xml:space="preserve"> logit </w:t>
      </w:r>
      <w:r w:rsidR="004C72CF" w:rsidRPr="005E0170">
        <w:rPr>
          <w:rFonts w:eastAsia="標楷體"/>
        </w:rPr>
        <w:t>序列中最大的</w:t>
      </w:r>
      <w:r w:rsidR="004C72CF" w:rsidRPr="005E0170">
        <w:rPr>
          <w:rFonts w:eastAsia="標楷體"/>
        </w:rPr>
        <w:t xml:space="preserve"> k </w:t>
      </w:r>
      <w:r w:rsidR="004C72CF" w:rsidRPr="005E0170">
        <w:rPr>
          <w:rFonts w:eastAsia="標楷體"/>
        </w:rPr>
        <w:t>個值（例如</w:t>
      </w:r>
      <w:r w:rsidR="004C72CF" w:rsidRPr="005E0170">
        <w:rPr>
          <w:rFonts w:eastAsia="標楷體"/>
        </w:rPr>
        <w:t xml:space="preserve"> k=3</w:t>
      </w:r>
      <w:r w:rsidR="004C72CF" w:rsidRPr="005E0170">
        <w:rPr>
          <w:rFonts w:eastAsia="標楷體"/>
        </w:rPr>
        <w:t>），並計算它們的平均值。這提供了一個更穩定的模型「峰值信心」的估計，有效地平滑了單一離群值的影響。</w:t>
      </w:r>
    </w:p>
    <w:p w14:paraId="0636F098" w14:textId="77777777" w:rsidR="006130C0" w:rsidRPr="00DD4B22" w:rsidRDefault="006130C0" w:rsidP="006130C0">
      <w:pPr>
        <w:pStyle w:val="ACLText"/>
        <w:rPr>
          <w:rFonts w:eastAsia="標楷體"/>
          <w:lang w:eastAsia="zh-TW"/>
        </w:rPr>
      </w:pPr>
      <w:r w:rsidRPr="00DD4B22">
        <w:rPr>
          <w:rFonts w:eastAsia="標楷體"/>
          <w:lang w:eastAsia="zh-TW"/>
        </w:rPr>
        <w:t xml:space="preserve">3. </w:t>
      </w:r>
      <w:r w:rsidRPr="00DD4B22">
        <w:rPr>
          <w:rFonts w:eastAsia="標楷體"/>
          <w:lang w:eastAsia="zh-TW"/>
        </w:rPr>
        <w:t>實驗與結果</w:t>
      </w:r>
      <w:r w:rsidRPr="00DD4B22">
        <w:rPr>
          <w:rFonts w:eastAsia="標楷體"/>
          <w:lang w:eastAsia="zh-TW"/>
        </w:rPr>
        <w:t xml:space="preserve"> (Experiments &amp; Results)</w:t>
      </w:r>
    </w:p>
    <w:p w14:paraId="04B8A30E" w14:textId="7841BDA9" w:rsidR="006130C0" w:rsidRPr="00DD4B22" w:rsidRDefault="006130C0" w:rsidP="006130C0">
      <w:pPr>
        <w:pStyle w:val="ACLText"/>
        <w:rPr>
          <w:rFonts w:eastAsia="標楷體"/>
          <w:lang w:eastAsia="zh-TW"/>
        </w:rPr>
      </w:pPr>
      <w:r w:rsidRPr="00DD4B22">
        <w:rPr>
          <w:rFonts w:eastAsia="標楷體"/>
          <w:lang w:eastAsia="zh-TW"/>
        </w:rPr>
        <w:t>本章節將詳細闡述我們的實驗設計、評估指標，並對實驗結果進行深入的分析與討論。我們透過兩階段的實驗</w:t>
      </w:r>
      <w:r w:rsidR="004F39C2" w:rsidRPr="00DD4B22">
        <w:rPr>
          <w:rFonts w:eastAsia="標楷體"/>
          <w:lang w:eastAsia="zh-TW"/>
        </w:rPr>
        <w:t xml:space="preserve"> : </w:t>
      </w:r>
      <w:r w:rsidRPr="00DD4B22">
        <w:rPr>
          <w:rFonts w:eastAsia="標楷體"/>
          <w:lang w:eastAsia="zh-TW"/>
        </w:rPr>
        <w:t>初步實驗（使用</w:t>
      </w:r>
      <w:r w:rsidRPr="00DD4B22">
        <w:rPr>
          <w:rFonts w:eastAsia="標楷體"/>
          <w:lang w:eastAsia="zh-TW"/>
        </w:rPr>
        <w:t>2500</w:t>
      </w:r>
      <w:r w:rsidRPr="00DD4B22">
        <w:rPr>
          <w:rFonts w:eastAsia="標楷體"/>
          <w:lang w:eastAsia="zh-TW"/>
        </w:rPr>
        <w:t>筆訓練集）與完整實驗（使用</w:t>
      </w:r>
      <w:r w:rsidRPr="00DD4B22">
        <w:rPr>
          <w:rFonts w:eastAsia="標楷體"/>
          <w:lang w:eastAsia="zh-TW"/>
        </w:rPr>
        <w:t>5000</w:t>
      </w:r>
      <w:r w:rsidRPr="00DD4B22">
        <w:rPr>
          <w:rFonts w:eastAsia="標楷體"/>
          <w:lang w:eastAsia="zh-TW"/>
        </w:rPr>
        <w:t>筆完整資料集）</w:t>
      </w:r>
      <w:r w:rsidR="004F39C2" w:rsidRPr="00DD4B22">
        <w:rPr>
          <w:rFonts w:eastAsia="標楷體"/>
          <w:lang w:eastAsia="zh-TW"/>
        </w:rPr>
        <w:t xml:space="preserve">: </w:t>
      </w:r>
      <w:r w:rsidRPr="00DD4B22">
        <w:rPr>
          <w:rFonts w:eastAsia="標楷體"/>
          <w:lang w:eastAsia="zh-TW"/>
        </w:rPr>
        <w:t>來全面評估我們提出的多面向統計指標的性能與穩定性。</w:t>
      </w:r>
    </w:p>
    <w:p w14:paraId="3A540D87" w14:textId="77777777" w:rsidR="006130C0" w:rsidRPr="00DD4B22" w:rsidRDefault="006130C0" w:rsidP="007D44C8">
      <w:pPr>
        <w:pStyle w:val="ACLText"/>
        <w:ind w:left="259" w:hangingChars="119" w:hanging="259"/>
        <w:rPr>
          <w:rFonts w:eastAsia="標楷體"/>
          <w:lang w:eastAsia="zh-TW"/>
        </w:rPr>
      </w:pPr>
      <w:r w:rsidRPr="00DD4B22">
        <w:rPr>
          <w:rFonts w:eastAsia="標楷體"/>
          <w:lang w:eastAsia="zh-TW"/>
        </w:rPr>
        <w:t xml:space="preserve">3.1. </w:t>
      </w:r>
      <w:r w:rsidRPr="00DD4B22">
        <w:rPr>
          <w:rFonts w:eastAsia="標楷體"/>
          <w:lang w:eastAsia="zh-TW"/>
        </w:rPr>
        <w:t>實驗設定</w:t>
      </w:r>
      <w:r w:rsidRPr="00DD4B22">
        <w:rPr>
          <w:rFonts w:eastAsia="標楷體"/>
          <w:lang w:eastAsia="zh-TW"/>
        </w:rPr>
        <w:t xml:space="preserve"> (Experimental Setup)</w:t>
      </w:r>
    </w:p>
    <w:p w14:paraId="4597CBC9" w14:textId="77777777" w:rsidR="006130C0" w:rsidRPr="00DD4B22" w:rsidRDefault="006130C0" w:rsidP="00450DD4">
      <w:pPr>
        <w:pStyle w:val="ACLText"/>
        <w:rPr>
          <w:rFonts w:eastAsia="標楷體"/>
          <w:lang w:eastAsia="zh-TW"/>
        </w:rPr>
      </w:pPr>
      <w:r w:rsidRPr="00DD4B22">
        <w:rPr>
          <w:rFonts w:eastAsia="標楷體"/>
          <w:lang w:eastAsia="zh-TW"/>
        </w:rPr>
        <w:t>本研究的所有實驗皆於</w:t>
      </w:r>
      <w:r w:rsidRPr="00DD4B22">
        <w:rPr>
          <w:rFonts w:eastAsia="標楷體"/>
          <w:lang w:eastAsia="zh-TW"/>
        </w:rPr>
        <w:t xml:space="preserve"> SpeechOcean762 </w:t>
      </w:r>
      <w:r w:rsidRPr="00DD4B22">
        <w:rPr>
          <w:rFonts w:eastAsia="標楷體"/>
          <w:lang w:eastAsia="zh-TW"/>
        </w:rPr>
        <w:t>資料集上進行。此資料集提供了每個音素的標準音標與實際發音標註，讓我們得以客觀地產生「正確」與「錯誤」的標籤，作為分類任務的參考標準。</w:t>
      </w:r>
    </w:p>
    <w:p w14:paraId="6B71AC64" w14:textId="77777777" w:rsidR="006130C0" w:rsidRPr="00DD4B22" w:rsidRDefault="006130C0" w:rsidP="007F14EA">
      <w:pPr>
        <w:pStyle w:val="ACLText"/>
        <w:rPr>
          <w:rFonts w:eastAsia="標楷體"/>
          <w:lang w:eastAsia="zh-TW"/>
        </w:rPr>
      </w:pPr>
      <w:r w:rsidRPr="00DD4B22">
        <w:rPr>
          <w:rFonts w:eastAsia="標楷體"/>
          <w:lang w:eastAsia="zh-TW"/>
        </w:rPr>
        <w:t>為了全面評估各項</w:t>
      </w:r>
      <w:r w:rsidRPr="00DD4B22">
        <w:rPr>
          <w:rFonts w:eastAsia="標楷體"/>
          <w:lang w:eastAsia="zh-TW"/>
        </w:rPr>
        <w:t>GOP</w:t>
      </w:r>
      <w:r w:rsidRPr="00DD4B22">
        <w:rPr>
          <w:rFonts w:eastAsia="標楷體"/>
          <w:lang w:eastAsia="zh-TW"/>
        </w:rPr>
        <w:t>指標的性能與穩定性，我們設計了兩組實驗：</w:t>
      </w:r>
    </w:p>
    <w:p w14:paraId="02EF7862" w14:textId="77777777" w:rsidR="006130C0" w:rsidRPr="00DD4B22" w:rsidRDefault="006130C0" w:rsidP="007F14EA">
      <w:pPr>
        <w:pStyle w:val="ACLText"/>
        <w:numPr>
          <w:ilvl w:val="0"/>
          <w:numId w:val="24"/>
        </w:numPr>
        <w:tabs>
          <w:tab w:val="clear" w:pos="720"/>
        </w:tabs>
        <w:ind w:left="426"/>
        <w:rPr>
          <w:rFonts w:eastAsia="標楷體"/>
          <w:lang w:eastAsia="zh-TW"/>
        </w:rPr>
      </w:pPr>
      <w:r w:rsidRPr="00DD4B22">
        <w:rPr>
          <w:rFonts w:eastAsia="標楷體"/>
          <w:lang w:eastAsia="zh-TW"/>
        </w:rPr>
        <w:t>初步實驗：僅使用官方劃分的訓練集</w:t>
      </w:r>
      <w:r w:rsidRPr="00DD4B22">
        <w:rPr>
          <w:rFonts w:eastAsia="標楷體"/>
          <w:lang w:eastAsia="zh-TW"/>
        </w:rPr>
        <w:t xml:space="preserve"> (Training Split)</w:t>
      </w:r>
      <w:r w:rsidRPr="00DD4B22">
        <w:rPr>
          <w:rFonts w:eastAsia="標楷體"/>
          <w:lang w:eastAsia="zh-TW"/>
        </w:rPr>
        <w:t>，共</w:t>
      </w:r>
      <w:r w:rsidRPr="00DD4B22">
        <w:rPr>
          <w:rFonts w:eastAsia="標楷體"/>
          <w:lang w:eastAsia="zh-TW"/>
        </w:rPr>
        <w:t>2500</w:t>
      </w:r>
      <w:r w:rsidRPr="00DD4B22">
        <w:rPr>
          <w:rFonts w:eastAsia="標楷體"/>
          <w:lang w:eastAsia="zh-TW"/>
        </w:rPr>
        <w:t>筆語音，進行指標性能的初步探勘。</w:t>
      </w:r>
    </w:p>
    <w:p w14:paraId="37EA0B6A" w14:textId="77777777" w:rsidR="006130C0" w:rsidRPr="00DD4B22" w:rsidRDefault="006130C0" w:rsidP="007F14EA">
      <w:pPr>
        <w:pStyle w:val="ACLText"/>
        <w:numPr>
          <w:ilvl w:val="0"/>
          <w:numId w:val="24"/>
        </w:numPr>
        <w:tabs>
          <w:tab w:val="clear" w:pos="720"/>
        </w:tabs>
        <w:ind w:left="426"/>
        <w:rPr>
          <w:rFonts w:eastAsia="標楷體"/>
          <w:lang w:eastAsia="zh-TW"/>
        </w:rPr>
      </w:pPr>
      <w:r w:rsidRPr="00DD4B22">
        <w:rPr>
          <w:rFonts w:eastAsia="標楷體"/>
          <w:lang w:eastAsia="zh-TW"/>
        </w:rPr>
        <w:lastRenderedPageBreak/>
        <w:t>完整實驗：使用完整資料集</w:t>
      </w:r>
      <w:r w:rsidRPr="00DD4B22">
        <w:rPr>
          <w:rFonts w:eastAsia="標楷體"/>
          <w:lang w:eastAsia="zh-TW"/>
        </w:rPr>
        <w:t xml:space="preserve"> (Full Dataset)</w:t>
      </w:r>
      <w:r w:rsidRPr="00DD4B22">
        <w:rPr>
          <w:rFonts w:eastAsia="標楷體"/>
          <w:lang w:eastAsia="zh-TW"/>
        </w:rPr>
        <w:t>，共</w:t>
      </w:r>
      <w:r w:rsidRPr="00DD4B22">
        <w:rPr>
          <w:rFonts w:eastAsia="標楷體"/>
          <w:lang w:eastAsia="zh-TW"/>
        </w:rPr>
        <w:t>5000</w:t>
      </w:r>
      <w:r w:rsidRPr="00DD4B22">
        <w:rPr>
          <w:rFonts w:eastAsia="標楷體"/>
          <w:lang w:eastAsia="zh-TW"/>
        </w:rPr>
        <w:t>筆語音，以驗證指標在更大、更多樣的數據上的泛化能力。</w:t>
      </w:r>
    </w:p>
    <w:p w14:paraId="28C4A3C0" w14:textId="2D4D5E98" w:rsidR="006130C0" w:rsidRPr="00DD4B22" w:rsidRDefault="006130C0" w:rsidP="00C31515">
      <w:pPr>
        <w:pStyle w:val="ACLText"/>
        <w:rPr>
          <w:rFonts w:eastAsia="標楷體"/>
          <w:lang w:eastAsia="zh-TW"/>
        </w:rPr>
      </w:pPr>
      <w:r w:rsidRPr="00DD4B22">
        <w:rPr>
          <w:rFonts w:eastAsia="標楷體"/>
          <w:lang w:eastAsia="zh-TW"/>
        </w:rPr>
        <w:t>評估指標主要採用馬修斯相關係數</w:t>
      </w:r>
      <w:r w:rsidRPr="00DD4B22">
        <w:rPr>
          <w:rFonts w:eastAsia="標楷體"/>
          <w:lang w:eastAsia="zh-TW"/>
        </w:rPr>
        <w:t xml:space="preserve"> (</w:t>
      </w:r>
      <m:oMath>
        <m:r>
          <w:rPr>
            <w:rFonts w:ascii="Cambria Math" w:eastAsia="標楷體" w:hAnsi="Cambria Math"/>
            <w:lang w:eastAsia="zh-TW"/>
          </w:rPr>
          <m:t>MCC</m:t>
        </m:r>
      </m:oMath>
      <w:r w:rsidRPr="00DD4B22">
        <w:rPr>
          <w:rFonts w:eastAsia="標楷體"/>
          <w:lang w:eastAsia="zh-TW"/>
        </w:rPr>
        <w:t>)</w:t>
      </w:r>
      <w:r w:rsidRPr="00DD4B22">
        <w:rPr>
          <w:rFonts w:eastAsia="標楷體"/>
          <w:lang w:eastAsia="zh-TW"/>
        </w:rPr>
        <w:t>，因其在處理類別不平衡數據時最具參考價值，同時也輔以準確率</w:t>
      </w:r>
      <w:r w:rsidRPr="00DD4B22">
        <w:rPr>
          <w:rFonts w:eastAsia="標楷體"/>
          <w:lang w:eastAsia="zh-TW"/>
        </w:rPr>
        <w:t xml:space="preserve"> (</w:t>
      </w:r>
      <w:r w:rsidR="00DD4B22" w:rsidRPr="00DD4B22">
        <w:rPr>
          <w:rFonts w:eastAsia="標楷體"/>
          <w:lang w:eastAsia="zh-TW"/>
        </w:rPr>
        <w:t>Accuracy</w:t>
      </w:r>
      <w:r w:rsidRPr="00DD4B22">
        <w:rPr>
          <w:rFonts w:eastAsia="標楷體"/>
          <w:lang w:eastAsia="zh-TW"/>
        </w:rPr>
        <w:t>)</w:t>
      </w:r>
      <w:r w:rsidRPr="00DD4B22">
        <w:rPr>
          <w:rFonts w:eastAsia="標楷體"/>
          <w:lang w:eastAsia="zh-TW"/>
        </w:rPr>
        <w:t>、精確率</w:t>
      </w:r>
      <w:r w:rsidRPr="00DD4B22">
        <w:rPr>
          <w:rFonts w:eastAsia="標楷體"/>
          <w:lang w:eastAsia="zh-TW"/>
        </w:rPr>
        <w:t xml:space="preserve"> (</w:t>
      </w:r>
      <w:r w:rsidR="00DD4B22" w:rsidRPr="00DD4B22">
        <w:rPr>
          <w:rFonts w:eastAsia="標楷體"/>
          <w:lang w:eastAsia="zh-TW"/>
        </w:rPr>
        <w:t>Precision</w:t>
      </w:r>
      <w:r w:rsidRPr="00DD4B22">
        <w:rPr>
          <w:rFonts w:eastAsia="標楷體"/>
          <w:lang w:eastAsia="zh-TW"/>
        </w:rPr>
        <w:t>)</w:t>
      </w:r>
      <w:r w:rsidRPr="00DD4B22">
        <w:rPr>
          <w:rFonts w:eastAsia="標楷體"/>
          <w:lang w:eastAsia="zh-TW"/>
        </w:rPr>
        <w:t>、召回率</w:t>
      </w:r>
      <w:r w:rsidRPr="00DD4B22">
        <w:rPr>
          <w:rFonts w:eastAsia="標楷體"/>
          <w:lang w:eastAsia="zh-TW"/>
        </w:rPr>
        <w:t xml:space="preserve"> (</w:t>
      </w:r>
      <w:r w:rsidR="00DD4B22" w:rsidRPr="00DD4B22">
        <w:rPr>
          <w:rFonts w:eastAsia="標楷體"/>
          <w:lang w:eastAsia="zh-TW"/>
        </w:rPr>
        <w:t>Recall</w:t>
      </w:r>
      <w:r w:rsidRPr="00DD4B22">
        <w:rPr>
          <w:rFonts w:eastAsia="標楷體"/>
          <w:lang w:eastAsia="zh-TW"/>
        </w:rPr>
        <w:t xml:space="preserve">) </w:t>
      </w:r>
      <w:r w:rsidRPr="00DD4B22">
        <w:rPr>
          <w:rFonts w:eastAsia="標楷體"/>
          <w:lang w:eastAsia="zh-TW"/>
        </w:rPr>
        <w:t>與</w:t>
      </w:r>
      <w:r w:rsidRPr="00DD4B22">
        <w:rPr>
          <w:rFonts w:eastAsia="標楷體"/>
          <w:lang w:eastAsia="zh-TW"/>
        </w:rPr>
        <w:t xml:space="preserve"> </w:t>
      </w:r>
      <m:oMath>
        <m:r>
          <w:rPr>
            <w:rFonts w:ascii="Cambria Math" w:eastAsia="標楷體" w:hAnsi="Cambria Math"/>
            <w:lang w:eastAsia="zh-TW"/>
          </w:rPr>
          <m:t>F1-score</m:t>
        </m:r>
      </m:oMath>
      <w:r w:rsidRPr="00DD4B22">
        <w:rPr>
          <w:rFonts w:eastAsia="標楷體"/>
          <w:lang w:eastAsia="zh-TW"/>
        </w:rPr>
        <w:t xml:space="preserve"> </w:t>
      </w:r>
      <w:r w:rsidRPr="00DD4B22">
        <w:rPr>
          <w:rFonts w:eastAsia="標楷體"/>
          <w:lang w:eastAsia="zh-TW"/>
        </w:rPr>
        <w:t>進</w:t>
      </w:r>
      <w:r w:rsidR="000B1D6A">
        <w:rPr>
          <w:rFonts w:eastAsia="標楷體" w:hint="eastAsia"/>
          <w:lang w:eastAsia="zh-TW"/>
        </w:rPr>
        <w:t>行分析</w:t>
      </w:r>
      <w:r w:rsidRPr="00DD4B22">
        <w:rPr>
          <w:rFonts w:eastAsia="標楷體"/>
          <w:lang w:eastAsia="zh-TW"/>
        </w:rPr>
        <w:t>。</w:t>
      </w:r>
    </w:p>
    <w:p w14:paraId="1ACAB6BF" w14:textId="77777777" w:rsidR="006130C0" w:rsidRPr="00DD4B22" w:rsidRDefault="006130C0" w:rsidP="007D44C8">
      <w:pPr>
        <w:pStyle w:val="ACLText"/>
        <w:rPr>
          <w:rFonts w:eastAsia="標楷體"/>
          <w:lang w:eastAsia="zh-TW"/>
        </w:rPr>
      </w:pPr>
      <w:r w:rsidRPr="00DD4B22">
        <w:rPr>
          <w:rFonts w:eastAsia="標楷體"/>
          <w:lang w:eastAsia="zh-TW"/>
        </w:rPr>
        <w:t xml:space="preserve">3.2. </w:t>
      </w:r>
      <w:r w:rsidRPr="00DD4B22">
        <w:rPr>
          <w:rFonts w:eastAsia="標楷體"/>
          <w:lang w:eastAsia="zh-TW"/>
        </w:rPr>
        <w:t>初步實驗結果</w:t>
      </w:r>
      <w:r w:rsidRPr="00DD4B22">
        <w:rPr>
          <w:rFonts w:eastAsia="標楷體"/>
          <w:lang w:eastAsia="zh-TW"/>
        </w:rPr>
        <w:t xml:space="preserve"> (</w:t>
      </w:r>
      <w:r w:rsidRPr="00DD4B22">
        <w:rPr>
          <w:rFonts w:eastAsia="標楷體"/>
          <w:lang w:eastAsia="zh-TW"/>
        </w:rPr>
        <w:t>僅使用訓練集</w:t>
      </w:r>
      <w:r w:rsidRPr="00DD4B22">
        <w:rPr>
          <w:rFonts w:eastAsia="標楷體"/>
          <w:lang w:eastAsia="zh-TW"/>
        </w:rPr>
        <w:t>)</w:t>
      </w:r>
    </w:p>
    <w:p w14:paraId="7CAF0B27" w14:textId="0C32C424" w:rsidR="00C31515" w:rsidRPr="000B1D6A" w:rsidRDefault="006130C0" w:rsidP="008A4018">
      <w:pPr>
        <w:pStyle w:val="ACLText"/>
        <w:rPr>
          <w:rFonts w:eastAsia="標楷體"/>
          <w:b/>
          <w:lang w:eastAsia="zh-TW"/>
        </w:rPr>
        <w:sectPr w:rsidR="00C31515" w:rsidRPr="000B1D6A" w:rsidSect="005449E1">
          <w:footerReference w:type="default" r:id="rId8"/>
          <w:pgSz w:w="11909" w:h="16834" w:code="9"/>
          <w:pgMar w:top="1411" w:right="1411" w:bottom="1440" w:left="1411" w:header="475" w:footer="360" w:gutter="0"/>
          <w:cols w:num="2" w:space="389"/>
          <w:docGrid w:linePitch="360"/>
        </w:sectPr>
      </w:pPr>
      <w:r w:rsidRPr="00DD4B22">
        <w:rPr>
          <w:rFonts w:eastAsia="標楷體"/>
          <w:lang w:eastAsia="zh-TW"/>
        </w:rPr>
        <w:t>在僅使用</w:t>
      </w:r>
      <w:r w:rsidRPr="00DD4B22">
        <w:rPr>
          <w:rFonts w:eastAsia="標楷體"/>
          <w:lang w:eastAsia="zh-TW"/>
        </w:rPr>
        <w:t>2500</w:t>
      </w:r>
      <w:r w:rsidRPr="00DD4B22">
        <w:rPr>
          <w:rFonts w:eastAsia="標楷體"/>
          <w:lang w:eastAsia="zh-TW"/>
        </w:rPr>
        <w:t>筆訓練集數據的初步實驗中，我們發現描述</w:t>
      </w:r>
      <w:r w:rsidRPr="00DD4B22">
        <w:rPr>
          <w:rFonts w:eastAsia="標楷體"/>
          <w:lang w:eastAsia="zh-TW"/>
        </w:rPr>
        <w:t xml:space="preserve"> logit </w:t>
      </w:r>
      <w:r w:rsidRPr="00DD4B22">
        <w:rPr>
          <w:rFonts w:eastAsia="標楷體"/>
          <w:lang w:eastAsia="zh-TW"/>
        </w:rPr>
        <w:t>分佈形狀的高階動差指標表現最佳。如表</w:t>
      </w:r>
      <w:r w:rsidRPr="00DD4B22">
        <w:rPr>
          <w:rFonts w:eastAsia="標楷體"/>
          <w:lang w:eastAsia="zh-TW"/>
        </w:rPr>
        <w:t>1</w:t>
      </w:r>
      <w:r w:rsidRPr="00DD4B22">
        <w:rPr>
          <w:rFonts w:eastAsia="標楷體"/>
          <w:lang w:eastAsia="zh-TW"/>
        </w:rPr>
        <w:t>所示，峰度</w:t>
      </w:r>
      <w:r w:rsidRPr="00DD4B22">
        <w:rPr>
          <w:rFonts w:eastAsia="標楷體"/>
          <w:lang w:eastAsia="zh-TW"/>
        </w:rPr>
        <w:t xml:space="preserve"> (</w:t>
      </w:r>
      <m:oMath>
        <m:r>
          <w:rPr>
            <w:rFonts w:ascii="Cambria Math" w:eastAsia="標楷體" w:hAnsi="Cambria Math"/>
            <w:lang w:eastAsia="zh-TW"/>
          </w:rPr>
          <m:t>kurtosis</m:t>
        </m:r>
      </m:oMath>
      <w:r w:rsidRPr="00DD4B22">
        <w:rPr>
          <w:rFonts w:eastAsia="標楷體"/>
          <w:lang w:eastAsia="zh-TW"/>
        </w:rPr>
        <w:t xml:space="preserve">) </w:t>
      </w:r>
      <w:r w:rsidRPr="00DD4B22">
        <w:rPr>
          <w:rFonts w:eastAsia="標楷體"/>
          <w:lang w:eastAsia="zh-TW"/>
        </w:rPr>
        <w:t>和偏度</w:t>
      </w:r>
      <w:r w:rsidRPr="00DD4B22">
        <w:rPr>
          <w:rFonts w:eastAsia="標楷體"/>
          <w:lang w:eastAsia="zh-TW"/>
        </w:rPr>
        <w:t xml:space="preserve"> (</w:t>
      </w:r>
      <m:oMath>
        <m:r>
          <w:rPr>
            <w:rFonts w:ascii="Cambria Math" w:eastAsia="標楷體" w:hAnsi="Cambria Math"/>
            <w:lang w:eastAsia="zh-TW"/>
          </w:rPr>
          <m:t>skewness</m:t>
        </m:r>
      </m:oMath>
      <w:r w:rsidRPr="00DD4B22">
        <w:rPr>
          <w:rFonts w:eastAsia="標楷體"/>
          <w:lang w:eastAsia="zh-TW"/>
        </w:rPr>
        <w:t xml:space="preserve">) </w:t>
      </w:r>
      <w:r w:rsidRPr="00DD4B22">
        <w:rPr>
          <w:rFonts w:eastAsia="標楷體"/>
          <w:lang w:eastAsia="zh-TW"/>
        </w:rPr>
        <w:t>在</w:t>
      </w:r>
      <m:oMath>
        <m:r>
          <w:rPr>
            <w:rFonts w:ascii="Cambria Math" w:eastAsia="標楷體" w:hAnsi="Cambria Math"/>
            <w:lang w:eastAsia="zh-TW"/>
          </w:rPr>
          <m:t>MCC</m:t>
        </m:r>
      </m:oMath>
      <w:r w:rsidRPr="00DD4B22">
        <w:rPr>
          <w:rFonts w:eastAsia="標楷體"/>
          <w:lang w:eastAsia="zh-TW"/>
        </w:rPr>
        <w:t>分數上名列前茅，顯著優於傳統依賴</w:t>
      </w:r>
      <w:r w:rsidRPr="00DD4B22">
        <w:rPr>
          <w:rFonts w:eastAsia="標楷體"/>
          <w:lang w:eastAsia="zh-TW"/>
        </w:rPr>
        <w:t xml:space="preserve"> logit </w:t>
      </w:r>
      <w:r w:rsidRPr="00DD4B22">
        <w:rPr>
          <w:rFonts w:eastAsia="標楷體"/>
          <w:lang w:eastAsia="zh-TW"/>
        </w:rPr>
        <w:t>數值大小的指標。然而，許多指標呈現出極端的「高召回、低精準」現象，顯示單一門檻值的分類能力有限。</w:t>
      </w:r>
      <w:r w:rsidR="00DD4B22">
        <w:rPr>
          <w:rFonts w:eastAsia="標楷體" w:hint="eastAsia"/>
          <w:lang w:eastAsia="zh-TW"/>
        </w:rPr>
        <w:t>請見</w:t>
      </w:r>
      <w:r w:rsidRPr="00FA1009">
        <w:rPr>
          <w:rFonts w:eastAsia="標楷體" w:hint="eastAsia"/>
          <w:lang w:eastAsia="zh-TW"/>
        </w:rPr>
        <w:t>表</w:t>
      </w:r>
      <w:r w:rsidRPr="00FA1009">
        <w:rPr>
          <w:rFonts w:eastAsia="標楷體" w:hint="eastAsia"/>
          <w:lang w:eastAsia="zh-TW"/>
        </w:rPr>
        <w:t>1</w:t>
      </w:r>
      <w:r w:rsidR="00DD4B22">
        <w:rPr>
          <w:rFonts w:eastAsia="標楷體" w:hint="eastAsia"/>
          <w:lang w:eastAsia="zh-TW"/>
        </w:rPr>
        <w:t>。</w:t>
      </w:r>
    </w:p>
    <w:p w14:paraId="5B49A374" w14:textId="77777777" w:rsidR="008A4018" w:rsidRDefault="008A4018" w:rsidP="008A4018">
      <w:pPr>
        <w:pStyle w:val="ACLText"/>
        <w:rPr>
          <w:rFonts w:ascii="標楷體" w:eastAsia="標楷體" w:hAnsi="標楷體"/>
          <w:b/>
          <w:bCs/>
          <w:lang w:eastAsia="zh-TW"/>
        </w:rPr>
      </w:pPr>
    </w:p>
    <w:tbl>
      <w:tblPr>
        <w:tblStyle w:val="ad"/>
        <w:tblpPr w:leftFromText="180" w:rightFromText="180" w:vertAnchor="text" w:horzAnchor="margin" w:tblpY="125"/>
        <w:tblW w:w="0" w:type="auto"/>
        <w:tblLook w:val="04A0" w:firstRow="1" w:lastRow="0" w:firstColumn="1" w:lastColumn="0" w:noHBand="0" w:noVBand="1"/>
      </w:tblPr>
      <w:tblGrid>
        <w:gridCol w:w="2122"/>
        <w:gridCol w:w="1275"/>
        <w:gridCol w:w="1276"/>
        <w:gridCol w:w="1276"/>
        <w:gridCol w:w="1417"/>
        <w:gridCol w:w="1418"/>
      </w:tblGrid>
      <w:tr w:rsidR="00C31515" w:rsidRPr="00AC3A1C" w14:paraId="525CEC58" w14:textId="77777777" w:rsidTr="00F975A0">
        <w:tc>
          <w:tcPr>
            <w:tcW w:w="8784" w:type="dxa"/>
            <w:gridSpan w:val="6"/>
          </w:tcPr>
          <w:p w14:paraId="75FBA7AF" w14:textId="77777777" w:rsidR="00C31515" w:rsidRPr="00F32FAC" w:rsidRDefault="00C31515" w:rsidP="00F975A0">
            <w:pPr>
              <w:pStyle w:val="ACLTextFirstLine"/>
              <w:ind w:firstLine="0"/>
              <w:jc w:val="center"/>
              <w:rPr>
                <w:rFonts w:ascii="標楷體" w:eastAsia="標楷體" w:hAnsi="標楷體"/>
                <w:sz w:val="20"/>
                <w:szCs w:val="20"/>
                <w:lang w:eastAsia="zh-TW"/>
              </w:rPr>
            </w:pPr>
            <w:r w:rsidRPr="00F32FAC">
              <w:rPr>
                <w:rFonts w:ascii="標楷體" w:eastAsia="標楷體" w:hAnsi="標楷體" w:hint="eastAsia"/>
                <w:sz w:val="20"/>
                <w:szCs w:val="20"/>
                <w:lang w:eastAsia="zh-TW"/>
              </w:rPr>
              <w:t>發音錯誤檢測之分類效能比較 (以 MCC 分數排序)</w:t>
            </w:r>
          </w:p>
        </w:tc>
      </w:tr>
      <w:tr w:rsidR="00C31515" w:rsidRPr="00AC3A1C" w14:paraId="25D7A1C1" w14:textId="77777777" w:rsidTr="00F975A0">
        <w:tc>
          <w:tcPr>
            <w:tcW w:w="2122" w:type="dxa"/>
          </w:tcPr>
          <w:p w14:paraId="51E3CAE7" w14:textId="77777777" w:rsidR="00C31515" w:rsidRPr="00F71DC4" w:rsidRDefault="00C31515" w:rsidP="00F975A0">
            <w:pPr>
              <w:pStyle w:val="ACLTextFirstLine"/>
              <w:ind w:firstLine="0"/>
              <w:jc w:val="center"/>
              <w:rPr>
                <w:rFonts w:eastAsia="新細明體"/>
                <w:sz w:val="20"/>
                <w:szCs w:val="20"/>
                <w:lang w:eastAsia="zh-TW"/>
              </w:rPr>
            </w:pPr>
            <w:r>
              <w:rPr>
                <w:rFonts w:eastAsia="新細明體" w:hint="eastAsia"/>
                <w:sz w:val="20"/>
                <w:szCs w:val="20"/>
                <w:lang w:eastAsia="zh-TW"/>
              </w:rPr>
              <w:t>Method</w:t>
            </w:r>
          </w:p>
        </w:tc>
        <w:tc>
          <w:tcPr>
            <w:tcW w:w="1275" w:type="dxa"/>
          </w:tcPr>
          <w:p w14:paraId="2AEBDF14" w14:textId="77777777" w:rsidR="00C31515" w:rsidRPr="00F71DC4" w:rsidRDefault="00C31515" w:rsidP="00F975A0">
            <w:pPr>
              <w:pStyle w:val="ACLTextFirstLine"/>
              <w:ind w:firstLine="0"/>
              <w:jc w:val="center"/>
              <w:rPr>
                <w:rFonts w:eastAsia="新細明體"/>
                <w:sz w:val="20"/>
                <w:szCs w:val="20"/>
                <w:lang w:eastAsia="zh-TW"/>
              </w:rPr>
            </w:pPr>
            <w:r>
              <w:rPr>
                <w:rFonts w:eastAsia="新細明體" w:hint="eastAsia"/>
                <w:sz w:val="20"/>
                <w:szCs w:val="20"/>
                <w:lang w:eastAsia="zh-TW"/>
              </w:rPr>
              <w:t>Accuracy</w:t>
            </w:r>
          </w:p>
        </w:tc>
        <w:tc>
          <w:tcPr>
            <w:tcW w:w="1276" w:type="dxa"/>
          </w:tcPr>
          <w:p w14:paraId="35D9CFF8" w14:textId="77777777" w:rsidR="00C31515" w:rsidRPr="00F71DC4" w:rsidRDefault="00C31515" w:rsidP="00F975A0">
            <w:pPr>
              <w:pStyle w:val="ACLTextFirstLine"/>
              <w:ind w:firstLine="0"/>
              <w:jc w:val="center"/>
              <w:rPr>
                <w:rFonts w:eastAsia="新細明體"/>
                <w:sz w:val="20"/>
                <w:szCs w:val="20"/>
                <w:lang w:eastAsia="zh-TW"/>
              </w:rPr>
            </w:pPr>
            <w:r>
              <w:rPr>
                <w:rFonts w:eastAsia="新細明體" w:hint="eastAsia"/>
                <w:sz w:val="20"/>
                <w:szCs w:val="20"/>
                <w:lang w:eastAsia="zh-TW"/>
              </w:rPr>
              <w:t>Precision</w:t>
            </w:r>
          </w:p>
        </w:tc>
        <w:tc>
          <w:tcPr>
            <w:tcW w:w="1276" w:type="dxa"/>
          </w:tcPr>
          <w:p w14:paraId="000C1E6F" w14:textId="77777777" w:rsidR="00C31515" w:rsidRPr="00F71DC4" w:rsidRDefault="00C31515" w:rsidP="00F975A0">
            <w:pPr>
              <w:pStyle w:val="ACLTextFirstLine"/>
              <w:ind w:firstLine="0"/>
              <w:jc w:val="center"/>
              <w:rPr>
                <w:rFonts w:eastAsia="新細明體"/>
                <w:sz w:val="20"/>
                <w:szCs w:val="20"/>
                <w:lang w:eastAsia="zh-TW"/>
              </w:rPr>
            </w:pPr>
            <w:r>
              <w:rPr>
                <w:rFonts w:eastAsia="新細明體" w:hint="eastAsia"/>
                <w:sz w:val="20"/>
                <w:szCs w:val="20"/>
                <w:lang w:eastAsia="zh-TW"/>
              </w:rPr>
              <w:t>Recall</w:t>
            </w:r>
          </w:p>
        </w:tc>
        <w:tc>
          <w:tcPr>
            <w:tcW w:w="1417" w:type="dxa"/>
          </w:tcPr>
          <w:p w14:paraId="6BF84AC9" w14:textId="77777777" w:rsidR="00C31515" w:rsidRPr="00F71DC4" w:rsidRDefault="00C31515" w:rsidP="00F975A0">
            <w:pPr>
              <w:pStyle w:val="ACLTextFirstLine"/>
              <w:ind w:firstLine="0"/>
              <w:jc w:val="center"/>
              <w:rPr>
                <w:rFonts w:eastAsia="新細明體"/>
                <w:sz w:val="20"/>
                <w:szCs w:val="20"/>
                <w:lang w:eastAsia="zh-TW"/>
              </w:rPr>
            </w:pPr>
            <w:r>
              <w:rPr>
                <w:rFonts w:eastAsia="新細明體" w:hint="eastAsia"/>
                <w:sz w:val="20"/>
                <w:szCs w:val="20"/>
                <w:lang w:eastAsia="zh-TW"/>
              </w:rPr>
              <w:t>F1-Score</w:t>
            </w:r>
          </w:p>
        </w:tc>
        <w:tc>
          <w:tcPr>
            <w:tcW w:w="1418" w:type="dxa"/>
          </w:tcPr>
          <w:p w14:paraId="2F59DF48" w14:textId="77777777" w:rsidR="00C31515" w:rsidRPr="00F71DC4" w:rsidRDefault="00C31515" w:rsidP="00F975A0">
            <w:pPr>
              <w:pStyle w:val="ACLTextFirstLine"/>
              <w:ind w:firstLine="0"/>
              <w:jc w:val="center"/>
              <w:rPr>
                <w:rFonts w:eastAsia="新細明體"/>
                <w:sz w:val="20"/>
                <w:szCs w:val="20"/>
                <w:lang w:eastAsia="zh-TW"/>
              </w:rPr>
            </w:pPr>
            <w:r>
              <w:rPr>
                <w:rFonts w:eastAsia="新細明體" w:hint="eastAsia"/>
                <w:sz w:val="20"/>
                <w:szCs w:val="20"/>
                <w:lang w:eastAsia="zh-TW"/>
              </w:rPr>
              <w:t>MCC</w:t>
            </w:r>
          </w:p>
        </w:tc>
      </w:tr>
      <w:tr w:rsidR="00C31515" w:rsidRPr="00AC3A1C" w14:paraId="516048B5" w14:textId="77777777" w:rsidTr="00F975A0">
        <w:tc>
          <w:tcPr>
            <w:tcW w:w="2122" w:type="dxa"/>
          </w:tcPr>
          <w:p w14:paraId="5C651F5C" w14:textId="77777777" w:rsidR="00C31515" w:rsidRPr="00F71DC4" w:rsidRDefault="00C31515" w:rsidP="00F975A0">
            <w:pPr>
              <w:pStyle w:val="ACLTextFirstLine"/>
              <w:ind w:firstLine="0"/>
              <w:jc w:val="center"/>
              <w:rPr>
                <w:rFonts w:eastAsia="新細明體"/>
                <w:sz w:val="20"/>
                <w:szCs w:val="20"/>
                <w:lang w:eastAsia="zh-TW"/>
              </w:rPr>
            </w:pPr>
            <w:r w:rsidRPr="00FF286B">
              <w:rPr>
                <w:rFonts w:eastAsia="新細明體"/>
                <w:sz w:val="20"/>
                <w:szCs w:val="20"/>
                <w:lang w:eastAsia="zh-TW"/>
              </w:rPr>
              <w:t>kurtosis</w:t>
            </w:r>
          </w:p>
        </w:tc>
        <w:tc>
          <w:tcPr>
            <w:tcW w:w="1275" w:type="dxa"/>
          </w:tcPr>
          <w:p w14:paraId="2E70F9BE" w14:textId="77777777" w:rsidR="00C31515" w:rsidRPr="00F71DC4" w:rsidRDefault="00C31515" w:rsidP="00F975A0">
            <w:pPr>
              <w:pStyle w:val="ACLTextFirstLine"/>
              <w:ind w:firstLine="0"/>
              <w:jc w:val="center"/>
              <w:rPr>
                <w:rFonts w:eastAsia="新細明體"/>
                <w:sz w:val="20"/>
                <w:szCs w:val="20"/>
                <w:lang w:eastAsia="zh-TW"/>
              </w:rPr>
            </w:pPr>
            <w:r w:rsidRPr="00944334">
              <w:rPr>
                <w:rFonts w:eastAsia="新細明體"/>
                <w:sz w:val="20"/>
                <w:szCs w:val="20"/>
                <w:lang w:eastAsia="zh-TW"/>
              </w:rPr>
              <w:t xml:space="preserve">0.661284     </w:t>
            </w:r>
          </w:p>
        </w:tc>
        <w:tc>
          <w:tcPr>
            <w:tcW w:w="1276" w:type="dxa"/>
          </w:tcPr>
          <w:p w14:paraId="3F29C863" w14:textId="77777777" w:rsidR="00C31515" w:rsidRPr="00F71DC4" w:rsidRDefault="00C31515" w:rsidP="00F975A0">
            <w:pPr>
              <w:pStyle w:val="ACLTextFirstLine"/>
              <w:ind w:firstLine="0"/>
              <w:jc w:val="center"/>
              <w:rPr>
                <w:rFonts w:eastAsia="新細明體"/>
                <w:sz w:val="20"/>
                <w:szCs w:val="20"/>
                <w:lang w:eastAsia="zh-TW"/>
              </w:rPr>
            </w:pPr>
            <w:r w:rsidRPr="00944334">
              <w:rPr>
                <w:rFonts w:eastAsia="新細明體"/>
                <w:sz w:val="20"/>
                <w:szCs w:val="20"/>
                <w:lang w:eastAsia="zh-TW"/>
              </w:rPr>
              <w:t>0.160985</w:t>
            </w:r>
          </w:p>
        </w:tc>
        <w:tc>
          <w:tcPr>
            <w:tcW w:w="1276" w:type="dxa"/>
          </w:tcPr>
          <w:p w14:paraId="40F95A0D" w14:textId="77777777" w:rsidR="00C31515" w:rsidRPr="00F71DC4" w:rsidRDefault="00C31515" w:rsidP="00F975A0">
            <w:pPr>
              <w:pStyle w:val="ACLTextFirstLine"/>
              <w:ind w:firstLine="0"/>
              <w:jc w:val="center"/>
              <w:rPr>
                <w:rFonts w:eastAsia="新細明體"/>
                <w:sz w:val="20"/>
                <w:szCs w:val="20"/>
                <w:lang w:eastAsia="zh-TW"/>
              </w:rPr>
            </w:pPr>
            <w:r w:rsidRPr="00944334">
              <w:rPr>
                <w:rFonts w:eastAsia="新細明體"/>
                <w:sz w:val="20"/>
                <w:szCs w:val="20"/>
                <w:lang w:eastAsia="zh-TW"/>
              </w:rPr>
              <w:t>0.422185</w:t>
            </w:r>
          </w:p>
        </w:tc>
        <w:tc>
          <w:tcPr>
            <w:tcW w:w="1417" w:type="dxa"/>
          </w:tcPr>
          <w:p w14:paraId="390087A1" w14:textId="77777777" w:rsidR="00C31515" w:rsidRPr="00F71DC4" w:rsidRDefault="00C31515" w:rsidP="00F975A0">
            <w:pPr>
              <w:pStyle w:val="ACLTextFirstLine"/>
              <w:ind w:firstLine="0"/>
              <w:jc w:val="center"/>
              <w:rPr>
                <w:rFonts w:eastAsia="新細明體"/>
                <w:sz w:val="20"/>
                <w:szCs w:val="20"/>
                <w:lang w:eastAsia="zh-TW"/>
              </w:rPr>
            </w:pPr>
            <w:r w:rsidRPr="00944334">
              <w:rPr>
                <w:rFonts w:eastAsia="新細明體"/>
                <w:sz w:val="20"/>
                <w:szCs w:val="20"/>
                <w:lang w:eastAsia="zh-TW"/>
              </w:rPr>
              <w:t>0.233090</w:t>
            </w:r>
          </w:p>
        </w:tc>
        <w:tc>
          <w:tcPr>
            <w:tcW w:w="1418" w:type="dxa"/>
          </w:tcPr>
          <w:p w14:paraId="645FFC56" w14:textId="77777777" w:rsidR="00C31515" w:rsidRPr="00F71DC4" w:rsidRDefault="00C31515" w:rsidP="00F975A0">
            <w:pPr>
              <w:pStyle w:val="ACLTextFirstLine"/>
              <w:ind w:firstLine="0"/>
              <w:jc w:val="center"/>
              <w:rPr>
                <w:rFonts w:eastAsia="新細明體"/>
                <w:sz w:val="20"/>
                <w:szCs w:val="20"/>
                <w:lang w:eastAsia="zh-TW"/>
              </w:rPr>
            </w:pPr>
            <w:r w:rsidRPr="00944334">
              <w:rPr>
                <w:rFonts w:eastAsia="新細明體"/>
                <w:sz w:val="20"/>
                <w:szCs w:val="20"/>
                <w:lang w:eastAsia="zh-TW"/>
              </w:rPr>
              <w:t>0.081851</w:t>
            </w:r>
          </w:p>
        </w:tc>
      </w:tr>
      <w:tr w:rsidR="00C31515" w:rsidRPr="00AC3A1C" w14:paraId="2D954684" w14:textId="77777777" w:rsidTr="00F975A0">
        <w:tc>
          <w:tcPr>
            <w:tcW w:w="2122" w:type="dxa"/>
          </w:tcPr>
          <w:p w14:paraId="75D21CF2" w14:textId="77777777" w:rsidR="00C31515" w:rsidRPr="00F71DC4" w:rsidRDefault="00C31515" w:rsidP="00F975A0">
            <w:pPr>
              <w:pStyle w:val="ACLTextFirstLine"/>
              <w:ind w:firstLine="0"/>
              <w:jc w:val="center"/>
              <w:rPr>
                <w:rFonts w:eastAsia="新細明體"/>
                <w:sz w:val="20"/>
                <w:szCs w:val="20"/>
                <w:lang w:eastAsia="zh-TW"/>
              </w:rPr>
            </w:pPr>
            <w:r w:rsidRPr="00FF286B">
              <w:rPr>
                <w:rFonts w:eastAsia="新細明體"/>
                <w:sz w:val="20"/>
                <w:szCs w:val="20"/>
                <w:lang w:eastAsia="zh-TW"/>
              </w:rPr>
              <w:t>skewness</w:t>
            </w:r>
          </w:p>
        </w:tc>
        <w:tc>
          <w:tcPr>
            <w:tcW w:w="1275" w:type="dxa"/>
          </w:tcPr>
          <w:p w14:paraId="18AD5DE9" w14:textId="77777777" w:rsidR="00C31515" w:rsidRPr="00F71DC4" w:rsidRDefault="00C31515" w:rsidP="00F975A0">
            <w:pPr>
              <w:pStyle w:val="ACLTextFirstLine"/>
              <w:ind w:firstLine="0"/>
              <w:jc w:val="center"/>
              <w:rPr>
                <w:rFonts w:eastAsia="新細明體"/>
                <w:sz w:val="20"/>
                <w:szCs w:val="20"/>
                <w:lang w:eastAsia="zh-TW"/>
              </w:rPr>
            </w:pPr>
            <w:r w:rsidRPr="00944334">
              <w:rPr>
                <w:rFonts w:eastAsia="新細明體"/>
                <w:sz w:val="20"/>
                <w:szCs w:val="20"/>
                <w:lang w:eastAsia="zh-TW"/>
              </w:rPr>
              <w:t xml:space="preserve">0.700848      </w:t>
            </w:r>
          </w:p>
        </w:tc>
        <w:tc>
          <w:tcPr>
            <w:tcW w:w="1276" w:type="dxa"/>
          </w:tcPr>
          <w:p w14:paraId="4DF87FFF" w14:textId="77777777" w:rsidR="00C31515" w:rsidRPr="00F71DC4" w:rsidRDefault="00C31515" w:rsidP="00F975A0">
            <w:pPr>
              <w:pStyle w:val="ACLTextFirstLine"/>
              <w:ind w:firstLine="0"/>
              <w:jc w:val="center"/>
              <w:rPr>
                <w:rFonts w:eastAsia="新細明體"/>
                <w:sz w:val="20"/>
                <w:szCs w:val="20"/>
                <w:lang w:eastAsia="zh-TW"/>
              </w:rPr>
            </w:pPr>
            <w:r w:rsidRPr="00944334">
              <w:rPr>
                <w:rFonts w:eastAsia="新細明體"/>
                <w:sz w:val="20"/>
                <w:szCs w:val="20"/>
                <w:lang w:eastAsia="zh-TW"/>
              </w:rPr>
              <w:t>0.163859</w:t>
            </w:r>
          </w:p>
        </w:tc>
        <w:tc>
          <w:tcPr>
            <w:tcW w:w="1276" w:type="dxa"/>
          </w:tcPr>
          <w:p w14:paraId="515336FF" w14:textId="77777777" w:rsidR="00C31515" w:rsidRPr="00F71DC4" w:rsidRDefault="00C31515" w:rsidP="00F975A0">
            <w:pPr>
              <w:pStyle w:val="ACLTextFirstLine"/>
              <w:ind w:firstLine="0"/>
              <w:jc w:val="center"/>
              <w:rPr>
                <w:rFonts w:eastAsia="新細明體"/>
                <w:sz w:val="20"/>
                <w:szCs w:val="20"/>
                <w:lang w:eastAsia="zh-TW"/>
              </w:rPr>
            </w:pPr>
            <w:r w:rsidRPr="00944334">
              <w:rPr>
                <w:rFonts w:eastAsia="新細明體"/>
                <w:sz w:val="20"/>
                <w:szCs w:val="20"/>
                <w:lang w:eastAsia="zh-TW"/>
              </w:rPr>
              <w:t>0.354305</w:t>
            </w:r>
          </w:p>
        </w:tc>
        <w:tc>
          <w:tcPr>
            <w:tcW w:w="1417" w:type="dxa"/>
          </w:tcPr>
          <w:p w14:paraId="0071BAEB" w14:textId="77777777" w:rsidR="00C31515" w:rsidRPr="00F71DC4" w:rsidRDefault="00C31515" w:rsidP="00F975A0">
            <w:pPr>
              <w:pStyle w:val="ACLTextFirstLine"/>
              <w:ind w:firstLine="0"/>
              <w:jc w:val="center"/>
              <w:rPr>
                <w:rFonts w:eastAsia="新細明體"/>
                <w:sz w:val="20"/>
                <w:szCs w:val="20"/>
                <w:lang w:eastAsia="zh-TW"/>
              </w:rPr>
            </w:pPr>
            <w:r w:rsidRPr="00944334">
              <w:rPr>
                <w:rFonts w:eastAsia="新細明體"/>
                <w:sz w:val="20"/>
                <w:szCs w:val="20"/>
                <w:lang w:eastAsia="zh-TW"/>
              </w:rPr>
              <w:t>0.224084</w:t>
            </w:r>
          </w:p>
        </w:tc>
        <w:tc>
          <w:tcPr>
            <w:tcW w:w="1418" w:type="dxa"/>
          </w:tcPr>
          <w:p w14:paraId="261C7A87" w14:textId="77777777" w:rsidR="00C31515" w:rsidRPr="00F71DC4" w:rsidRDefault="00C31515" w:rsidP="00F975A0">
            <w:pPr>
              <w:pStyle w:val="ACLTextFirstLine"/>
              <w:ind w:firstLine="0"/>
              <w:jc w:val="center"/>
              <w:rPr>
                <w:rFonts w:eastAsia="新細明體"/>
                <w:sz w:val="20"/>
                <w:szCs w:val="20"/>
                <w:lang w:eastAsia="zh-TW"/>
              </w:rPr>
            </w:pPr>
            <w:r w:rsidRPr="00944334">
              <w:rPr>
                <w:rFonts w:eastAsia="新細明體"/>
                <w:sz w:val="20"/>
                <w:szCs w:val="20"/>
                <w:lang w:eastAsia="zh-TW"/>
              </w:rPr>
              <w:t>0.076690</w:t>
            </w:r>
          </w:p>
        </w:tc>
      </w:tr>
      <w:tr w:rsidR="00C31515" w:rsidRPr="00AC3A1C" w14:paraId="7ABF308E" w14:textId="77777777" w:rsidTr="00F975A0">
        <w:tc>
          <w:tcPr>
            <w:tcW w:w="2122" w:type="dxa"/>
          </w:tcPr>
          <w:p w14:paraId="52BF0125" w14:textId="77777777" w:rsidR="00C31515" w:rsidRPr="00F71DC4" w:rsidRDefault="00C31515" w:rsidP="00F975A0">
            <w:pPr>
              <w:pStyle w:val="ACLTextFirstLine"/>
              <w:ind w:firstLine="0"/>
              <w:jc w:val="center"/>
              <w:rPr>
                <w:rFonts w:eastAsia="新細明體"/>
                <w:sz w:val="20"/>
                <w:szCs w:val="20"/>
                <w:lang w:eastAsia="zh-TW"/>
              </w:rPr>
            </w:pPr>
            <w:r w:rsidRPr="00FF286B">
              <w:rPr>
                <w:rFonts w:eastAsia="新細明體"/>
                <w:sz w:val="20"/>
                <w:szCs w:val="20"/>
                <w:lang w:eastAsia="zh-TW"/>
              </w:rPr>
              <w:t>gmm_weights_0</w:t>
            </w:r>
          </w:p>
        </w:tc>
        <w:tc>
          <w:tcPr>
            <w:tcW w:w="1275" w:type="dxa"/>
          </w:tcPr>
          <w:p w14:paraId="049BB9B5" w14:textId="77777777" w:rsidR="00C31515" w:rsidRPr="00F71DC4" w:rsidRDefault="00C31515" w:rsidP="00F975A0">
            <w:pPr>
              <w:pStyle w:val="ACLTextFirstLine"/>
              <w:ind w:firstLine="0"/>
              <w:jc w:val="center"/>
              <w:rPr>
                <w:rFonts w:eastAsia="新細明體"/>
                <w:sz w:val="20"/>
                <w:szCs w:val="20"/>
                <w:lang w:eastAsia="zh-TW"/>
              </w:rPr>
            </w:pPr>
            <w:r w:rsidRPr="00944334">
              <w:rPr>
                <w:rFonts w:eastAsia="新細明體"/>
                <w:sz w:val="20"/>
                <w:szCs w:val="20"/>
                <w:lang w:eastAsia="zh-TW"/>
              </w:rPr>
              <w:t xml:space="preserve">0.796730       </w:t>
            </w:r>
          </w:p>
        </w:tc>
        <w:tc>
          <w:tcPr>
            <w:tcW w:w="1276" w:type="dxa"/>
          </w:tcPr>
          <w:p w14:paraId="652FF4AC" w14:textId="77777777" w:rsidR="00C31515" w:rsidRPr="00F71DC4" w:rsidRDefault="00C31515" w:rsidP="00F975A0">
            <w:pPr>
              <w:pStyle w:val="ACLTextFirstLine"/>
              <w:ind w:firstLine="0"/>
              <w:jc w:val="center"/>
              <w:rPr>
                <w:rFonts w:eastAsia="新細明體"/>
                <w:sz w:val="20"/>
                <w:szCs w:val="20"/>
                <w:lang w:eastAsia="zh-TW"/>
              </w:rPr>
            </w:pPr>
            <w:r w:rsidRPr="00944334">
              <w:rPr>
                <w:rFonts w:eastAsia="新細明體"/>
                <w:sz w:val="20"/>
                <w:szCs w:val="20"/>
                <w:lang w:eastAsia="zh-TW"/>
              </w:rPr>
              <w:t>0.186625</w:t>
            </w:r>
          </w:p>
        </w:tc>
        <w:tc>
          <w:tcPr>
            <w:tcW w:w="1276" w:type="dxa"/>
          </w:tcPr>
          <w:p w14:paraId="7BCA52DB" w14:textId="77777777" w:rsidR="00C31515" w:rsidRPr="00F71DC4" w:rsidRDefault="00C31515" w:rsidP="00F975A0">
            <w:pPr>
              <w:pStyle w:val="ACLTextFirstLine"/>
              <w:ind w:firstLine="0"/>
              <w:jc w:val="center"/>
              <w:rPr>
                <w:rFonts w:eastAsia="新細明體"/>
                <w:sz w:val="20"/>
                <w:szCs w:val="20"/>
                <w:lang w:eastAsia="zh-TW"/>
              </w:rPr>
            </w:pPr>
            <w:r w:rsidRPr="00944334">
              <w:rPr>
                <w:rFonts w:eastAsia="新細明體"/>
                <w:sz w:val="20"/>
                <w:szCs w:val="20"/>
                <w:lang w:eastAsia="zh-TW"/>
              </w:rPr>
              <w:t>0.198675</w:t>
            </w:r>
          </w:p>
        </w:tc>
        <w:tc>
          <w:tcPr>
            <w:tcW w:w="1417" w:type="dxa"/>
          </w:tcPr>
          <w:p w14:paraId="1BD99CBD" w14:textId="77777777" w:rsidR="00C31515" w:rsidRPr="00F71DC4" w:rsidRDefault="00C31515" w:rsidP="00F975A0">
            <w:pPr>
              <w:pStyle w:val="ACLTextFirstLine"/>
              <w:ind w:firstLine="0"/>
              <w:jc w:val="center"/>
              <w:rPr>
                <w:rFonts w:eastAsia="新細明體"/>
                <w:sz w:val="20"/>
                <w:szCs w:val="20"/>
                <w:lang w:eastAsia="zh-TW"/>
              </w:rPr>
            </w:pPr>
            <w:r w:rsidRPr="00944334">
              <w:rPr>
                <w:rFonts w:eastAsia="新細明體"/>
                <w:sz w:val="20"/>
                <w:szCs w:val="20"/>
                <w:lang w:eastAsia="zh-TW"/>
              </w:rPr>
              <w:t>0.192462</w:t>
            </w:r>
          </w:p>
        </w:tc>
        <w:tc>
          <w:tcPr>
            <w:tcW w:w="1418" w:type="dxa"/>
          </w:tcPr>
          <w:p w14:paraId="065EB7D6" w14:textId="77777777" w:rsidR="00C31515" w:rsidRPr="00F71DC4" w:rsidRDefault="00C31515" w:rsidP="00F975A0">
            <w:pPr>
              <w:pStyle w:val="ACLTextFirstLine"/>
              <w:ind w:firstLine="0"/>
              <w:jc w:val="center"/>
              <w:rPr>
                <w:rFonts w:eastAsia="新細明體"/>
                <w:sz w:val="20"/>
                <w:szCs w:val="20"/>
                <w:lang w:eastAsia="zh-TW"/>
              </w:rPr>
            </w:pPr>
            <w:r w:rsidRPr="00944334">
              <w:rPr>
                <w:rFonts w:eastAsia="新細明體"/>
                <w:sz w:val="20"/>
                <w:szCs w:val="20"/>
                <w:lang w:eastAsia="zh-TW"/>
              </w:rPr>
              <w:t>0.076373</w:t>
            </w:r>
          </w:p>
        </w:tc>
      </w:tr>
      <w:tr w:rsidR="00C31515" w:rsidRPr="00AC3A1C" w14:paraId="087E4847" w14:textId="77777777" w:rsidTr="00F975A0">
        <w:tc>
          <w:tcPr>
            <w:tcW w:w="2122" w:type="dxa"/>
          </w:tcPr>
          <w:p w14:paraId="13B6B10C" w14:textId="77777777" w:rsidR="00C31515" w:rsidRPr="00F71DC4" w:rsidRDefault="00C31515" w:rsidP="00F975A0">
            <w:pPr>
              <w:pStyle w:val="ACLTextFirstLine"/>
              <w:ind w:firstLine="0"/>
              <w:jc w:val="center"/>
              <w:rPr>
                <w:rFonts w:eastAsia="新細明體"/>
                <w:sz w:val="20"/>
                <w:szCs w:val="20"/>
                <w:lang w:eastAsia="zh-TW"/>
              </w:rPr>
            </w:pPr>
            <w:r w:rsidRPr="00FF286B">
              <w:rPr>
                <w:rFonts w:eastAsia="新細明體"/>
                <w:sz w:val="20"/>
                <w:szCs w:val="20"/>
                <w:lang w:eastAsia="zh-TW"/>
              </w:rPr>
              <w:t>gmm_vars_0</w:t>
            </w:r>
          </w:p>
        </w:tc>
        <w:tc>
          <w:tcPr>
            <w:tcW w:w="1275" w:type="dxa"/>
          </w:tcPr>
          <w:p w14:paraId="62B2DDC4" w14:textId="77777777" w:rsidR="00C31515" w:rsidRPr="00F71DC4" w:rsidRDefault="00C31515" w:rsidP="00F975A0">
            <w:pPr>
              <w:pStyle w:val="ACLTextFirstLine"/>
              <w:ind w:firstLine="0"/>
              <w:jc w:val="center"/>
              <w:rPr>
                <w:rFonts w:eastAsia="新細明體"/>
                <w:sz w:val="20"/>
                <w:szCs w:val="20"/>
                <w:lang w:eastAsia="zh-TW"/>
              </w:rPr>
            </w:pPr>
            <w:r w:rsidRPr="00555D3C">
              <w:rPr>
                <w:rFonts w:eastAsia="新細明體"/>
                <w:sz w:val="20"/>
                <w:szCs w:val="20"/>
                <w:lang w:eastAsia="zh-TW"/>
              </w:rPr>
              <w:t xml:space="preserve">0.589221       </w:t>
            </w:r>
          </w:p>
        </w:tc>
        <w:tc>
          <w:tcPr>
            <w:tcW w:w="1276" w:type="dxa"/>
          </w:tcPr>
          <w:p w14:paraId="02F2A231" w14:textId="77777777" w:rsidR="00C31515" w:rsidRPr="00F71DC4" w:rsidRDefault="00C31515" w:rsidP="00F975A0">
            <w:pPr>
              <w:pStyle w:val="ACLTextFirstLine"/>
              <w:ind w:firstLine="0"/>
              <w:jc w:val="center"/>
              <w:rPr>
                <w:rFonts w:eastAsia="新細明體"/>
                <w:sz w:val="20"/>
                <w:szCs w:val="20"/>
                <w:lang w:eastAsia="zh-TW"/>
              </w:rPr>
            </w:pPr>
            <w:r w:rsidRPr="00555D3C">
              <w:rPr>
                <w:rFonts w:eastAsia="新細明體"/>
                <w:sz w:val="20"/>
                <w:szCs w:val="20"/>
                <w:lang w:eastAsia="zh-TW"/>
              </w:rPr>
              <w:t>0.145617</w:t>
            </w:r>
          </w:p>
        </w:tc>
        <w:tc>
          <w:tcPr>
            <w:tcW w:w="1276" w:type="dxa"/>
          </w:tcPr>
          <w:p w14:paraId="3144DA30" w14:textId="77777777" w:rsidR="00C31515" w:rsidRPr="00F71DC4" w:rsidRDefault="00C31515" w:rsidP="00F975A0">
            <w:pPr>
              <w:pStyle w:val="ACLTextFirstLine"/>
              <w:ind w:firstLine="0"/>
              <w:jc w:val="center"/>
              <w:rPr>
                <w:rFonts w:eastAsia="新細明體"/>
                <w:sz w:val="20"/>
                <w:szCs w:val="20"/>
                <w:lang w:eastAsia="zh-TW"/>
              </w:rPr>
            </w:pPr>
            <w:r w:rsidRPr="00555D3C">
              <w:rPr>
                <w:rFonts w:eastAsia="新細明體"/>
                <w:sz w:val="20"/>
                <w:szCs w:val="20"/>
                <w:lang w:eastAsia="zh-TW"/>
              </w:rPr>
              <w:t>0.486755</w:t>
            </w:r>
          </w:p>
        </w:tc>
        <w:tc>
          <w:tcPr>
            <w:tcW w:w="1417" w:type="dxa"/>
          </w:tcPr>
          <w:p w14:paraId="3973399C" w14:textId="77777777" w:rsidR="00C31515" w:rsidRPr="00F71DC4" w:rsidRDefault="00C31515" w:rsidP="00F975A0">
            <w:pPr>
              <w:pStyle w:val="ACLTextFirstLine"/>
              <w:ind w:firstLine="0"/>
              <w:jc w:val="center"/>
              <w:rPr>
                <w:rFonts w:eastAsia="新細明體"/>
                <w:sz w:val="20"/>
                <w:szCs w:val="20"/>
                <w:lang w:eastAsia="zh-TW"/>
              </w:rPr>
            </w:pPr>
            <w:r w:rsidRPr="00555D3C">
              <w:rPr>
                <w:rFonts w:eastAsia="新細明體"/>
                <w:sz w:val="20"/>
                <w:szCs w:val="20"/>
                <w:lang w:eastAsia="zh-TW"/>
              </w:rPr>
              <w:t>0.224171</w:t>
            </w:r>
          </w:p>
        </w:tc>
        <w:tc>
          <w:tcPr>
            <w:tcW w:w="1418" w:type="dxa"/>
          </w:tcPr>
          <w:p w14:paraId="1475DBCF" w14:textId="77777777" w:rsidR="00C31515" w:rsidRPr="00F71DC4" w:rsidRDefault="00C31515" w:rsidP="00F975A0">
            <w:pPr>
              <w:pStyle w:val="ACLTextFirstLine"/>
              <w:ind w:firstLine="0"/>
              <w:jc w:val="center"/>
              <w:rPr>
                <w:rFonts w:eastAsia="新細明體"/>
                <w:sz w:val="20"/>
                <w:szCs w:val="20"/>
                <w:lang w:eastAsia="zh-TW"/>
              </w:rPr>
            </w:pPr>
            <w:r w:rsidRPr="00555D3C">
              <w:rPr>
                <w:rFonts w:eastAsia="新細明體"/>
                <w:sz w:val="20"/>
                <w:szCs w:val="20"/>
                <w:lang w:eastAsia="zh-TW"/>
              </w:rPr>
              <w:t>0.060064</w:t>
            </w:r>
          </w:p>
        </w:tc>
      </w:tr>
      <w:tr w:rsidR="00C31515" w:rsidRPr="00AC3A1C" w14:paraId="6F08B059" w14:textId="77777777" w:rsidTr="00F975A0">
        <w:tc>
          <w:tcPr>
            <w:tcW w:w="2122" w:type="dxa"/>
          </w:tcPr>
          <w:p w14:paraId="6FA7887B" w14:textId="77777777" w:rsidR="00C31515" w:rsidRPr="00F71DC4" w:rsidRDefault="00C31515" w:rsidP="00F975A0">
            <w:pPr>
              <w:pStyle w:val="ACLTextFirstLine"/>
              <w:ind w:firstLine="0"/>
              <w:jc w:val="center"/>
              <w:rPr>
                <w:rFonts w:eastAsia="新細明體"/>
                <w:sz w:val="20"/>
                <w:szCs w:val="20"/>
                <w:lang w:eastAsia="zh-TW"/>
              </w:rPr>
            </w:pPr>
            <w:r w:rsidRPr="00FF286B">
              <w:rPr>
                <w:rFonts w:eastAsia="新細明體"/>
                <w:sz w:val="20"/>
                <w:szCs w:val="20"/>
                <w:lang w:eastAsia="zh-TW"/>
              </w:rPr>
              <w:t>gmm_vars_1</w:t>
            </w:r>
          </w:p>
        </w:tc>
        <w:tc>
          <w:tcPr>
            <w:tcW w:w="1275" w:type="dxa"/>
          </w:tcPr>
          <w:p w14:paraId="092BDBD6" w14:textId="77777777" w:rsidR="00C31515" w:rsidRPr="00F71DC4" w:rsidRDefault="00C31515" w:rsidP="00F975A0">
            <w:pPr>
              <w:pStyle w:val="ACLTextFirstLine"/>
              <w:ind w:firstLine="0"/>
              <w:jc w:val="center"/>
              <w:rPr>
                <w:rFonts w:eastAsia="新細明體"/>
                <w:sz w:val="20"/>
                <w:szCs w:val="20"/>
                <w:lang w:eastAsia="zh-TW"/>
              </w:rPr>
            </w:pPr>
            <w:r w:rsidRPr="00555D3C">
              <w:rPr>
                <w:rFonts w:eastAsia="新細明體"/>
                <w:sz w:val="20"/>
                <w:szCs w:val="20"/>
                <w:lang w:eastAsia="zh-TW"/>
              </w:rPr>
              <w:t xml:space="preserve">0.648365       </w:t>
            </w:r>
          </w:p>
        </w:tc>
        <w:tc>
          <w:tcPr>
            <w:tcW w:w="1276" w:type="dxa"/>
          </w:tcPr>
          <w:p w14:paraId="729D4BAC" w14:textId="77777777" w:rsidR="00C31515" w:rsidRPr="00F71DC4" w:rsidRDefault="00C31515" w:rsidP="00F975A0">
            <w:pPr>
              <w:pStyle w:val="ACLTextFirstLine"/>
              <w:ind w:firstLine="0"/>
              <w:jc w:val="center"/>
              <w:rPr>
                <w:rFonts w:eastAsia="新細明體"/>
                <w:sz w:val="20"/>
                <w:szCs w:val="20"/>
                <w:lang w:eastAsia="zh-TW"/>
              </w:rPr>
            </w:pPr>
            <w:r w:rsidRPr="00555D3C">
              <w:rPr>
                <w:rFonts w:eastAsia="新細明體"/>
                <w:sz w:val="20"/>
                <w:szCs w:val="20"/>
                <w:lang w:eastAsia="zh-TW"/>
              </w:rPr>
              <w:t>0.146584</w:t>
            </w:r>
          </w:p>
        </w:tc>
        <w:tc>
          <w:tcPr>
            <w:tcW w:w="1276" w:type="dxa"/>
          </w:tcPr>
          <w:p w14:paraId="176D08C3" w14:textId="77777777" w:rsidR="00C31515" w:rsidRPr="00F71DC4" w:rsidRDefault="00C31515" w:rsidP="00F975A0">
            <w:pPr>
              <w:pStyle w:val="ACLTextFirstLine"/>
              <w:ind w:firstLine="0"/>
              <w:jc w:val="center"/>
              <w:rPr>
                <w:rFonts w:eastAsia="新細明體"/>
                <w:sz w:val="20"/>
                <w:szCs w:val="20"/>
                <w:lang w:eastAsia="zh-TW"/>
              </w:rPr>
            </w:pPr>
            <w:r w:rsidRPr="00555D3C">
              <w:rPr>
                <w:rFonts w:eastAsia="新細明體"/>
                <w:sz w:val="20"/>
                <w:szCs w:val="20"/>
                <w:lang w:eastAsia="zh-TW"/>
              </w:rPr>
              <w:t>0.390728</w:t>
            </w:r>
          </w:p>
        </w:tc>
        <w:tc>
          <w:tcPr>
            <w:tcW w:w="1417" w:type="dxa"/>
          </w:tcPr>
          <w:p w14:paraId="4CF5DD4E" w14:textId="77777777" w:rsidR="00C31515" w:rsidRPr="00F71DC4" w:rsidRDefault="00C31515" w:rsidP="00F975A0">
            <w:pPr>
              <w:pStyle w:val="ACLTextFirstLine"/>
              <w:ind w:firstLine="0"/>
              <w:jc w:val="center"/>
              <w:rPr>
                <w:rFonts w:eastAsia="新細明體"/>
                <w:sz w:val="20"/>
                <w:szCs w:val="20"/>
                <w:lang w:eastAsia="zh-TW"/>
              </w:rPr>
            </w:pPr>
            <w:r w:rsidRPr="00555D3C">
              <w:rPr>
                <w:rFonts w:eastAsia="新細明體"/>
                <w:sz w:val="20"/>
                <w:szCs w:val="20"/>
                <w:lang w:eastAsia="zh-TW"/>
              </w:rPr>
              <w:t>0.213189</w:t>
            </w:r>
          </w:p>
        </w:tc>
        <w:tc>
          <w:tcPr>
            <w:tcW w:w="1418" w:type="dxa"/>
          </w:tcPr>
          <w:p w14:paraId="0F37E995" w14:textId="77777777" w:rsidR="00C31515" w:rsidRPr="00F71DC4" w:rsidRDefault="00C31515" w:rsidP="00F975A0">
            <w:pPr>
              <w:pStyle w:val="ACLTextFirstLine"/>
              <w:ind w:firstLine="0"/>
              <w:jc w:val="center"/>
              <w:rPr>
                <w:rFonts w:eastAsia="新細明體"/>
                <w:sz w:val="20"/>
                <w:szCs w:val="20"/>
                <w:lang w:eastAsia="zh-TW"/>
              </w:rPr>
            </w:pPr>
            <w:r w:rsidRPr="00555D3C">
              <w:rPr>
                <w:rFonts w:eastAsia="新細明體"/>
                <w:sz w:val="20"/>
                <w:szCs w:val="20"/>
                <w:lang w:eastAsia="zh-TW"/>
              </w:rPr>
              <w:t>0.052300</w:t>
            </w:r>
          </w:p>
        </w:tc>
      </w:tr>
      <w:tr w:rsidR="00C31515" w:rsidRPr="00FF286B" w14:paraId="5AC33B09" w14:textId="77777777" w:rsidTr="00F975A0">
        <w:tc>
          <w:tcPr>
            <w:tcW w:w="2122" w:type="dxa"/>
          </w:tcPr>
          <w:p w14:paraId="3B624184" w14:textId="77777777" w:rsidR="00C31515" w:rsidRPr="00FF286B" w:rsidRDefault="00C31515" w:rsidP="00F975A0">
            <w:pPr>
              <w:pStyle w:val="ACLTextFirstLine"/>
              <w:ind w:firstLine="0"/>
              <w:jc w:val="center"/>
              <w:rPr>
                <w:rFonts w:eastAsia="新細明體"/>
                <w:sz w:val="20"/>
                <w:szCs w:val="20"/>
                <w:lang w:eastAsia="zh-TW"/>
              </w:rPr>
            </w:pPr>
            <w:r w:rsidRPr="00FF286B">
              <w:rPr>
                <w:rFonts w:eastAsia="新細明體"/>
                <w:sz w:val="20"/>
                <w:szCs w:val="20"/>
                <w:lang w:eastAsia="zh-TW"/>
              </w:rPr>
              <w:t>autocorr_lag1</w:t>
            </w:r>
          </w:p>
        </w:tc>
        <w:tc>
          <w:tcPr>
            <w:tcW w:w="1275" w:type="dxa"/>
          </w:tcPr>
          <w:p w14:paraId="4378301B" w14:textId="77777777" w:rsidR="00C31515" w:rsidRPr="00C6530D" w:rsidRDefault="00C31515" w:rsidP="00F975A0">
            <w:pPr>
              <w:pStyle w:val="ACLTextFirstLine"/>
              <w:ind w:firstLine="0"/>
              <w:jc w:val="center"/>
              <w:rPr>
                <w:rFonts w:eastAsia="新細明體"/>
                <w:sz w:val="20"/>
                <w:szCs w:val="20"/>
                <w:lang w:eastAsia="zh-TW"/>
              </w:rPr>
            </w:pPr>
            <w:r w:rsidRPr="00C6530D">
              <w:rPr>
                <w:rFonts w:eastAsia="新細明體"/>
                <w:sz w:val="20"/>
                <w:szCs w:val="20"/>
                <w:lang w:eastAsia="zh-TW"/>
              </w:rPr>
              <w:t xml:space="preserve">0.699435       </w:t>
            </w:r>
          </w:p>
        </w:tc>
        <w:tc>
          <w:tcPr>
            <w:tcW w:w="1276" w:type="dxa"/>
          </w:tcPr>
          <w:p w14:paraId="74DA5CC3" w14:textId="77777777" w:rsidR="00C31515" w:rsidRPr="00FF286B" w:rsidRDefault="00C31515" w:rsidP="00F975A0">
            <w:pPr>
              <w:pStyle w:val="ACLTextFirstLine"/>
              <w:ind w:firstLine="0"/>
              <w:jc w:val="center"/>
              <w:rPr>
                <w:rFonts w:eastAsia="新細明體"/>
                <w:b/>
                <w:bCs/>
                <w:sz w:val="20"/>
                <w:szCs w:val="20"/>
                <w:lang w:eastAsia="zh-TW"/>
              </w:rPr>
            </w:pPr>
            <w:r w:rsidRPr="00C6530D">
              <w:rPr>
                <w:rFonts w:eastAsia="新細明體"/>
                <w:sz w:val="20"/>
                <w:szCs w:val="20"/>
                <w:lang w:eastAsia="zh-TW"/>
              </w:rPr>
              <w:t>0.149644</w:t>
            </w:r>
          </w:p>
        </w:tc>
        <w:tc>
          <w:tcPr>
            <w:tcW w:w="1276" w:type="dxa"/>
          </w:tcPr>
          <w:p w14:paraId="7825A6B0" w14:textId="77777777" w:rsidR="00C31515" w:rsidRPr="00FF286B" w:rsidRDefault="00C31515" w:rsidP="00F975A0">
            <w:pPr>
              <w:pStyle w:val="ACLTextFirstLine"/>
              <w:ind w:firstLine="0"/>
              <w:jc w:val="center"/>
              <w:rPr>
                <w:rFonts w:eastAsia="新細明體"/>
                <w:b/>
                <w:bCs/>
                <w:sz w:val="20"/>
                <w:szCs w:val="20"/>
                <w:lang w:eastAsia="zh-TW"/>
              </w:rPr>
            </w:pPr>
            <w:r w:rsidRPr="00C6530D">
              <w:rPr>
                <w:rFonts w:eastAsia="新細明體"/>
                <w:sz w:val="20"/>
                <w:szCs w:val="20"/>
                <w:lang w:eastAsia="zh-TW"/>
              </w:rPr>
              <w:t>0.312914</w:t>
            </w:r>
          </w:p>
        </w:tc>
        <w:tc>
          <w:tcPr>
            <w:tcW w:w="1417" w:type="dxa"/>
          </w:tcPr>
          <w:p w14:paraId="5778A5E6" w14:textId="77777777" w:rsidR="00C31515" w:rsidRPr="00FF286B" w:rsidRDefault="00C31515" w:rsidP="00F975A0">
            <w:pPr>
              <w:pStyle w:val="ACLTextFirstLine"/>
              <w:ind w:firstLine="0"/>
              <w:jc w:val="center"/>
              <w:rPr>
                <w:rFonts w:eastAsia="新細明體"/>
                <w:b/>
                <w:bCs/>
                <w:sz w:val="20"/>
                <w:szCs w:val="20"/>
                <w:lang w:eastAsia="zh-TW"/>
              </w:rPr>
            </w:pPr>
            <w:r w:rsidRPr="00C6530D">
              <w:rPr>
                <w:rFonts w:eastAsia="新細明體"/>
                <w:sz w:val="20"/>
                <w:szCs w:val="20"/>
                <w:lang w:eastAsia="zh-TW"/>
              </w:rPr>
              <w:t>0.202464</w:t>
            </w:r>
          </w:p>
        </w:tc>
        <w:tc>
          <w:tcPr>
            <w:tcW w:w="1418" w:type="dxa"/>
          </w:tcPr>
          <w:p w14:paraId="4A813B0D" w14:textId="77777777" w:rsidR="00C31515" w:rsidRPr="00FF286B" w:rsidRDefault="00C31515" w:rsidP="00F975A0">
            <w:pPr>
              <w:pStyle w:val="ACLTextFirstLine"/>
              <w:ind w:firstLine="0"/>
              <w:jc w:val="center"/>
              <w:rPr>
                <w:rFonts w:eastAsia="新細明體"/>
                <w:b/>
                <w:bCs/>
                <w:sz w:val="20"/>
                <w:szCs w:val="20"/>
                <w:lang w:eastAsia="zh-TW"/>
              </w:rPr>
            </w:pPr>
            <w:r w:rsidRPr="00C6530D">
              <w:rPr>
                <w:rFonts w:eastAsia="新細明體"/>
                <w:sz w:val="20"/>
                <w:szCs w:val="20"/>
                <w:lang w:eastAsia="zh-TW"/>
              </w:rPr>
              <w:t>0.049562</w:t>
            </w:r>
          </w:p>
        </w:tc>
      </w:tr>
      <w:tr w:rsidR="00C31515" w:rsidRPr="00FF286B" w14:paraId="593415F5" w14:textId="77777777" w:rsidTr="00F975A0">
        <w:tc>
          <w:tcPr>
            <w:tcW w:w="2122" w:type="dxa"/>
          </w:tcPr>
          <w:p w14:paraId="0EBCB5E5" w14:textId="77777777" w:rsidR="00C31515" w:rsidRPr="007A6CC0" w:rsidRDefault="00C31515" w:rsidP="00F975A0">
            <w:pPr>
              <w:pStyle w:val="ACLTextFirstLine"/>
              <w:ind w:firstLine="0"/>
              <w:jc w:val="center"/>
              <w:rPr>
                <w:rFonts w:eastAsia="新細明體"/>
                <w:sz w:val="20"/>
                <w:szCs w:val="20"/>
                <w:lang w:eastAsia="zh-TW"/>
              </w:rPr>
            </w:pPr>
            <w:proofErr w:type="spellStart"/>
            <w:r w:rsidRPr="007A6CC0">
              <w:rPr>
                <w:rFonts w:eastAsia="新細明體"/>
                <w:sz w:val="20"/>
                <w:szCs w:val="20"/>
                <w:lang w:eastAsia="zh-TW"/>
              </w:rPr>
              <w:t>logit_variance</w:t>
            </w:r>
            <w:proofErr w:type="spellEnd"/>
          </w:p>
        </w:tc>
        <w:tc>
          <w:tcPr>
            <w:tcW w:w="1275" w:type="dxa"/>
          </w:tcPr>
          <w:p w14:paraId="789ABBB3" w14:textId="77777777" w:rsidR="00C31515" w:rsidRPr="00C6530D" w:rsidRDefault="00C31515" w:rsidP="00F975A0">
            <w:pPr>
              <w:pStyle w:val="ACLTextFirstLine"/>
              <w:ind w:firstLine="0"/>
              <w:jc w:val="center"/>
              <w:rPr>
                <w:rFonts w:eastAsia="新細明體"/>
                <w:sz w:val="20"/>
                <w:szCs w:val="20"/>
                <w:lang w:eastAsia="zh-TW"/>
              </w:rPr>
            </w:pPr>
            <w:r w:rsidRPr="00C6530D">
              <w:rPr>
                <w:rFonts w:eastAsia="新細明體"/>
                <w:sz w:val="20"/>
                <w:szCs w:val="20"/>
                <w:lang w:eastAsia="zh-TW"/>
              </w:rPr>
              <w:t xml:space="preserve">0.183690       </w:t>
            </w:r>
          </w:p>
        </w:tc>
        <w:tc>
          <w:tcPr>
            <w:tcW w:w="1276" w:type="dxa"/>
          </w:tcPr>
          <w:p w14:paraId="631FB3FE" w14:textId="77777777" w:rsidR="00C31515" w:rsidRPr="00FF286B" w:rsidRDefault="00C31515" w:rsidP="00F975A0">
            <w:pPr>
              <w:pStyle w:val="ACLTextFirstLine"/>
              <w:ind w:firstLine="0"/>
              <w:jc w:val="center"/>
              <w:rPr>
                <w:rFonts w:eastAsia="新細明體"/>
                <w:b/>
                <w:bCs/>
                <w:sz w:val="20"/>
                <w:szCs w:val="20"/>
                <w:lang w:eastAsia="zh-TW"/>
              </w:rPr>
            </w:pPr>
            <w:r w:rsidRPr="00C6530D">
              <w:rPr>
                <w:rFonts w:eastAsia="新細明體"/>
                <w:sz w:val="20"/>
                <w:szCs w:val="20"/>
                <w:lang w:eastAsia="zh-TW"/>
              </w:rPr>
              <w:t>0.125924</w:t>
            </w:r>
          </w:p>
        </w:tc>
        <w:tc>
          <w:tcPr>
            <w:tcW w:w="1276" w:type="dxa"/>
          </w:tcPr>
          <w:p w14:paraId="5248FBC0" w14:textId="77777777" w:rsidR="00C31515" w:rsidRPr="00FF286B" w:rsidRDefault="00C31515" w:rsidP="00F975A0">
            <w:pPr>
              <w:pStyle w:val="ACLTextFirstLine"/>
              <w:ind w:firstLine="0"/>
              <w:jc w:val="center"/>
              <w:rPr>
                <w:rFonts w:eastAsia="新細明體"/>
                <w:b/>
                <w:bCs/>
                <w:sz w:val="20"/>
                <w:szCs w:val="20"/>
                <w:lang w:eastAsia="zh-TW"/>
              </w:rPr>
            </w:pPr>
            <w:r w:rsidRPr="00C6530D">
              <w:rPr>
                <w:rFonts w:eastAsia="新細明體"/>
                <w:sz w:val="20"/>
                <w:szCs w:val="20"/>
                <w:lang w:eastAsia="zh-TW"/>
              </w:rPr>
              <w:t>0.958609</w:t>
            </w:r>
          </w:p>
        </w:tc>
        <w:tc>
          <w:tcPr>
            <w:tcW w:w="1417" w:type="dxa"/>
          </w:tcPr>
          <w:p w14:paraId="54EEE4D7" w14:textId="77777777" w:rsidR="00C31515" w:rsidRPr="00FF286B" w:rsidRDefault="00C31515" w:rsidP="00F975A0">
            <w:pPr>
              <w:pStyle w:val="ACLTextFirstLine"/>
              <w:ind w:firstLine="0"/>
              <w:jc w:val="center"/>
              <w:rPr>
                <w:rFonts w:eastAsia="新細明體"/>
                <w:b/>
                <w:bCs/>
                <w:sz w:val="20"/>
                <w:szCs w:val="20"/>
                <w:lang w:eastAsia="zh-TW"/>
              </w:rPr>
            </w:pPr>
            <w:r w:rsidRPr="00C6530D">
              <w:rPr>
                <w:rFonts w:eastAsia="新細明體"/>
                <w:sz w:val="20"/>
                <w:szCs w:val="20"/>
                <w:lang w:eastAsia="zh-TW"/>
              </w:rPr>
              <w:t>0.222607</w:t>
            </w:r>
          </w:p>
        </w:tc>
        <w:tc>
          <w:tcPr>
            <w:tcW w:w="1418" w:type="dxa"/>
          </w:tcPr>
          <w:p w14:paraId="6BCE021D" w14:textId="77777777" w:rsidR="00C31515" w:rsidRPr="00FF286B" w:rsidRDefault="00C31515" w:rsidP="00F975A0">
            <w:pPr>
              <w:pStyle w:val="ACLTextFirstLine"/>
              <w:ind w:firstLine="0"/>
              <w:jc w:val="center"/>
              <w:rPr>
                <w:rFonts w:eastAsia="新細明體"/>
                <w:b/>
                <w:bCs/>
                <w:sz w:val="20"/>
                <w:szCs w:val="20"/>
                <w:lang w:eastAsia="zh-TW"/>
              </w:rPr>
            </w:pPr>
            <w:r w:rsidRPr="00C6530D">
              <w:rPr>
                <w:rFonts w:eastAsia="新細明體"/>
                <w:sz w:val="20"/>
                <w:szCs w:val="20"/>
                <w:lang w:eastAsia="zh-TW"/>
              </w:rPr>
              <w:t>0.043964</w:t>
            </w:r>
          </w:p>
        </w:tc>
      </w:tr>
      <w:tr w:rsidR="00C31515" w:rsidRPr="00FF286B" w14:paraId="724C75C8" w14:textId="77777777" w:rsidTr="00F975A0">
        <w:tc>
          <w:tcPr>
            <w:tcW w:w="2122" w:type="dxa"/>
          </w:tcPr>
          <w:p w14:paraId="3E3B48EC" w14:textId="77777777" w:rsidR="00C31515" w:rsidRPr="007A6CC0" w:rsidRDefault="00C31515" w:rsidP="00F975A0">
            <w:pPr>
              <w:pStyle w:val="ACLTextFirstLine"/>
              <w:ind w:firstLine="0"/>
              <w:jc w:val="center"/>
              <w:rPr>
                <w:rFonts w:eastAsia="新細明體"/>
                <w:sz w:val="20"/>
                <w:szCs w:val="20"/>
                <w:lang w:eastAsia="zh-TW"/>
              </w:rPr>
            </w:pPr>
            <w:r w:rsidRPr="007A6CC0">
              <w:rPr>
                <w:rFonts w:eastAsia="新細明體"/>
                <w:sz w:val="20"/>
                <w:szCs w:val="20"/>
                <w:lang w:eastAsia="zh-TW"/>
              </w:rPr>
              <w:t>mean_logit_margin</w:t>
            </w:r>
          </w:p>
        </w:tc>
        <w:tc>
          <w:tcPr>
            <w:tcW w:w="1275" w:type="dxa"/>
          </w:tcPr>
          <w:p w14:paraId="03695550" w14:textId="77777777" w:rsidR="00C31515" w:rsidRPr="00C6530D" w:rsidRDefault="00C31515" w:rsidP="00F975A0">
            <w:pPr>
              <w:pStyle w:val="ACLTextFirstLine"/>
              <w:ind w:firstLine="0"/>
              <w:jc w:val="center"/>
              <w:rPr>
                <w:rFonts w:eastAsia="新細明體"/>
                <w:sz w:val="20"/>
                <w:szCs w:val="20"/>
                <w:lang w:eastAsia="zh-TW"/>
              </w:rPr>
            </w:pPr>
            <w:r w:rsidRPr="00456FC0">
              <w:rPr>
                <w:rFonts w:eastAsia="新細明體"/>
                <w:sz w:val="20"/>
                <w:szCs w:val="20"/>
                <w:lang w:eastAsia="zh-TW"/>
              </w:rPr>
              <w:t xml:space="preserve">0.129996       </w:t>
            </w:r>
          </w:p>
        </w:tc>
        <w:tc>
          <w:tcPr>
            <w:tcW w:w="1276" w:type="dxa"/>
          </w:tcPr>
          <w:p w14:paraId="7AFA8DCA" w14:textId="77777777" w:rsidR="00C31515" w:rsidRPr="00FF286B" w:rsidRDefault="00C31515" w:rsidP="00F975A0">
            <w:pPr>
              <w:pStyle w:val="ACLTextFirstLine"/>
              <w:ind w:firstLine="0"/>
              <w:jc w:val="center"/>
              <w:rPr>
                <w:rFonts w:eastAsia="新細明體"/>
                <w:b/>
                <w:bCs/>
                <w:sz w:val="20"/>
                <w:szCs w:val="20"/>
                <w:lang w:eastAsia="zh-TW"/>
              </w:rPr>
            </w:pPr>
            <w:r w:rsidRPr="00456FC0">
              <w:rPr>
                <w:rFonts w:eastAsia="新細明體"/>
                <w:sz w:val="20"/>
                <w:szCs w:val="20"/>
                <w:lang w:eastAsia="zh-TW"/>
              </w:rPr>
              <w:t>0.122761</w:t>
            </w:r>
          </w:p>
        </w:tc>
        <w:tc>
          <w:tcPr>
            <w:tcW w:w="1276" w:type="dxa"/>
          </w:tcPr>
          <w:p w14:paraId="791E7345" w14:textId="77777777" w:rsidR="00C31515" w:rsidRPr="00FF286B" w:rsidRDefault="00C31515" w:rsidP="00F975A0">
            <w:pPr>
              <w:pStyle w:val="ACLTextFirstLine"/>
              <w:ind w:firstLine="0"/>
              <w:jc w:val="center"/>
              <w:rPr>
                <w:rFonts w:eastAsia="新細明體"/>
                <w:b/>
                <w:bCs/>
                <w:sz w:val="20"/>
                <w:szCs w:val="20"/>
                <w:lang w:eastAsia="zh-TW"/>
              </w:rPr>
            </w:pPr>
            <w:r w:rsidRPr="00456FC0">
              <w:rPr>
                <w:rFonts w:eastAsia="新細明體"/>
                <w:sz w:val="20"/>
                <w:szCs w:val="20"/>
                <w:lang w:eastAsia="zh-TW"/>
              </w:rPr>
              <w:t>0.998344</w:t>
            </w:r>
          </w:p>
        </w:tc>
        <w:tc>
          <w:tcPr>
            <w:tcW w:w="1417" w:type="dxa"/>
          </w:tcPr>
          <w:p w14:paraId="203905B2" w14:textId="77777777" w:rsidR="00C31515" w:rsidRPr="00FF286B" w:rsidRDefault="00C31515" w:rsidP="00F975A0">
            <w:pPr>
              <w:pStyle w:val="ACLTextFirstLine"/>
              <w:ind w:firstLine="0"/>
              <w:jc w:val="center"/>
              <w:rPr>
                <w:rFonts w:eastAsia="新細明體"/>
                <w:b/>
                <w:bCs/>
                <w:sz w:val="20"/>
                <w:szCs w:val="20"/>
                <w:lang w:eastAsia="zh-TW"/>
              </w:rPr>
            </w:pPr>
            <w:r w:rsidRPr="00456FC0">
              <w:rPr>
                <w:rFonts w:eastAsia="新細明體"/>
                <w:sz w:val="20"/>
                <w:szCs w:val="20"/>
                <w:lang w:eastAsia="zh-TW"/>
              </w:rPr>
              <w:t>0.218637</w:t>
            </w:r>
          </w:p>
        </w:tc>
        <w:tc>
          <w:tcPr>
            <w:tcW w:w="1418" w:type="dxa"/>
          </w:tcPr>
          <w:p w14:paraId="469C393B" w14:textId="77777777" w:rsidR="00C31515" w:rsidRPr="00FF286B" w:rsidRDefault="00C31515" w:rsidP="00F975A0">
            <w:pPr>
              <w:pStyle w:val="ACLTextFirstLine"/>
              <w:ind w:firstLine="0"/>
              <w:jc w:val="center"/>
              <w:rPr>
                <w:rFonts w:eastAsia="新細明體"/>
                <w:b/>
                <w:bCs/>
                <w:sz w:val="20"/>
                <w:szCs w:val="20"/>
                <w:lang w:eastAsia="zh-TW"/>
              </w:rPr>
            </w:pPr>
            <w:r w:rsidRPr="00456FC0">
              <w:rPr>
                <w:rFonts w:eastAsia="新細明體"/>
                <w:sz w:val="20"/>
                <w:szCs w:val="20"/>
                <w:lang w:eastAsia="zh-TW"/>
              </w:rPr>
              <w:t>0.027728</w:t>
            </w:r>
          </w:p>
        </w:tc>
      </w:tr>
      <w:tr w:rsidR="00C31515" w:rsidRPr="00FF286B" w14:paraId="277AF861" w14:textId="77777777" w:rsidTr="00F975A0">
        <w:tc>
          <w:tcPr>
            <w:tcW w:w="2122" w:type="dxa"/>
          </w:tcPr>
          <w:p w14:paraId="7A4F6254" w14:textId="77777777" w:rsidR="00C31515" w:rsidRPr="007A6CC0" w:rsidRDefault="00C31515" w:rsidP="00F975A0">
            <w:pPr>
              <w:pStyle w:val="ACLTextFirstLine"/>
              <w:ind w:firstLine="0"/>
              <w:jc w:val="center"/>
              <w:rPr>
                <w:rFonts w:eastAsia="新細明體"/>
                <w:sz w:val="20"/>
                <w:szCs w:val="20"/>
                <w:lang w:eastAsia="zh-TW"/>
              </w:rPr>
            </w:pPr>
            <w:r w:rsidRPr="007A6CC0">
              <w:rPr>
                <w:rFonts w:eastAsia="新細明體"/>
                <w:sz w:val="20"/>
                <w:szCs w:val="20"/>
                <w:lang w:eastAsia="zh-TW"/>
              </w:rPr>
              <w:t>gmm_means_0</w:t>
            </w:r>
          </w:p>
        </w:tc>
        <w:tc>
          <w:tcPr>
            <w:tcW w:w="1275" w:type="dxa"/>
          </w:tcPr>
          <w:p w14:paraId="527C2747" w14:textId="77777777" w:rsidR="00C31515" w:rsidRPr="00C6530D" w:rsidRDefault="00C31515" w:rsidP="00F975A0">
            <w:pPr>
              <w:pStyle w:val="ACLTextFirstLine"/>
              <w:ind w:firstLine="0"/>
              <w:jc w:val="center"/>
              <w:rPr>
                <w:rFonts w:eastAsia="新細明體"/>
                <w:sz w:val="20"/>
                <w:szCs w:val="20"/>
                <w:lang w:eastAsia="zh-TW"/>
              </w:rPr>
            </w:pPr>
            <w:r w:rsidRPr="00456FC0">
              <w:rPr>
                <w:rFonts w:eastAsia="新細明體"/>
                <w:sz w:val="20"/>
                <w:szCs w:val="20"/>
                <w:lang w:eastAsia="zh-TW"/>
              </w:rPr>
              <w:t xml:space="preserve">0.124142       </w:t>
            </w:r>
          </w:p>
        </w:tc>
        <w:tc>
          <w:tcPr>
            <w:tcW w:w="1276" w:type="dxa"/>
          </w:tcPr>
          <w:p w14:paraId="7FFBA4E2" w14:textId="77777777" w:rsidR="00C31515" w:rsidRPr="00FF286B" w:rsidRDefault="00C31515" w:rsidP="00F975A0">
            <w:pPr>
              <w:pStyle w:val="ACLTextFirstLine"/>
              <w:ind w:firstLine="0"/>
              <w:jc w:val="center"/>
              <w:rPr>
                <w:rFonts w:eastAsia="新細明體"/>
                <w:b/>
                <w:bCs/>
                <w:sz w:val="20"/>
                <w:szCs w:val="20"/>
                <w:lang w:eastAsia="zh-TW"/>
              </w:rPr>
            </w:pPr>
            <w:r w:rsidRPr="00456FC0">
              <w:rPr>
                <w:rFonts w:eastAsia="新細明體"/>
                <w:sz w:val="20"/>
                <w:szCs w:val="20"/>
                <w:lang w:eastAsia="zh-TW"/>
              </w:rPr>
              <w:t>0.122193</w:t>
            </w:r>
          </w:p>
        </w:tc>
        <w:tc>
          <w:tcPr>
            <w:tcW w:w="1276" w:type="dxa"/>
          </w:tcPr>
          <w:p w14:paraId="73F166FD" w14:textId="77777777" w:rsidR="00C31515" w:rsidRPr="00FF286B" w:rsidRDefault="00C31515" w:rsidP="00F975A0">
            <w:pPr>
              <w:pStyle w:val="ACLTextFirstLine"/>
              <w:ind w:firstLine="0"/>
              <w:jc w:val="center"/>
              <w:rPr>
                <w:rFonts w:eastAsia="新細明體"/>
                <w:b/>
                <w:bCs/>
                <w:sz w:val="20"/>
                <w:szCs w:val="20"/>
                <w:lang w:eastAsia="zh-TW"/>
              </w:rPr>
            </w:pPr>
            <w:r w:rsidRPr="00456FC0">
              <w:rPr>
                <w:rFonts w:eastAsia="新細明體"/>
                <w:sz w:val="20"/>
                <w:szCs w:val="20"/>
                <w:lang w:eastAsia="zh-TW"/>
              </w:rPr>
              <w:t>1.000000</w:t>
            </w:r>
          </w:p>
        </w:tc>
        <w:tc>
          <w:tcPr>
            <w:tcW w:w="1417" w:type="dxa"/>
          </w:tcPr>
          <w:p w14:paraId="0F08DF8A" w14:textId="77777777" w:rsidR="00C31515" w:rsidRPr="00FF286B" w:rsidRDefault="00C31515" w:rsidP="00F975A0">
            <w:pPr>
              <w:pStyle w:val="ACLTextFirstLine"/>
              <w:ind w:firstLine="0"/>
              <w:jc w:val="center"/>
              <w:rPr>
                <w:rFonts w:eastAsia="新細明體"/>
                <w:b/>
                <w:bCs/>
                <w:sz w:val="20"/>
                <w:szCs w:val="20"/>
                <w:lang w:eastAsia="zh-TW"/>
              </w:rPr>
            </w:pPr>
            <w:r w:rsidRPr="00456FC0">
              <w:rPr>
                <w:rFonts w:eastAsia="新細明體"/>
                <w:sz w:val="20"/>
                <w:szCs w:val="20"/>
                <w:lang w:eastAsia="zh-TW"/>
              </w:rPr>
              <w:t>0.217775</w:t>
            </w:r>
          </w:p>
        </w:tc>
        <w:tc>
          <w:tcPr>
            <w:tcW w:w="1418" w:type="dxa"/>
          </w:tcPr>
          <w:p w14:paraId="62746CB3" w14:textId="77777777" w:rsidR="00C31515" w:rsidRPr="00FF286B" w:rsidRDefault="00C31515" w:rsidP="00F975A0">
            <w:pPr>
              <w:pStyle w:val="ACLTextFirstLine"/>
              <w:ind w:firstLine="0"/>
              <w:jc w:val="center"/>
              <w:rPr>
                <w:rFonts w:eastAsia="新細明體"/>
                <w:b/>
                <w:bCs/>
                <w:sz w:val="20"/>
                <w:szCs w:val="20"/>
                <w:lang w:eastAsia="zh-TW"/>
              </w:rPr>
            </w:pPr>
            <w:r w:rsidRPr="00456FC0">
              <w:rPr>
                <w:rFonts w:eastAsia="新細明體"/>
                <w:sz w:val="20"/>
                <w:szCs w:val="20"/>
                <w:lang w:eastAsia="zh-TW"/>
              </w:rPr>
              <w:t>0.017578</w:t>
            </w:r>
          </w:p>
        </w:tc>
      </w:tr>
      <w:tr w:rsidR="00C31515" w:rsidRPr="00FF286B" w14:paraId="338E9CB3" w14:textId="77777777" w:rsidTr="00F975A0">
        <w:tc>
          <w:tcPr>
            <w:tcW w:w="2122" w:type="dxa"/>
          </w:tcPr>
          <w:p w14:paraId="3397638D" w14:textId="77777777" w:rsidR="00C31515" w:rsidRPr="007A6CC0" w:rsidRDefault="00C31515" w:rsidP="00F975A0">
            <w:pPr>
              <w:pStyle w:val="ACLTextFirstLine"/>
              <w:ind w:firstLine="0"/>
              <w:jc w:val="center"/>
              <w:rPr>
                <w:rFonts w:eastAsia="新細明體"/>
                <w:sz w:val="20"/>
                <w:szCs w:val="20"/>
                <w:lang w:eastAsia="zh-TW"/>
              </w:rPr>
            </w:pPr>
            <w:r w:rsidRPr="007A6CC0">
              <w:rPr>
                <w:rFonts w:eastAsia="新細明體"/>
                <w:sz w:val="20"/>
                <w:szCs w:val="20"/>
                <w:lang w:eastAsia="zh-TW"/>
              </w:rPr>
              <w:t>gmm_weights_1</w:t>
            </w:r>
          </w:p>
        </w:tc>
        <w:tc>
          <w:tcPr>
            <w:tcW w:w="1275" w:type="dxa"/>
          </w:tcPr>
          <w:p w14:paraId="51D2E88C" w14:textId="77777777" w:rsidR="00C31515" w:rsidRPr="00C6530D" w:rsidRDefault="00C31515" w:rsidP="00F975A0">
            <w:pPr>
              <w:pStyle w:val="ACLTextFirstLine"/>
              <w:ind w:firstLine="0"/>
              <w:jc w:val="center"/>
              <w:rPr>
                <w:rFonts w:eastAsia="新細明體"/>
                <w:sz w:val="20"/>
                <w:szCs w:val="20"/>
                <w:lang w:eastAsia="zh-TW"/>
              </w:rPr>
            </w:pPr>
            <w:r w:rsidRPr="00456FC0">
              <w:rPr>
                <w:rFonts w:eastAsia="新細明體"/>
                <w:sz w:val="20"/>
                <w:szCs w:val="20"/>
                <w:lang w:eastAsia="zh-TW"/>
              </w:rPr>
              <w:t xml:space="preserve">0.855268       </w:t>
            </w:r>
          </w:p>
        </w:tc>
        <w:tc>
          <w:tcPr>
            <w:tcW w:w="1276" w:type="dxa"/>
          </w:tcPr>
          <w:p w14:paraId="233011E9" w14:textId="77777777" w:rsidR="00C31515" w:rsidRPr="00FF286B" w:rsidRDefault="00C31515" w:rsidP="00F975A0">
            <w:pPr>
              <w:pStyle w:val="ACLTextFirstLine"/>
              <w:ind w:firstLine="0"/>
              <w:jc w:val="center"/>
              <w:rPr>
                <w:rFonts w:eastAsia="新細明體"/>
                <w:b/>
                <w:bCs/>
                <w:sz w:val="20"/>
                <w:szCs w:val="20"/>
                <w:lang w:eastAsia="zh-TW"/>
              </w:rPr>
            </w:pPr>
            <w:r w:rsidRPr="00456FC0">
              <w:rPr>
                <w:rFonts w:eastAsia="新細明體"/>
                <w:sz w:val="20"/>
                <w:szCs w:val="20"/>
                <w:lang w:eastAsia="zh-TW"/>
              </w:rPr>
              <w:t>0.144654</w:t>
            </w:r>
          </w:p>
        </w:tc>
        <w:tc>
          <w:tcPr>
            <w:tcW w:w="1276" w:type="dxa"/>
          </w:tcPr>
          <w:p w14:paraId="062BE353" w14:textId="77777777" w:rsidR="00C31515" w:rsidRPr="00FF286B" w:rsidRDefault="00C31515" w:rsidP="00F975A0">
            <w:pPr>
              <w:pStyle w:val="ACLTextFirstLine"/>
              <w:ind w:firstLine="0"/>
              <w:jc w:val="center"/>
              <w:rPr>
                <w:rFonts w:eastAsia="新細明體"/>
                <w:b/>
                <w:bCs/>
                <w:sz w:val="20"/>
                <w:szCs w:val="20"/>
                <w:lang w:eastAsia="zh-TW"/>
              </w:rPr>
            </w:pPr>
            <w:r w:rsidRPr="00456FC0">
              <w:rPr>
                <w:rFonts w:eastAsia="新細明體"/>
                <w:sz w:val="20"/>
                <w:szCs w:val="20"/>
                <w:lang w:eastAsia="zh-TW"/>
              </w:rPr>
              <w:t>0.038079</w:t>
            </w:r>
          </w:p>
        </w:tc>
        <w:tc>
          <w:tcPr>
            <w:tcW w:w="1417" w:type="dxa"/>
          </w:tcPr>
          <w:p w14:paraId="5CBCAC29" w14:textId="77777777" w:rsidR="00C31515" w:rsidRPr="00FF286B" w:rsidRDefault="00C31515" w:rsidP="00F975A0">
            <w:pPr>
              <w:pStyle w:val="ACLTextFirstLine"/>
              <w:ind w:firstLine="0"/>
              <w:jc w:val="center"/>
              <w:rPr>
                <w:rFonts w:eastAsia="新細明體"/>
                <w:b/>
                <w:bCs/>
                <w:sz w:val="20"/>
                <w:szCs w:val="20"/>
                <w:lang w:eastAsia="zh-TW"/>
              </w:rPr>
            </w:pPr>
            <w:r w:rsidRPr="00456FC0">
              <w:rPr>
                <w:rFonts w:eastAsia="新細明體"/>
                <w:sz w:val="20"/>
                <w:szCs w:val="20"/>
                <w:lang w:eastAsia="zh-TW"/>
              </w:rPr>
              <w:t>0.060288</w:t>
            </w:r>
          </w:p>
        </w:tc>
        <w:tc>
          <w:tcPr>
            <w:tcW w:w="1418" w:type="dxa"/>
          </w:tcPr>
          <w:p w14:paraId="4D2585E6" w14:textId="77777777" w:rsidR="00C31515" w:rsidRPr="00FF286B" w:rsidRDefault="00C31515" w:rsidP="00F975A0">
            <w:pPr>
              <w:pStyle w:val="ACLTextFirstLine"/>
              <w:ind w:firstLine="0"/>
              <w:jc w:val="center"/>
              <w:rPr>
                <w:rFonts w:eastAsia="新細明體"/>
                <w:b/>
                <w:bCs/>
                <w:sz w:val="20"/>
                <w:szCs w:val="20"/>
                <w:lang w:eastAsia="zh-TW"/>
              </w:rPr>
            </w:pPr>
            <w:r w:rsidRPr="00456FC0">
              <w:rPr>
                <w:rFonts w:eastAsia="新細明體"/>
                <w:sz w:val="20"/>
                <w:szCs w:val="20"/>
                <w:lang w:eastAsia="zh-TW"/>
              </w:rPr>
              <w:t>0.012652</w:t>
            </w:r>
          </w:p>
        </w:tc>
      </w:tr>
      <w:tr w:rsidR="00C31515" w:rsidRPr="00FF286B" w14:paraId="241CA7BD" w14:textId="77777777" w:rsidTr="00F975A0">
        <w:tc>
          <w:tcPr>
            <w:tcW w:w="2122" w:type="dxa"/>
          </w:tcPr>
          <w:p w14:paraId="011E5832" w14:textId="77777777" w:rsidR="00C31515" w:rsidRPr="007A6CC0" w:rsidRDefault="00C31515" w:rsidP="00F975A0">
            <w:pPr>
              <w:pStyle w:val="ACLTextFirstLine"/>
              <w:ind w:firstLine="0"/>
              <w:jc w:val="center"/>
              <w:rPr>
                <w:rFonts w:eastAsia="新細明體"/>
                <w:sz w:val="20"/>
                <w:szCs w:val="20"/>
                <w:lang w:eastAsia="zh-TW"/>
              </w:rPr>
            </w:pPr>
            <w:r w:rsidRPr="007A6CC0">
              <w:rPr>
                <w:rFonts w:eastAsia="新細明體"/>
                <w:sz w:val="20"/>
                <w:szCs w:val="20"/>
                <w:lang w:eastAsia="zh-TW"/>
              </w:rPr>
              <w:t>evt_k3</w:t>
            </w:r>
          </w:p>
        </w:tc>
        <w:tc>
          <w:tcPr>
            <w:tcW w:w="1275" w:type="dxa"/>
          </w:tcPr>
          <w:p w14:paraId="042A2F7D" w14:textId="77777777" w:rsidR="00C31515" w:rsidRPr="00C6530D" w:rsidRDefault="00C31515" w:rsidP="00F975A0">
            <w:pPr>
              <w:pStyle w:val="ACLTextFirstLine"/>
              <w:ind w:firstLine="0"/>
              <w:jc w:val="center"/>
              <w:rPr>
                <w:rFonts w:eastAsia="新細明體"/>
                <w:sz w:val="20"/>
                <w:szCs w:val="20"/>
                <w:lang w:eastAsia="zh-TW"/>
              </w:rPr>
            </w:pPr>
            <w:r w:rsidRPr="00F32FAC">
              <w:rPr>
                <w:rFonts w:eastAsia="新細明體"/>
                <w:sz w:val="20"/>
                <w:szCs w:val="20"/>
                <w:lang w:eastAsia="zh-TW"/>
              </w:rPr>
              <w:t xml:space="preserve">0.124748       </w:t>
            </w:r>
          </w:p>
        </w:tc>
        <w:tc>
          <w:tcPr>
            <w:tcW w:w="1276" w:type="dxa"/>
          </w:tcPr>
          <w:p w14:paraId="616C8029" w14:textId="77777777" w:rsidR="00C31515" w:rsidRPr="00FF286B" w:rsidRDefault="00C31515" w:rsidP="00F975A0">
            <w:pPr>
              <w:pStyle w:val="ACLTextFirstLine"/>
              <w:ind w:firstLine="0"/>
              <w:jc w:val="center"/>
              <w:rPr>
                <w:rFonts w:eastAsia="新細明體"/>
                <w:b/>
                <w:bCs/>
                <w:sz w:val="20"/>
                <w:szCs w:val="20"/>
                <w:lang w:eastAsia="zh-TW"/>
              </w:rPr>
            </w:pPr>
            <w:r w:rsidRPr="00F32FAC">
              <w:rPr>
                <w:rFonts w:eastAsia="新細明體"/>
                <w:sz w:val="20"/>
                <w:szCs w:val="20"/>
                <w:lang w:eastAsia="zh-TW"/>
              </w:rPr>
              <w:t>0.122114</w:t>
            </w:r>
          </w:p>
        </w:tc>
        <w:tc>
          <w:tcPr>
            <w:tcW w:w="1276" w:type="dxa"/>
          </w:tcPr>
          <w:p w14:paraId="1A7DA19C" w14:textId="77777777" w:rsidR="00C31515" w:rsidRPr="00FF286B" w:rsidRDefault="00C31515" w:rsidP="00F975A0">
            <w:pPr>
              <w:pStyle w:val="ACLTextFirstLine"/>
              <w:ind w:firstLine="0"/>
              <w:jc w:val="center"/>
              <w:rPr>
                <w:rFonts w:eastAsia="新細明體"/>
                <w:b/>
                <w:bCs/>
                <w:sz w:val="20"/>
                <w:szCs w:val="20"/>
                <w:lang w:eastAsia="zh-TW"/>
              </w:rPr>
            </w:pPr>
            <w:r w:rsidRPr="00F32FAC">
              <w:rPr>
                <w:rFonts w:eastAsia="新細明體"/>
                <w:sz w:val="20"/>
                <w:szCs w:val="20"/>
                <w:lang w:eastAsia="zh-TW"/>
              </w:rPr>
              <w:t>0.998344</w:t>
            </w:r>
          </w:p>
        </w:tc>
        <w:tc>
          <w:tcPr>
            <w:tcW w:w="1417" w:type="dxa"/>
          </w:tcPr>
          <w:p w14:paraId="60ADA9CC" w14:textId="77777777" w:rsidR="00C31515" w:rsidRPr="00FF286B" w:rsidRDefault="00C31515" w:rsidP="00F975A0">
            <w:pPr>
              <w:pStyle w:val="ACLTextFirstLine"/>
              <w:ind w:firstLine="0"/>
              <w:jc w:val="center"/>
              <w:rPr>
                <w:rFonts w:eastAsia="新細明體"/>
                <w:b/>
                <w:bCs/>
                <w:sz w:val="20"/>
                <w:szCs w:val="20"/>
                <w:lang w:eastAsia="zh-TW"/>
              </w:rPr>
            </w:pPr>
            <w:r w:rsidRPr="00F32FAC">
              <w:rPr>
                <w:rFonts w:eastAsia="新細明體"/>
                <w:sz w:val="20"/>
                <w:szCs w:val="20"/>
                <w:lang w:eastAsia="zh-TW"/>
              </w:rPr>
              <w:t>0.217611</w:t>
            </w:r>
          </w:p>
        </w:tc>
        <w:tc>
          <w:tcPr>
            <w:tcW w:w="1418" w:type="dxa"/>
          </w:tcPr>
          <w:p w14:paraId="0157E5EF" w14:textId="77777777" w:rsidR="00C31515" w:rsidRPr="00FF286B" w:rsidRDefault="00C31515" w:rsidP="00F975A0">
            <w:pPr>
              <w:pStyle w:val="ACLTextFirstLine"/>
              <w:ind w:firstLine="0"/>
              <w:jc w:val="center"/>
              <w:rPr>
                <w:rFonts w:eastAsia="新細明體"/>
                <w:b/>
                <w:bCs/>
                <w:sz w:val="20"/>
                <w:szCs w:val="20"/>
                <w:lang w:eastAsia="zh-TW"/>
              </w:rPr>
            </w:pPr>
            <w:r w:rsidRPr="00F32FAC">
              <w:rPr>
                <w:rFonts w:eastAsia="新細明體"/>
                <w:sz w:val="20"/>
                <w:szCs w:val="20"/>
                <w:lang w:eastAsia="zh-TW"/>
              </w:rPr>
              <w:t>0.010338</w:t>
            </w:r>
          </w:p>
        </w:tc>
      </w:tr>
      <w:tr w:rsidR="00C31515" w:rsidRPr="00FF286B" w14:paraId="024A1678" w14:textId="77777777" w:rsidTr="00F975A0">
        <w:tc>
          <w:tcPr>
            <w:tcW w:w="2122" w:type="dxa"/>
          </w:tcPr>
          <w:p w14:paraId="7A5BD40D" w14:textId="77777777" w:rsidR="00C31515" w:rsidRPr="007A6CC0" w:rsidRDefault="00C31515" w:rsidP="00F975A0">
            <w:pPr>
              <w:pStyle w:val="ACLTextFirstLine"/>
              <w:ind w:firstLine="0"/>
              <w:jc w:val="center"/>
              <w:rPr>
                <w:rFonts w:eastAsia="新細明體"/>
                <w:sz w:val="20"/>
                <w:szCs w:val="20"/>
                <w:lang w:eastAsia="zh-TW"/>
              </w:rPr>
            </w:pPr>
            <w:proofErr w:type="spellStart"/>
            <w:r w:rsidRPr="007A6CC0">
              <w:rPr>
                <w:rFonts w:eastAsia="新細明體"/>
                <w:sz w:val="20"/>
                <w:szCs w:val="20"/>
                <w:lang w:eastAsia="zh-TW"/>
              </w:rPr>
              <w:t>prosetrior_probability</w:t>
            </w:r>
            <w:proofErr w:type="spellEnd"/>
          </w:p>
        </w:tc>
        <w:tc>
          <w:tcPr>
            <w:tcW w:w="1275" w:type="dxa"/>
          </w:tcPr>
          <w:p w14:paraId="2FE2ECA0" w14:textId="77777777" w:rsidR="00C31515" w:rsidRPr="00C6530D" w:rsidRDefault="00C31515" w:rsidP="00F975A0">
            <w:pPr>
              <w:pStyle w:val="ACLTextFirstLine"/>
              <w:ind w:firstLine="0"/>
              <w:jc w:val="center"/>
              <w:rPr>
                <w:rFonts w:eastAsia="新細明體"/>
                <w:sz w:val="20"/>
                <w:szCs w:val="20"/>
                <w:lang w:eastAsia="zh-TW"/>
              </w:rPr>
            </w:pPr>
            <w:r w:rsidRPr="00F32FAC">
              <w:rPr>
                <w:rFonts w:eastAsia="新細明體"/>
                <w:sz w:val="20"/>
                <w:szCs w:val="20"/>
                <w:lang w:eastAsia="zh-TW"/>
              </w:rPr>
              <w:t xml:space="preserve">0.144933       </w:t>
            </w:r>
          </w:p>
        </w:tc>
        <w:tc>
          <w:tcPr>
            <w:tcW w:w="1276" w:type="dxa"/>
          </w:tcPr>
          <w:p w14:paraId="2F9C7597" w14:textId="77777777" w:rsidR="00C31515" w:rsidRPr="00FF286B" w:rsidRDefault="00C31515" w:rsidP="00F975A0">
            <w:pPr>
              <w:pStyle w:val="ACLTextFirstLine"/>
              <w:ind w:firstLine="0"/>
              <w:jc w:val="center"/>
              <w:rPr>
                <w:rFonts w:eastAsia="新細明體"/>
                <w:b/>
                <w:bCs/>
                <w:sz w:val="20"/>
                <w:szCs w:val="20"/>
                <w:lang w:eastAsia="zh-TW"/>
              </w:rPr>
            </w:pPr>
            <w:r w:rsidRPr="00F32FAC">
              <w:rPr>
                <w:rFonts w:eastAsia="新細明體"/>
                <w:sz w:val="20"/>
                <w:szCs w:val="20"/>
                <w:lang w:eastAsia="zh-TW"/>
              </w:rPr>
              <w:t>0.122453</w:t>
            </w:r>
          </w:p>
        </w:tc>
        <w:tc>
          <w:tcPr>
            <w:tcW w:w="1276" w:type="dxa"/>
          </w:tcPr>
          <w:p w14:paraId="2057F5ED" w14:textId="77777777" w:rsidR="00C31515" w:rsidRPr="00FF286B" w:rsidRDefault="00C31515" w:rsidP="00F975A0">
            <w:pPr>
              <w:pStyle w:val="ACLTextFirstLine"/>
              <w:ind w:firstLine="0"/>
              <w:jc w:val="center"/>
              <w:rPr>
                <w:rFonts w:eastAsia="新細明體"/>
                <w:b/>
                <w:bCs/>
                <w:sz w:val="20"/>
                <w:szCs w:val="20"/>
                <w:lang w:eastAsia="zh-TW"/>
              </w:rPr>
            </w:pPr>
            <w:r w:rsidRPr="00F32FAC">
              <w:rPr>
                <w:rFonts w:eastAsia="新細明體"/>
                <w:sz w:val="20"/>
                <w:szCs w:val="20"/>
                <w:lang w:eastAsia="zh-TW"/>
              </w:rPr>
              <w:t>0.975166</w:t>
            </w:r>
          </w:p>
        </w:tc>
        <w:tc>
          <w:tcPr>
            <w:tcW w:w="1417" w:type="dxa"/>
          </w:tcPr>
          <w:p w14:paraId="6982574B" w14:textId="77777777" w:rsidR="00C31515" w:rsidRPr="00FF286B" w:rsidRDefault="00C31515" w:rsidP="00F975A0">
            <w:pPr>
              <w:pStyle w:val="ACLTextFirstLine"/>
              <w:ind w:firstLine="0"/>
              <w:jc w:val="center"/>
              <w:rPr>
                <w:rFonts w:eastAsia="新細明體"/>
                <w:b/>
                <w:bCs/>
                <w:sz w:val="20"/>
                <w:szCs w:val="20"/>
                <w:lang w:eastAsia="zh-TW"/>
              </w:rPr>
            </w:pPr>
            <w:r w:rsidRPr="00F32FAC">
              <w:rPr>
                <w:rFonts w:eastAsia="新細明體"/>
                <w:sz w:val="20"/>
                <w:szCs w:val="20"/>
                <w:lang w:eastAsia="zh-TW"/>
              </w:rPr>
              <w:t>0.217584</w:t>
            </w:r>
          </w:p>
        </w:tc>
        <w:tc>
          <w:tcPr>
            <w:tcW w:w="1418" w:type="dxa"/>
          </w:tcPr>
          <w:p w14:paraId="485BBC0D" w14:textId="77777777" w:rsidR="00C31515" w:rsidRPr="00FF286B" w:rsidRDefault="00C31515" w:rsidP="00F975A0">
            <w:pPr>
              <w:pStyle w:val="ACLTextFirstLine"/>
              <w:ind w:firstLine="0"/>
              <w:jc w:val="center"/>
              <w:rPr>
                <w:rFonts w:eastAsia="新細明體"/>
                <w:b/>
                <w:bCs/>
                <w:sz w:val="20"/>
                <w:szCs w:val="20"/>
                <w:lang w:eastAsia="zh-TW"/>
              </w:rPr>
            </w:pPr>
            <w:r w:rsidRPr="00F32FAC">
              <w:rPr>
                <w:rFonts w:eastAsia="新細明體"/>
                <w:sz w:val="20"/>
                <w:szCs w:val="20"/>
                <w:lang w:eastAsia="zh-TW"/>
              </w:rPr>
              <w:t>0.009389</w:t>
            </w:r>
          </w:p>
        </w:tc>
      </w:tr>
      <w:tr w:rsidR="00C31515" w:rsidRPr="00FF286B" w14:paraId="7CC6DD98" w14:textId="77777777" w:rsidTr="00F975A0">
        <w:tc>
          <w:tcPr>
            <w:tcW w:w="2122" w:type="dxa"/>
          </w:tcPr>
          <w:p w14:paraId="6F4CA19A" w14:textId="77777777" w:rsidR="00C31515" w:rsidRPr="007A6CC0" w:rsidRDefault="00C31515" w:rsidP="00F975A0">
            <w:pPr>
              <w:pStyle w:val="ACLTextFirstLine"/>
              <w:ind w:firstLine="0"/>
              <w:jc w:val="center"/>
              <w:rPr>
                <w:rFonts w:eastAsia="新細明體"/>
                <w:sz w:val="20"/>
                <w:szCs w:val="20"/>
                <w:lang w:eastAsia="zh-TW"/>
              </w:rPr>
            </w:pPr>
            <w:r w:rsidRPr="007A6CC0">
              <w:rPr>
                <w:rFonts w:eastAsia="新細明體"/>
                <w:sz w:val="20"/>
                <w:szCs w:val="20"/>
                <w:lang w:eastAsia="zh-TW"/>
              </w:rPr>
              <w:t>entropy_mean</w:t>
            </w:r>
          </w:p>
        </w:tc>
        <w:tc>
          <w:tcPr>
            <w:tcW w:w="1275" w:type="dxa"/>
          </w:tcPr>
          <w:p w14:paraId="69E090FF" w14:textId="77777777" w:rsidR="00C31515" w:rsidRPr="00C6530D" w:rsidRDefault="00C31515" w:rsidP="00F975A0">
            <w:pPr>
              <w:pStyle w:val="ACLTextFirstLine"/>
              <w:ind w:firstLine="0"/>
              <w:jc w:val="center"/>
              <w:rPr>
                <w:rFonts w:eastAsia="新細明體"/>
                <w:sz w:val="20"/>
                <w:szCs w:val="20"/>
                <w:lang w:eastAsia="zh-TW"/>
              </w:rPr>
            </w:pPr>
            <w:r w:rsidRPr="00F32FAC">
              <w:rPr>
                <w:rFonts w:eastAsia="新細明體"/>
                <w:sz w:val="20"/>
                <w:szCs w:val="20"/>
                <w:lang w:eastAsia="zh-TW"/>
              </w:rPr>
              <w:t xml:space="preserve">0.122124       </w:t>
            </w:r>
          </w:p>
        </w:tc>
        <w:tc>
          <w:tcPr>
            <w:tcW w:w="1276" w:type="dxa"/>
          </w:tcPr>
          <w:p w14:paraId="672787BC" w14:textId="77777777" w:rsidR="00C31515" w:rsidRPr="00FF286B" w:rsidRDefault="00C31515" w:rsidP="00F975A0">
            <w:pPr>
              <w:pStyle w:val="ACLTextFirstLine"/>
              <w:ind w:firstLine="0"/>
              <w:jc w:val="center"/>
              <w:rPr>
                <w:rFonts w:eastAsia="新細明體"/>
                <w:b/>
                <w:bCs/>
                <w:sz w:val="20"/>
                <w:szCs w:val="20"/>
                <w:lang w:eastAsia="zh-TW"/>
              </w:rPr>
            </w:pPr>
            <w:r w:rsidRPr="00F32FAC">
              <w:rPr>
                <w:rFonts w:eastAsia="新細明體"/>
                <w:sz w:val="20"/>
                <w:szCs w:val="20"/>
                <w:lang w:eastAsia="zh-TW"/>
              </w:rPr>
              <w:t>0.121946</w:t>
            </w:r>
          </w:p>
        </w:tc>
        <w:tc>
          <w:tcPr>
            <w:tcW w:w="1276" w:type="dxa"/>
          </w:tcPr>
          <w:p w14:paraId="728F3639" w14:textId="77777777" w:rsidR="00C31515" w:rsidRPr="00FF286B" w:rsidRDefault="00C31515" w:rsidP="00F975A0">
            <w:pPr>
              <w:pStyle w:val="ACLTextFirstLine"/>
              <w:ind w:firstLine="0"/>
              <w:jc w:val="center"/>
              <w:rPr>
                <w:rFonts w:eastAsia="新細明體"/>
                <w:b/>
                <w:bCs/>
                <w:sz w:val="20"/>
                <w:szCs w:val="20"/>
                <w:lang w:eastAsia="zh-TW"/>
              </w:rPr>
            </w:pPr>
            <w:r w:rsidRPr="00F32FAC">
              <w:rPr>
                <w:rFonts w:eastAsia="新細明體"/>
                <w:sz w:val="20"/>
                <w:szCs w:val="20"/>
                <w:lang w:eastAsia="zh-TW"/>
              </w:rPr>
              <w:t>1.000000</w:t>
            </w:r>
          </w:p>
        </w:tc>
        <w:tc>
          <w:tcPr>
            <w:tcW w:w="1417" w:type="dxa"/>
          </w:tcPr>
          <w:p w14:paraId="7B201D5E" w14:textId="77777777" w:rsidR="00C31515" w:rsidRPr="00FF286B" w:rsidRDefault="00C31515" w:rsidP="00F975A0">
            <w:pPr>
              <w:pStyle w:val="ACLTextFirstLine"/>
              <w:ind w:firstLine="0"/>
              <w:jc w:val="center"/>
              <w:rPr>
                <w:rFonts w:eastAsia="新細明體"/>
                <w:b/>
                <w:bCs/>
                <w:sz w:val="20"/>
                <w:szCs w:val="20"/>
                <w:lang w:eastAsia="zh-TW"/>
              </w:rPr>
            </w:pPr>
            <w:r w:rsidRPr="00F32FAC">
              <w:rPr>
                <w:rFonts w:eastAsia="新細明體"/>
                <w:sz w:val="20"/>
                <w:szCs w:val="20"/>
                <w:lang w:eastAsia="zh-TW"/>
              </w:rPr>
              <w:t>0.217383</w:t>
            </w:r>
          </w:p>
        </w:tc>
        <w:tc>
          <w:tcPr>
            <w:tcW w:w="1418" w:type="dxa"/>
          </w:tcPr>
          <w:p w14:paraId="1A13984F" w14:textId="77777777" w:rsidR="00C31515" w:rsidRPr="00FF286B" w:rsidRDefault="00C31515" w:rsidP="00F975A0">
            <w:pPr>
              <w:pStyle w:val="ACLTextFirstLine"/>
              <w:ind w:firstLine="0"/>
              <w:jc w:val="center"/>
              <w:rPr>
                <w:rFonts w:eastAsia="新細明體"/>
                <w:b/>
                <w:bCs/>
                <w:sz w:val="20"/>
                <w:szCs w:val="20"/>
                <w:lang w:eastAsia="zh-TW"/>
              </w:rPr>
            </w:pPr>
            <w:r w:rsidRPr="00F32FAC">
              <w:rPr>
                <w:rFonts w:eastAsia="新細明體"/>
                <w:sz w:val="20"/>
                <w:szCs w:val="20"/>
                <w:lang w:eastAsia="zh-TW"/>
              </w:rPr>
              <w:t>0.005295</w:t>
            </w:r>
          </w:p>
        </w:tc>
      </w:tr>
      <w:tr w:rsidR="00C31515" w:rsidRPr="00FF286B" w14:paraId="0046C96B" w14:textId="77777777" w:rsidTr="00F975A0">
        <w:tc>
          <w:tcPr>
            <w:tcW w:w="2122" w:type="dxa"/>
          </w:tcPr>
          <w:p w14:paraId="74301AAF" w14:textId="77777777" w:rsidR="00C31515" w:rsidRPr="007A6CC0" w:rsidRDefault="00C31515" w:rsidP="00F975A0">
            <w:pPr>
              <w:pStyle w:val="ACLTextFirstLine"/>
              <w:ind w:firstLine="0"/>
              <w:jc w:val="center"/>
              <w:rPr>
                <w:rFonts w:eastAsia="新細明體"/>
                <w:sz w:val="20"/>
                <w:szCs w:val="20"/>
                <w:lang w:eastAsia="zh-TW"/>
              </w:rPr>
            </w:pPr>
            <w:r w:rsidRPr="007A6CC0">
              <w:rPr>
                <w:rFonts w:eastAsia="新細明體"/>
                <w:sz w:val="20"/>
                <w:szCs w:val="20"/>
                <w:lang w:eastAsia="zh-TW"/>
              </w:rPr>
              <w:t>gmm_means_1</w:t>
            </w:r>
          </w:p>
        </w:tc>
        <w:tc>
          <w:tcPr>
            <w:tcW w:w="1275" w:type="dxa"/>
          </w:tcPr>
          <w:p w14:paraId="747C9F30" w14:textId="77777777" w:rsidR="00C31515" w:rsidRPr="00C6530D" w:rsidRDefault="00C31515" w:rsidP="00F975A0">
            <w:pPr>
              <w:pStyle w:val="ACLTextFirstLine"/>
              <w:ind w:firstLine="0"/>
              <w:jc w:val="center"/>
              <w:rPr>
                <w:rFonts w:eastAsia="新細明體"/>
                <w:sz w:val="20"/>
                <w:szCs w:val="20"/>
                <w:lang w:eastAsia="zh-TW"/>
              </w:rPr>
            </w:pPr>
            <w:r w:rsidRPr="00F32FAC">
              <w:rPr>
                <w:rFonts w:eastAsia="新細明體"/>
                <w:sz w:val="20"/>
                <w:szCs w:val="20"/>
                <w:lang w:eastAsia="zh-TW"/>
              </w:rPr>
              <w:t xml:space="preserve">0.123738       </w:t>
            </w:r>
          </w:p>
        </w:tc>
        <w:tc>
          <w:tcPr>
            <w:tcW w:w="1276" w:type="dxa"/>
          </w:tcPr>
          <w:p w14:paraId="6BF3D8C4" w14:textId="77777777" w:rsidR="00C31515" w:rsidRPr="00FF286B" w:rsidRDefault="00C31515" w:rsidP="00F975A0">
            <w:pPr>
              <w:pStyle w:val="ACLTextFirstLine"/>
              <w:ind w:firstLine="0"/>
              <w:jc w:val="center"/>
              <w:rPr>
                <w:rFonts w:eastAsia="新細明體"/>
                <w:b/>
                <w:bCs/>
                <w:sz w:val="20"/>
                <w:szCs w:val="20"/>
                <w:lang w:eastAsia="zh-TW"/>
              </w:rPr>
            </w:pPr>
            <w:r w:rsidRPr="00F32FAC">
              <w:rPr>
                <w:rFonts w:eastAsia="新細明體"/>
                <w:sz w:val="20"/>
                <w:szCs w:val="20"/>
                <w:lang w:eastAsia="zh-TW"/>
              </w:rPr>
              <w:t>0.121991</w:t>
            </w:r>
          </w:p>
        </w:tc>
        <w:tc>
          <w:tcPr>
            <w:tcW w:w="1276" w:type="dxa"/>
          </w:tcPr>
          <w:p w14:paraId="04CFB970" w14:textId="77777777" w:rsidR="00C31515" w:rsidRPr="00FF286B" w:rsidRDefault="00C31515" w:rsidP="00F975A0">
            <w:pPr>
              <w:pStyle w:val="ACLTextFirstLine"/>
              <w:ind w:firstLine="0"/>
              <w:jc w:val="center"/>
              <w:rPr>
                <w:rFonts w:eastAsia="新細明體"/>
                <w:b/>
                <w:bCs/>
                <w:sz w:val="20"/>
                <w:szCs w:val="20"/>
                <w:lang w:eastAsia="zh-TW"/>
              </w:rPr>
            </w:pPr>
            <w:r w:rsidRPr="00F32FAC">
              <w:rPr>
                <w:rFonts w:eastAsia="新細明體"/>
                <w:sz w:val="20"/>
                <w:szCs w:val="20"/>
                <w:lang w:eastAsia="zh-TW"/>
              </w:rPr>
              <w:t>0.998344</w:t>
            </w:r>
          </w:p>
        </w:tc>
        <w:tc>
          <w:tcPr>
            <w:tcW w:w="1417" w:type="dxa"/>
          </w:tcPr>
          <w:p w14:paraId="3009B642" w14:textId="77777777" w:rsidR="00C31515" w:rsidRPr="00FF286B" w:rsidRDefault="00C31515" w:rsidP="00F975A0">
            <w:pPr>
              <w:pStyle w:val="ACLTextFirstLine"/>
              <w:ind w:firstLine="0"/>
              <w:jc w:val="center"/>
              <w:rPr>
                <w:rFonts w:eastAsia="新細明體"/>
                <w:b/>
                <w:bCs/>
                <w:sz w:val="20"/>
                <w:szCs w:val="20"/>
                <w:lang w:eastAsia="zh-TW"/>
              </w:rPr>
            </w:pPr>
            <w:r w:rsidRPr="00F32FAC">
              <w:rPr>
                <w:rFonts w:eastAsia="新細明體"/>
                <w:sz w:val="20"/>
                <w:szCs w:val="20"/>
                <w:lang w:eastAsia="zh-TW"/>
              </w:rPr>
              <w:t>0.217415</w:t>
            </w:r>
          </w:p>
        </w:tc>
        <w:tc>
          <w:tcPr>
            <w:tcW w:w="1418" w:type="dxa"/>
          </w:tcPr>
          <w:p w14:paraId="7FA1E122" w14:textId="77777777" w:rsidR="00C31515" w:rsidRPr="00FF286B" w:rsidRDefault="00C31515" w:rsidP="00F975A0">
            <w:pPr>
              <w:pStyle w:val="ACLTextFirstLine"/>
              <w:ind w:firstLine="0"/>
              <w:jc w:val="center"/>
              <w:rPr>
                <w:rFonts w:eastAsia="新細明體"/>
                <w:b/>
                <w:bCs/>
                <w:sz w:val="20"/>
                <w:szCs w:val="20"/>
                <w:lang w:eastAsia="zh-TW"/>
              </w:rPr>
            </w:pPr>
            <w:r w:rsidRPr="00F32FAC">
              <w:rPr>
                <w:rFonts w:eastAsia="新細明體"/>
                <w:sz w:val="20"/>
                <w:szCs w:val="20"/>
                <w:lang w:eastAsia="zh-TW"/>
              </w:rPr>
              <w:t>0.004471</w:t>
            </w:r>
          </w:p>
        </w:tc>
      </w:tr>
      <w:tr w:rsidR="00C31515" w:rsidRPr="00FF286B" w14:paraId="34743D63" w14:textId="77777777" w:rsidTr="00F975A0">
        <w:tc>
          <w:tcPr>
            <w:tcW w:w="2122" w:type="dxa"/>
          </w:tcPr>
          <w:p w14:paraId="36A9CF49" w14:textId="77777777" w:rsidR="00C31515" w:rsidRPr="007A6CC0" w:rsidRDefault="00C31515" w:rsidP="00F975A0">
            <w:pPr>
              <w:pStyle w:val="ACLTextFirstLine"/>
              <w:ind w:firstLine="0"/>
              <w:jc w:val="center"/>
              <w:rPr>
                <w:rFonts w:eastAsia="新細明體"/>
                <w:sz w:val="20"/>
                <w:szCs w:val="20"/>
                <w:lang w:eastAsia="zh-TW"/>
              </w:rPr>
            </w:pPr>
            <w:proofErr w:type="spellStart"/>
            <w:r w:rsidRPr="007A6CC0">
              <w:rPr>
                <w:rFonts w:eastAsia="新細明體"/>
                <w:sz w:val="20"/>
                <w:szCs w:val="20"/>
                <w:lang w:eastAsia="zh-TW"/>
              </w:rPr>
              <w:t>max_logit</w:t>
            </w:r>
            <w:proofErr w:type="spellEnd"/>
          </w:p>
        </w:tc>
        <w:tc>
          <w:tcPr>
            <w:tcW w:w="1275" w:type="dxa"/>
          </w:tcPr>
          <w:p w14:paraId="2B81ECF4" w14:textId="77777777" w:rsidR="00C31515" w:rsidRPr="00C6530D" w:rsidRDefault="00C31515" w:rsidP="00F975A0">
            <w:pPr>
              <w:pStyle w:val="ACLTextFirstLine"/>
              <w:ind w:firstLine="0"/>
              <w:jc w:val="center"/>
              <w:rPr>
                <w:rFonts w:eastAsia="新細明體"/>
                <w:sz w:val="20"/>
                <w:szCs w:val="20"/>
                <w:lang w:eastAsia="zh-TW"/>
              </w:rPr>
            </w:pPr>
            <w:r w:rsidRPr="00F32FAC">
              <w:rPr>
                <w:rFonts w:eastAsia="新細明體"/>
                <w:sz w:val="20"/>
                <w:szCs w:val="20"/>
                <w:lang w:eastAsia="zh-TW"/>
              </w:rPr>
              <w:t xml:space="preserve">0.147961       </w:t>
            </w:r>
          </w:p>
        </w:tc>
        <w:tc>
          <w:tcPr>
            <w:tcW w:w="1276" w:type="dxa"/>
          </w:tcPr>
          <w:p w14:paraId="326C0ECE" w14:textId="77777777" w:rsidR="00C31515" w:rsidRPr="00FF286B" w:rsidRDefault="00C31515" w:rsidP="00F975A0">
            <w:pPr>
              <w:pStyle w:val="ACLTextFirstLine"/>
              <w:ind w:firstLine="0"/>
              <w:jc w:val="center"/>
              <w:rPr>
                <w:rFonts w:eastAsia="新細明體"/>
                <w:b/>
                <w:bCs/>
                <w:sz w:val="20"/>
                <w:szCs w:val="20"/>
                <w:lang w:eastAsia="zh-TW"/>
              </w:rPr>
            </w:pPr>
            <w:r w:rsidRPr="00F32FAC">
              <w:rPr>
                <w:rFonts w:eastAsia="新細明體"/>
                <w:sz w:val="20"/>
                <w:szCs w:val="20"/>
                <w:lang w:eastAsia="zh-TW"/>
              </w:rPr>
              <w:t>0.122048</w:t>
            </w:r>
          </w:p>
        </w:tc>
        <w:tc>
          <w:tcPr>
            <w:tcW w:w="1276" w:type="dxa"/>
          </w:tcPr>
          <w:p w14:paraId="7680B738" w14:textId="77777777" w:rsidR="00C31515" w:rsidRPr="00FF286B" w:rsidRDefault="00C31515" w:rsidP="00F975A0">
            <w:pPr>
              <w:pStyle w:val="ACLTextFirstLine"/>
              <w:ind w:firstLine="0"/>
              <w:jc w:val="center"/>
              <w:rPr>
                <w:rFonts w:eastAsia="新細明體"/>
                <w:b/>
                <w:bCs/>
                <w:sz w:val="20"/>
                <w:szCs w:val="20"/>
                <w:lang w:eastAsia="zh-TW"/>
              </w:rPr>
            </w:pPr>
            <w:r w:rsidRPr="00F32FAC">
              <w:rPr>
                <w:rFonts w:eastAsia="新細明體"/>
                <w:sz w:val="20"/>
                <w:szCs w:val="20"/>
                <w:lang w:eastAsia="zh-TW"/>
              </w:rPr>
              <w:t>0.966887</w:t>
            </w:r>
          </w:p>
        </w:tc>
        <w:tc>
          <w:tcPr>
            <w:tcW w:w="1417" w:type="dxa"/>
          </w:tcPr>
          <w:p w14:paraId="4301DD00" w14:textId="77777777" w:rsidR="00C31515" w:rsidRPr="00FF286B" w:rsidRDefault="00C31515" w:rsidP="00F975A0">
            <w:pPr>
              <w:pStyle w:val="ACLTextFirstLine"/>
              <w:ind w:firstLine="0"/>
              <w:jc w:val="center"/>
              <w:rPr>
                <w:rFonts w:eastAsia="新細明體"/>
                <w:b/>
                <w:bCs/>
                <w:sz w:val="20"/>
                <w:szCs w:val="20"/>
                <w:lang w:eastAsia="zh-TW"/>
              </w:rPr>
            </w:pPr>
            <w:r w:rsidRPr="00F32FAC">
              <w:rPr>
                <w:rFonts w:eastAsia="新細明體"/>
                <w:sz w:val="20"/>
                <w:szCs w:val="20"/>
                <w:lang w:eastAsia="zh-TW"/>
              </w:rPr>
              <w:t>0.216738</w:t>
            </w:r>
          </w:p>
        </w:tc>
        <w:tc>
          <w:tcPr>
            <w:tcW w:w="1418" w:type="dxa"/>
          </w:tcPr>
          <w:p w14:paraId="39881401" w14:textId="77777777" w:rsidR="00C31515" w:rsidRPr="00FF286B" w:rsidRDefault="00C31515" w:rsidP="00F975A0">
            <w:pPr>
              <w:pStyle w:val="ACLTextFirstLine"/>
              <w:ind w:firstLine="0"/>
              <w:jc w:val="center"/>
              <w:rPr>
                <w:rFonts w:eastAsia="新細明體"/>
                <w:b/>
                <w:bCs/>
                <w:sz w:val="20"/>
                <w:szCs w:val="20"/>
                <w:lang w:eastAsia="zh-TW"/>
              </w:rPr>
            </w:pPr>
            <w:r w:rsidRPr="00F32FAC">
              <w:rPr>
                <w:rFonts w:eastAsia="新細明體"/>
                <w:sz w:val="20"/>
                <w:szCs w:val="20"/>
                <w:lang w:eastAsia="zh-TW"/>
              </w:rPr>
              <w:t>0.002055</w:t>
            </w:r>
          </w:p>
        </w:tc>
      </w:tr>
    </w:tbl>
    <w:p w14:paraId="123ECD16" w14:textId="04148A9D" w:rsidR="00C31515" w:rsidRDefault="00C31515" w:rsidP="00C31515">
      <w:pPr>
        <w:pStyle w:val="ACLTextFirstLine"/>
        <w:jc w:val="center"/>
        <w:rPr>
          <w:rFonts w:eastAsia="標楷體"/>
          <w:lang w:eastAsia="zh-TW"/>
        </w:rPr>
      </w:pPr>
      <w:r>
        <w:rPr>
          <w:rFonts w:eastAsia="標楷體" w:hint="eastAsia"/>
          <w:lang w:eastAsia="zh-TW"/>
        </w:rPr>
        <w:t>表</w:t>
      </w:r>
      <w:r>
        <w:rPr>
          <w:rFonts w:eastAsia="標楷體" w:hint="eastAsia"/>
          <w:lang w:eastAsia="zh-TW"/>
        </w:rPr>
        <w:t>1</w:t>
      </w:r>
      <w:r>
        <w:rPr>
          <w:rFonts w:eastAsia="標楷體" w:hint="eastAsia"/>
          <w:lang w:eastAsia="zh-TW"/>
        </w:rPr>
        <w:t>：</w:t>
      </w:r>
      <w:r w:rsidRPr="006130C0">
        <w:rPr>
          <w:rFonts w:ascii="標楷體" w:eastAsia="標楷體" w:hAnsi="標楷體"/>
          <w:sz w:val="20"/>
          <w:szCs w:val="20"/>
          <w:lang w:eastAsia="zh-TW"/>
        </w:rPr>
        <w:t>在訓練集 (2500筆) 上的分類效能</w:t>
      </w:r>
    </w:p>
    <w:p w14:paraId="2C76AE2A" w14:textId="77777777" w:rsidR="00C31515" w:rsidRDefault="00C31515" w:rsidP="00C31515">
      <w:pPr>
        <w:pStyle w:val="ACLTextFirstLine"/>
        <w:rPr>
          <w:rFonts w:eastAsia="標楷體"/>
          <w:lang w:eastAsia="zh-TW"/>
        </w:rPr>
        <w:sectPr w:rsidR="00C31515" w:rsidSect="00C31515">
          <w:type w:val="continuous"/>
          <w:pgSz w:w="11909" w:h="16834" w:code="9"/>
          <w:pgMar w:top="1411" w:right="1411" w:bottom="1440" w:left="1411" w:header="475" w:footer="360" w:gutter="0"/>
          <w:cols w:space="389"/>
          <w:docGrid w:linePitch="360"/>
        </w:sectPr>
      </w:pPr>
    </w:p>
    <w:p w14:paraId="221380A9" w14:textId="77777777" w:rsidR="00C31515" w:rsidRPr="00C31515" w:rsidRDefault="00C31515" w:rsidP="00C31515">
      <w:pPr>
        <w:pStyle w:val="ACLTextFirstLine"/>
        <w:rPr>
          <w:rFonts w:eastAsia="標楷體"/>
          <w:lang w:eastAsia="zh-TW"/>
        </w:rPr>
      </w:pPr>
    </w:p>
    <w:p w14:paraId="627B1B85" w14:textId="77777777" w:rsidR="007D44C8" w:rsidRPr="007D44C8" w:rsidRDefault="007D44C8" w:rsidP="007D44C8">
      <w:pPr>
        <w:pStyle w:val="ACLText"/>
        <w:rPr>
          <w:rFonts w:ascii="標楷體" w:eastAsia="標楷體" w:hAnsi="標楷體"/>
          <w:b/>
          <w:bCs/>
          <w:lang w:eastAsia="zh-TW"/>
        </w:rPr>
      </w:pPr>
      <w:r w:rsidRPr="007D44C8">
        <w:rPr>
          <w:rFonts w:ascii="標楷體" w:eastAsia="標楷體" w:hAnsi="標楷體"/>
          <w:b/>
          <w:bCs/>
          <w:lang w:eastAsia="zh-TW"/>
        </w:rPr>
        <w:t>3.3. 完整實驗結果與分析 (使用完整資料集)</w:t>
      </w:r>
    </w:p>
    <w:p w14:paraId="47F359AB" w14:textId="4C5071A3" w:rsidR="00C31515" w:rsidRDefault="009D55CC" w:rsidP="007D44C8">
      <w:pPr>
        <w:pStyle w:val="ACLText"/>
        <w:rPr>
          <w:rFonts w:ascii="標楷體" w:eastAsia="標楷體" w:hAnsi="標楷體"/>
          <w:lang w:eastAsia="zh-TW"/>
        </w:rPr>
      </w:pPr>
      <w:r w:rsidRPr="009D55CC">
        <w:rPr>
          <w:rFonts w:ascii="標楷體" w:eastAsia="標楷體" w:hAnsi="標楷體"/>
          <w:lang w:eastAsia="zh-TW"/>
        </w:rPr>
        <w:t>當我們將實驗擴展至全部5000筆數據時，結果發生了顯著且重要的變化。如表2所示，衡量「區分度」的</w:t>
      </w:r>
      <w:proofErr w:type="spellStart"/>
      <w:r w:rsidR="00DD4B22">
        <w:rPr>
          <w:rFonts w:ascii="標楷體" w:eastAsia="標楷體" w:hAnsi="標楷體"/>
          <w:lang w:eastAsia="zh-TW"/>
        </w:rPr>
        <w:t>mean_logit</w:t>
      </w:r>
      <w:proofErr w:type="spellEnd"/>
      <w:r w:rsidR="00DD4B22">
        <w:rPr>
          <w:rFonts w:ascii="標楷體" w:eastAsia="標楷體" w:hAnsi="標楷體"/>
          <w:lang w:eastAsia="zh-TW"/>
        </w:rPr>
        <w:t xml:space="preserve"> _margin</w:t>
      </w:r>
      <w:r w:rsidRPr="009D55CC">
        <w:rPr>
          <w:rFonts w:ascii="標楷體" w:eastAsia="標楷體" w:hAnsi="標楷體" w:hint="eastAsia"/>
          <w:lang w:eastAsia="zh-TW"/>
        </w:rPr>
        <w:t>以</w:t>
      </w:r>
      <w:r w:rsidR="00DD4B22">
        <w:rPr>
          <w:rFonts w:ascii="標楷體" w:eastAsia="標楷體" w:hAnsi="標楷體" w:hint="eastAsia"/>
          <w:lang w:eastAsia="zh-TW"/>
        </w:rPr>
        <w:t>M</w:t>
      </w:r>
      <w:r w:rsidR="00DD4B22">
        <w:rPr>
          <w:rFonts w:ascii="標楷體" w:eastAsia="標楷體" w:hAnsi="標楷體"/>
          <w:lang w:eastAsia="zh-TW"/>
        </w:rPr>
        <w:t xml:space="preserve">CC </w:t>
      </w:r>
      <w:r w:rsidRPr="009D55CC">
        <w:rPr>
          <w:rFonts w:ascii="標楷體" w:eastAsia="標楷體" w:hAnsi="標楷體"/>
          <w:b/>
          <w:bCs/>
          <w:lang w:eastAsia="zh-TW"/>
        </w:rPr>
        <w:t>0.3702</w:t>
      </w:r>
      <w:r w:rsidRPr="009D55CC">
        <w:rPr>
          <w:rFonts w:ascii="標楷體" w:eastAsia="標楷體" w:hAnsi="標楷體"/>
          <w:lang w:eastAsia="zh-TW"/>
        </w:rPr>
        <w:t xml:space="preserve"> 的成績成為表現最佳的指標，而我們提出的「峰值信心」指標 </w:t>
      </w:r>
      <m:oMath>
        <m:r>
          <w:rPr>
            <w:rFonts w:ascii="Cambria Math" w:eastAsia="標楷體" w:hAnsi="Cambria Math"/>
            <w:lang w:eastAsia="zh-TW"/>
          </w:rPr>
          <m:t>evt_k3</m:t>
        </m:r>
      </m:oMath>
      <w:r w:rsidRPr="009D55CC">
        <w:rPr>
          <w:rFonts w:ascii="標楷體" w:eastAsia="標楷體" w:hAnsi="標楷體"/>
          <w:lang w:eastAsia="zh-TW"/>
        </w:rPr>
        <w:t xml:space="preserve"> 和「模型確定性」指標 </w:t>
      </w:r>
      <m:oMath>
        <m:r>
          <w:rPr>
            <w:rFonts w:ascii="Cambria Math" w:eastAsia="標楷體" w:hAnsi="Cambria Math"/>
            <w:lang w:eastAsia="zh-TW"/>
          </w:rPr>
          <m:t>kl_to_onehot</m:t>
        </m:r>
      </m:oMath>
      <w:r w:rsidRPr="009D55CC">
        <w:rPr>
          <w:rFonts w:ascii="標楷體" w:eastAsia="標楷體" w:hAnsi="標楷體"/>
          <w:lang w:eastAsia="zh-TW"/>
        </w:rPr>
        <w:t xml:space="preserve"> 緊隨其後。</w:t>
      </w:r>
      <w:r w:rsidRPr="00DD4B22">
        <w:rPr>
          <w:rFonts w:ascii="標楷體" w:eastAsia="標楷體" w:hAnsi="標楷體"/>
          <w:lang w:eastAsia="zh-TW"/>
        </w:rPr>
        <w:t>圖1</w:t>
      </w:r>
      <w:r w:rsidRPr="009D55CC">
        <w:rPr>
          <w:rFonts w:ascii="標楷體" w:eastAsia="標楷體" w:hAnsi="標楷體"/>
          <w:lang w:eastAsia="zh-TW"/>
        </w:rPr>
        <w:t>中的橘色長條直觀地展示了這一點，</w:t>
      </w:r>
    </w:p>
    <w:p w14:paraId="3D7CD2CE" w14:textId="77777777" w:rsidR="00C31515" w:rsidRDefault="00C31515" w:rsidP="007D44C8">
      <w:pPr>
        <w:pStyle w:val="ACLText"/>
        <w:rPr>
          <w:rFonts w:ascii="標楷體" w:eastAsia="標楷體" w:hAnsi="標楷體"/>
          <w:lang w:eastAsia="zh-TW"/>
        </w:rPr>
      </w:pPr>
    </w:p>
    <w:p w14:paraId="27DBB67A" w14:textId="5DC3D986" w:rsidR="007D44C8" w:rsidRPr="007D44C8" w:rsidRDefault="009D55CC" w:rsidP="007D44C8">
      <w:pPr>
        <w:pStyle w:val="ACLText"/>
        <w:rPr>
          <w:rFonts w:ascii="標楷體" w:eastAsia="標楷體" w:hAnsi="標楷體"/>
          <w:lang w:eastAsia="zh-TW"/>
        </w:rPr>
      </w:pPr>
      <w:r w:rsidRPr="009D55CC">
        <w:rPr>
          <w:rFonts w:ascii="標楷體" w:eastAsia="標楷體" w:hAnsi="標楷體"/>
          <w:lang w:eastAsia="zh-TW"/>
        </w:rPr>
        <w:t>一個由頂尖指標構成的「第一梯隊」已然成形</w:t>
      </w:r>
      <w:r w:rsidR="007D44C8" w:rsidRPr="007D44C8">
        <w:rPr>
          <w:rFonts w:ascii="標楷體" w:eastAsia="標楷體" w:hAnsi="標楷體"/>
          <w:lang w:eastAsia="zh-TW"/>
        </w:rPr>
        <w:t>。</w:t>
      </w:r>
    </w:p>
    <w:p w14:paraId="07101CB4" w14:textId="77777777" w:rsidR="007C7256" w:rsidRDefault="007D44C8" w:rsidP="007C7256">
      <w:pPr>
        <w:pStyle w:val="ACLText"/>
        <w:rPr>
          <w:rFonts w:ascii="標楷體" w:eastAsia="標楷體" w:hAnsi="標楷體"/>
          <w:lang w:eastAsia="zh-TW"/>
        </w:rPr>
      </w:pPr>
      <w:r w:rsidRPr="007D44C8">
        <w:rPr>
          <w:rFonts w:ascii="標楷體" w:eastAsia="標楷體" w:hAnsi="標楷體"/>
          <w:lang w:eastAsia="zh-TW"/>
        </w:rPr>
        <w:t xml:space="preserve">如表2所示，基線方法中的 </w:t>
      </w:r>
      <w:r w:rsidRPr="007D44C8">
        <w:rPr>
          <w:rFonts w:ascii="標楷體" w:eastAsia="標楷體" w:hAnsi="標楷體"/>
          <w:b/>
          <w:bCs/>
          <w:lang w:eastAsia="zh-TW"/>
        </w:rPr>
        <w:t>mean_logit_margin</w:t>
      </w:r>
      <w:r w:rsidRPr="007D44C8">
        <w:rPr>
          <w:rFonts w:ascii="標楷體" w:eastAsia="標楷體" w:hAnsi="標楷體"/>
          <w:lang w:eastAsia="zh-TW"/>
        </w:rPr>
        <w:t xml:space="preserve"> 以 </w:t>
      </w:r>
      <w:r w:rsidRPr="007D44C8">
        <w:rPr>
          <w:rFonts w:ascii="標楷體" w:eastAsia="標楷體" w:hAnsi="標楷體"/>
          <w:b/>
          <w:bCs/>
          <w:lang w:eastAsia="zh-TW"/>
        </w:rPr>
        <w:t>MCC 0.3702</w:t>
      </w:r>
      <w:r w:rsidRPr="007D44C8">
        <w:rPr>
          <w:rFonts w:ascii="標楷體" w:eastAsia="標楷體" w:hAnsi="標楷體"/>
          <w:lang w:eastAsia="zh-TW"/>
        </w:rPr>
        <w:t xml:space="preserve"> 的成績位居榜首。這項結果極具說服力地證明，在數據充足的情況下，模型對於目標音素的判斷與其最主要競爭音素之間的「領先差距」，是判斷發音正確與否最為穩健和強大的單一指標。</w:t>
      </w:r>
    </w:p>
    <w:p w14:paraId="7CD6D4AD" w14:textId="5C784382" w:rsidR="00CD5524" w:rsidRPr="007C7256" w:rsidRDefault="00DD4B22" w:rsidP="00DD4B22">
      <w:pPr>
        <w:pStyle w:val="ACLTextFirstLine"/>
        <w:rPr>
          <w:rFonts w:ascii="標楷體" w:eastAsia="標楷體" w:hAnsi="標楷體"/>
          <w:lang w:eastAsia="zh-TW"/>
        </w:rPr>
        <w:sectPr w:rsidR="00CD5524" w:rsidRPr="007C7256" w:rsidSect="00C31515">
          <w:type w:val="continuous"/>
          <w:pgSz w:w="11909" w:h="16834" w:code="9"/>
          <w:pgMar w:top="1411" w:right="1411" w:bottom="1440" w:left="1411" w:header="475" w:footer="360" w:gutter="0"/>
          <w:cols w:num="2" w:space="389"/>
          <w:docGrid w:linePitch="360"/>
        </w:sectPr>
      </w:pPr>
      <w:r>
        <w:rPr>
          <w:rFonts w:eastAsia="標楷體"/>
          <w:lang w:eastAsia="zh-TW"/>
        </w:rPr>
        <w:br w:type="page"/>
      </w:r>
    </w:p>
    <w:tbl>
      <w:tblPr>
        <w:tblStyle w:val="ad"/>
        <w:tblpPr w:leftFromText="180" w:rightFromText="180" w:vertAnchor="text" w:horzAnchor="margin" w:tblpY="125"/>
        <w:tblW w:w="0" w:type="auto"/>
        <w:tblLook w:val="04A0" w:firstRow="1" w:lastRow="0" w:firstColumn="1" w:lastColumn="0" w:noHBand="0" w:noVBand="1"/>
      </w:tblPr>
      <w:tblGrid>
        <w:gridCol w:w="2122"/>
        <w:gridCol w:w="1275"/>
        <w:gridCol w:w="1276"/>
        <w:gridCol w:w="1276"/>
        <w:gridCol w:w="1417"/>
        <w:gridCol w:w="1418"/>
      </w:tblGrid>
      <w:tr w:rsidR="007C7256" w:rsidRPr="00AC3A1C" w14:paraId="41739B30" w14:textId="77777777" w:rsidTr="00F975A0">
        <w:tc>
          <w:tcPr>
            <w:tcW w:w="8784" w:type="dxa"/>
            <w:gridSpan w:val="6"/>
          </w:tcPr>
          <w:p w14:paraId="642D85D1" w14:textId="6F52FEA1" w:rsidR="007C7256" w:rsidRPr="00F32FAC" w:rsidRDefault="007C7256" w:rsidP="00F975A0">
            <w:pPr>
              <w:pStyle w:val="ACLTextFirstLine"/>
              <w:ind w:firstLine="0"/>
              <w:jc w:val="center"/>
              <w:rPr>
                <w:rFonts w:ascii="標楷體" w:eastAsia="標楷體" w:hAnsi="標楷體"/>
                <w:sz w:val="20"/>
                <w:szCs w:val="20"/>
                <w:lang w:eastAsia="zh-TW"/>
              </w:rPr>
            </w:pPr>
            <w:r w:rsidRPr="00F32FAC">
              <w:rPr>
                <w:rFonts w:ascii="標楷體" w:eastAsia="標楷體" w:hAnsi="標楷體" w:hint="eastAsia"/>
                <w:sz w:val="20"/>
                <w:szCs w:val="20"/>
                <w:lang w:eastAsia="zh-TW"/>
              </w:rPr>
              <w:lastRenderedPageBreak/>
              <w:t>發音錯誤檢測之分類效能比較 (以 MCC 分數排序)</w:t>
            </w:r>
          </w:p>
        </w:tc>
      </w:tr>
      <w:tr w:rsidR="007C7256" w:rsidRPr="00AC3A1C" w14:paraId="2CC62444" w14:textId="77777777" w:rsidTr="00F975A0">
        <w:tc>
          <w:tcPr>
            <w:tcW w:w="2122" w:type="dxa"/>
          </w:tcPr>
          <w:p w14:paraId="0B15485F" w14:textId="77777777" w:rsidR="007C7256" w:rsidRPr="00F71DC4" w:rsidRDefault="007C7256" w:rsidP="00F975A0">
            <w:pPr>
              <w:pStyle w:val="ACLTextFirstLine"/>
              <w:ind w:firstLine="0"/>
              <w:jc w:val="center"/>
              <w:rPr>
                <w:rFonts w:eastAsia="新細明體"/>
                <w:sz w:val="20"/>
                <w:szCs w:val="20"/>
                <w:lang w:eastAsia="zh-TW"/>
              </w:rPr>
            </w:pPr>
            <w:r>
              <w:rPr>
                <w:rFonts w:eastAsia="新細明體" w:hint="eastAsia"/>
                <w:sz w:val="20"/>
                <w:szCs w:val="20"/>
                <w:lang w:eastAsia="zh-TW"/>
              </w:rPr>
              <w:t>Method</w:t>
            </w:r>
          </w:p>
        </w:tc>
        <w:tc>
          <w:tcPr>
            <w:tcW w:w="1275" w:type="dxa"/>
          </w:tcPr>
          <w:p w14:paraId="4A862660" w14:textId="77777777" w:rsidR="007C7256" w:rsidRPr="00F71DC4" w:rsidRDefault="007C7256" w:rsidP="00F975A0">
            <w:pPr>
              <w:pStyle w:val="ACLTextFirstLine"/>
              <w:ind w:firstLine="0"/>
              <w:jc w:val="center"/>
              <w:rPr>
                <w:rFonts w:eastAsia="新細明體"/>
                <w:sz w:val="20"/>
                <w:szCs w:val="20"/>
                <w:lang w:eastAsia="zh-TW"/>
              </w:rPr>
            </w:pPr>
            <w:r>
              <w:rPr>
                <w:rFonts w:eastAsia="新細明體" w:hint="eastAsia"/>
                <w:sz w:val="20"/>
                <w:szCs w:val="20"/>
                <w:lang w:eastAsia="zh-TW"/>
              </w:rPr>
              <w:t>Accuracy</w:t>
            </w:r>
          </w:p>
        </w:tc>
        <w:tc>
          <w:tcPr>
            <w:tcW w:w="1276" w:type="dxa"/>
          </w:tcPr>
          <w:p w14:paraId="177AFDC1" w14:textId="77777777" w:rsidR="007C7256" w:rsidRPr="00F71DC4" w:rsidRDefault="007C7256" w:rsidP="00F975A0">
            <w:pPr>
              <w:pStyle w:val="ACLTextFirstLine"/>
              <w:ind w:firstLine="0"/>
              <w:jc w:val="center"/>
              <w:rPr>
                <w:rFonts w:eastAsia="新細明體"/>
                <w:sz w:val="20"/>
                <w:szCs w:val="20"/>
                <w:lang w:eastAsia="zh-TW"/>
              </w:rPr>
            </w:pPr>
            <w:r>
              <w:rPr>
                <w:rFonts w:eastAsia="新細明體" w:hint="eastAsia"/>
                <w:sz w:val="20"/>
                <w:szCs w:val="20"/>
                <w:lang w:eastAsia="zh-TW"/>
              </w:rPr>
              <w:t>Precision</w:t>
            </w:r>
          </w:p>
        </w:tc>
        <w:tc>
          <w:tcPr>
            <w:tcW w:w="1276" w:type="dxa"/>
          </w:tcPr>
          <w:p w14:paraId="64659686" w14:textId="77777777" w:rsidR="007C7256" w:rsidRPr="00F71DC4" w:rsidRDefault="007C7256" w:rsidP="00F975A0">
            <w:pPr>
              <w:pStyle w:val="ACLTextFirstLine"/>
              <w:ind w:firstLine="0"/>
              <w:jc w:val="center"/>
              <w:rPr>
                <w:rFonts w:eastAsia="新細明體"/>
                <w:sz w:val="20"/>
                <w:szCs w:val="20"/>
                <w:lang w:eastAsia="zh-TW"/>
              </w:rPr>
            </w:pPr>
            <w:r>
              <w:rPr>
                <w:rFonts w:eastAsia="新細明體" w:hint="eastAsia"/>
                <w:sz w:val="20"/>
                <w:szCs w:val="20"/>
                <w:lang w:eastAsia="zh-TW"/>
              </w:rPr>
              <w:t>Recall</w:t>
            </w:r>
          </w:p>
        </w:tc>
        <w:tc>
          <w:tcPr>
            <w:tcW w:w="1417" w:type="dxa"/>
          </w:tcPr>
          <w:p w14:paraId="284C8279" w14:textId="77777777" w:rsidR="007C7256" w:rsidRPr="00F71DC4" w:rsidRDefault="007C7256" w:rsidP="00F975A0">
            <w:pPr>
              <w:pStyle w:val="ACLTextFirstLine"/>
              <w:ind w:firstLine="0"/>
              <w:jc w:val="center"/>
              <w:rPr>
                <w:rFonts w:eastAsia="新細明體"/>
                <w:sz w:val="20"/>
                <w:szCs w:val="20"/>
                <w:lang w:eastAsia="zh-TW"/>
              </w:rPr>
            </w:pPr>
            <w:r>
              <w:rPr>
                <w:rFonts w:eastAsia="新細明體" w:hint="eastAsia"/>
                <w:sz w:val="20"/>
                <w:szCs w:val="20"/>
                <w:lang w:eastAsia="zh-TW"/>
              </w:rPr>
              <w:t>F1-Score</w:t>
            </w:r>
          </w:p>
        </w:tc>
        <w:tc>
          <w:tcPr>
            <w:tcW w:w="1418" w:type="dxa"/>
          </w:tcPr>
          <w:p w14:paraId="1A363619" w14:textId="77777777" w:rsidR="007C7256" w:rsidRPr="00F71DC4" w:rsidRDefault="007C7256" w:rsidP="00F975A0">
            <w:pPr>
              <w:pStyle w:val="ACLTextFirstLine"/>
              <w:ind w:firstLine="0"/>
              <w:jc w:val="center"/>
              <w:rPr>
                <w:rFonts w:eastAsia="新細明體"/>
                <w:sz w:val="20"/>
                <w:szCs w:val="20"/>
                <w:lang w:eastAsia="zh-TW"/>
              </w:rPr>
            </w:pPr>
            <w:r>
              <w:rPr>
                <w:rFonts w:eastAsia="新細明體" w:hint="eastAsia"/>
                <w:sz w:val="20"/>
                <w:szCs w:val="20"/>
                <w:lang w:eastAsia="zh-TW"/>
              </w:rPr>
              <w:t>MCC</w:t>
            </w:r>
          </w:p>
        </w:tc>
      </w:tr>
      <w:tr w:rsidR="007C7256" w:rsidRPr="00AC3A1C" w14:paraId="70E930C8" w14:textId="77777777" w:rsidTr="00F975A0">
        <w:tc>
          <w:tcPr>
            <w:tcW w:w="2122" w:type="dxa"/>
          </w:tcPr>
          <w:p w14:paraId="486A0D9C" w14:textId="77777777" w:rsidR="007C7256" w:rsidRPr="00F71DC4" w:rsidRDefault="007C7256" w:rsidP="00F975A0">
            <w:pPr>
              <w:pStyle w:val="ACLTextFirstLine"/>
              <w:ind w:firstLine="0"/>
              <w:jc w:val="center"/>
              <w:rPr>
                <w:rFonts w:eastAsia="新細明體"/>
                <w:sz w:val="20"/>
                <w:szCs w:val="20"/>
                <w:lang w:eastAsia="zh-TW"/>
              </w:rPr>
            </w:pPr>
            <w:r w:rsidRPr="00C43137">
              <w:rPr>
                <w:rFonts w:eastAsia="新細明體"/>
                <w:sz w:val="20"/>
                <w:szCs w:val="20"/>
                <w:lang w:eastAsia="zh-TW"/>
              </w:rPr>
              <w:t>mean_logit_margin</w:t>
            </w:r>
          </w:p>
        </w:tc>
        <w:tc>
          <w:tcPr>
            <w:tcW w:w="1275" w:type="dxa"/>
          </w:tcPr>
          <w:p w14:paraId="2798E966" w14:textId="77777777" w:rsidR="007C7256" w:rsidRPr="00F71DC4" w:rsidRDefault="007C7256" w:rsidP="00F975A0">
            <w:pPr>
              <w:pStyle w:val="ACLTextFirstLine"/>
              <w:ind w:firstLine="0"/>
              <w:jc w:val="center"/>
              <w:rPr>
                <w:rFonts w:eastAsia="新細明體"/>
                <w:sz w:val="20"/>
                <w:szCs w:val="20"/>
                <w:lang w:eastAsia="zh-TW"/>
              </w:rPr>
            </w:pPr>
            <w:r w:rsidRPr="00413821">
              <w:rPr>
                <w:rFonts w:eastAsia="新細明體"/>
                <w:sz w:val="20"/>
                <w:szCs w:val="20"/>
                <w:lang w:eastAsia="zh-TW"/>
              </w:rPr>
              <w:t xml:space="preserve">0.793070     </w:t>
            </w:r>
          </w:p>
        </w:tc>
        <w:tc>
          <w:tcPr>
            <w:tcW w:w="1276" w:type="dxa"/>
          </w:tcPr>
          <w:p w14:paraId="303EABB9" w14:textId="77777777" w:rsidR="007C7256" w:rsidRPr="00F71DC4" w:rsidRDefault="007C7256" w:rsidP="00F975A0">
            <w:pPr>
              <w:pStyle w:val="ACLTextFirstLine"/>
              <w:ind w:firstLine="0"/>
              <w:jc w:val="center"/>
              <w:rPr>
                <w:rFonts w:eastAsia="新細明體"/>
                <w:sz w:val="20"/>
                <w:szCs w:val="20"/>
                <w:lang w:eastAsia="zh-TW"/>
              </w:rPr>
            </w:pPr>
            <w:r w:rsidRPr="00413821">
              <w:rPr>
                <w:rFonts w:eastAsia="新細明體"/>
                <w:sz w:val="20"/>
                <w:szCs w:val="20"/>
                <w:lang w:eastAsia="zh-TW"/>
              </w:rPr>
              <w:t>0.176943</w:t>
            </w:r>
          </w:p>
        </w:tc>
        <w:tc>
          <w:tcPr>
            <w:tcW w:w="1276" w:type="dxa"/>
          </w:tcPr>
          <w:p w14:paraId="6F4E9E7D" w14:textId="77777777" w:rsidR="007C7256" w:rsidRPr="00F71DC4" w:rsidRDefault="007C7256" w:rsidP="00F975A0">
            <w:pPr>
              <w:pStyle w:val="ACLTextFirstLine"/>
              <w:ind w:firstLine="0"/>
              <w:jc w:val="center"/>
              <w:rPr>
                <w:rFonts w:eastAsia="新細明體"/>
                <w:sz w:val="20"/>
                <w:szCs w:val="20"/>
                <w:lang w:eastAsia="zh-TW"/>
              </w:rPr>
            </w:pPr>
            <w:r w:rsidRPr="00413821">
              <w:rPr>
                <w:rFonts w:eastAsia="新細明體"/>
                <w:sz w:val="20"/>
                <w:szCs w:val="20"/>
                <w:lang w:eastAsia="zh-TW"/>
              </w:rPr>
              <w:t>0.300600</w:t>
            </w:r>
          </w:p>
        </w:tc>
        <w:tc>
          <w:tcPr>
            <w:tcW w:w="1417" w:type="dxa"/>
          </w:tcPr>
          <w:p w14:paraId="362309C9" w14:textId="77777777" w:rsidR="007C7256" w:rsidRPr="00F71DC4" w:rsidRDefault="007C7256" w:rsidP="00F975A0">
            <w:pPr>
              <w:pStyle w:val="ACLTextFirstLine"/>
              <w:ind w:firstLine="0"/>
              <w:jc w:val="center"/>
              <w:rPr>
                <w:rFonts w:eastAsia="新細明體"/>
                <w:sz w:val="20"/>
                <w:szCs w:val="20"/>
                <w:lang w:eastAsia="zh-TW"/>
              </w:rPr>
            </w:pPr>
            <w:r w:rsidRPr="00413821">
              <w:rPr>
                <w:rFonts w:eastAsia="新細明體"/>
                <w:sz w:val="20"/>
                <w:szCs w:val="20"/>
                <w:lang w:eastAsia="zh-TW"/>
              </w:rPr>
              <w:t xml:space="preserve">0.222761  </w:t>
            </w:r>
          </w:p>
        </w:tc>
        <w:tc>
          <w:tcPr>
            <w:tcW w:w="1418" w:type="dxa"/>
          </w:tcPr>
          <w:p w14:paraId="793B3EE8" w14:textId="77777777" w:rsidR="007C7256" w:rsidRPr="00F71DC4" w:rsidRDefault="007C7256" w:rsidP="00F975A0">
            <w:pPr>
              <w:pStyle w:val="ACLTextFirstLine"/>
              <w:ind w:firstLine="0"/>
              <w:jc w:val="center"/>
              <w:rPr>
                <w:rFonts w:eastAsia="新細明體"/>
                <w:sz w:val="20"/>
                <w:szCs w:val="20"/>
                <w:lang w:eastAsia="zh-TW"/>
              </w:rPr>
            </w:pPr>
            <w:r w:rsidRPr="00413821">
              <w:rPr>
                <w:rFonts w:eastAsia="新細明體"/>
                <w:sz w:val="20"/>
                <w:szCs w:val="20"/>
                <w:lang w:eastAsia="zh-TW"/>
              </w:rPr>
              <w:t>0.117813</w:t>
            </w:r>
          </w:p>
        </w:tc>
      </w:tr>
      <w:tr w:rsidR="007C7256" w:rsidRPr="00AC3A1C" w14:paraId="720DC043" w14:textId="77777777" w:rsidTr="00F975A0">
        <w:tc>
          <w:tcPr>
            <w:tcW w:w="2122" w:type="dxa"/>
          </w:tcPr>
          <w:p w14:paraId="3D015514" w14:textId="77777777" w:rsidR="007C7256" w:rsidRPr="00F71DC4" w:rsidRDefault="007C7256" w:rsidP="00F975A0">
            <w:pPr>
              <w:pStyle w:val="ACLTextFirstLine"/>
              <w:ind w:firstLine="0"/>
              <w:jc w:val="center"/>
              <w:rPr>
                <w:rFonts w:eastAsia="新細明體"/>
                <w:sz w:val="20"/>
                <w:szCs w:val="20"/>
                <w:lang w:eastAsia="zh-TW"/>
              </w:rPr>
            </w:pPr>
            <w:r w:rsidRPr="001F1A8D">
              <w:rPr>
                <w:rFonts w:eastAsia="新細明體"/>
                <w:sz w:val="20"/>
                <w:szCs w:val="20"/>
                <w:lang w:eastAsia="zh-TW"/>
              </w:rPr>
              <w:t>kurtosis</w:t>
            </w:r>
          </w:p>
        </w:tc>
        <w:tc>
          <w:tcPr>
            <w:tcW w:w="1275" w:type="dxa"/>
          </w:tcPr>
          <w:p w14:paraId="7729B3CF" w14:textId="77777777" w:rsidR="007C7256" w:rsidRPr="00F71DC4" w:rsidRDefault="007C7256" w:rsidP="00F975A0">
            <w:pPr>
              <w:pStyle w:val="ACLTextFirstLine"/>
              <w:ind w:firstLine="0"/>
              <w:jc w:val="center"/>
              <w:rPr>
                <w:rFonts w:eastAsia="新細明體"/>
                <w:sz w:val="20"/>
                <w:szCs w:val="20"/>
                <w:lang w:eastAsia="zh-TW"/>
              </w:rPr>
            </w:pPr>
            <w:r w:rsidRPr="00413821">
              <w:rPr>
                <w:rFonts w:eastAsia="新細明體"/>
                <w:sz w:val="20"/>
                <w:szCs w:val="20"/>
                <w:lang w:eastAsia="zh-TW"/>
              </w:rPr>
              <w:t xml:space="preserve">0.854972        </w:t>
            </w:r>
          </w:p>
        </w:tc>
        <w:tc>
          <w:tcPr>
            <w:tcW w:w="1276" w:type="dxa"/>
          </w:tcPr>
          <w:p w14:paraId="15E3FA59" w14:textId="77777777" w:rsidR="007C7256" w:rsidRPr="00F71DC4" w:rsidRDefault="007C7256" w:rsidP="00F975A0">
            <w:pPr>
              <w:pStyle w:val="ACLTextFirstLine"/>
              <w:ind w:firstLine="0"/>
              <w:jc w:val="center"/>
              <w:rPr>
                <w:rFonts w:eastAsia="新細明體"/>
                <w:sz w:val="20"/>
                <w:szCs w:val="20"/>
                <w:lang w:eastAsia="zh-TW"/>
              </w:rPr>
            </w:pPr>
            <w:r w:rsidRPr="00413821">
              <w:rPr>
                <w:rFonts w:eastAsia="新細明體"/>
                <w:sz w:val="20"/>
                <w:szCs w:val="20"/>
                <w:lang w:eastAsia="zh-TW"/>
              </w:rPr>
              <w:t>0.206271</w:t>
            </w:r>
          </w:p>
        </w:tc>
        <w:tc>
          <w:tcPr>
            <w:tcW w:w="1276" w:type="dxa"/>
          </w:tcPr>
          <w:p w14:paraId="6607DC68" w14:textId="77777777" w:rsidR="007C7256" w:rsidRPr="00F71DC4" w:rsidRDefault="007C7256" w:rsidP="00F975A0">
            <w:pPr>
              <w:pStyle w:val="ACLTextFirstLine"/>
              <w:ind w:firstLine="0"/>
              <w:jc w:val="center"/>
              <w:rPr>
                <w:rFonts w:eastAsia="新細明體"/>
                <w:sz w:val="20"/>
                <w:szCs w:val="20"/>
                <w:lang w:eastAsia="zh-TW"/>
              </w:rPr>
            </w:pPr>
            <w:r w:rsidRPr="00413821">
              <w:rPr>
                <w:rFonts w:eastAsia="新細明體"/>
                <w:sz w:val="20"/>
                <w:szCs w:val="20"/>
                <w:lang w:eastAsia="zh-TW"/>
              </w:rPr>
              <w:t>0.165085</w:t>
            </w:r>
          </w:p>
        </w:tc>
        <w:tc>
          <w:tcPr>
            <w:tcW w:w="1417" w:type="dxa"/>
          </w:tcPr>
          <w:p w14:paraId="569F64D6" w14:textId="77777777" w:rsidR="007C7256" w:rsidRPr="00F71DC4" w:rsidRDefault="007C7256" w:rsidP="00F975A0">
            <w:pPr>
              <w:pStyle w:val="ACLTextFirstLine"/>
              <w:ind w:firstLine="0"/>
              <w:jc w:val="center"/>
              <w:rPr>
                <w:rFonts w:eastAsia="新細明體"/>
                <w:sz w:val="20"/>
                <w:szCs w:val="20"/>
                <w:lang w:eastAsia="zh-TW"/>
              </w:rPr>
            </w:pPr>
            <w:r w:rsidRPr="00413821">
              <w:rPr>
                <w:rFonts w:eastAsia="新細明體"/>
                <w:sz w:val="20"/>
                <w:szCs w:val="20"/>
                <w:lang w:eastAsia="zh-TW"/>
              </w:rPr>
              <w:t>0.183394</w:t>
            </w:r>
          </w:p>
        </w:tc>
        <w:tc>
          <w:tcPr>
            <w:tcW w:w="1418" w:type="dxa"/>
          </w:tcPr>
          <w:p w14:paraId="3BEC4487" w14:textId="77777777" w:rsidR="007C7256" w:rsidRPr="00F71DC4" w:rsidRDefault="007C7256" w:rsidP="00F975A0">
            <w:pPr>
              <w:pStyle w:val="ACLTextFirstLine"/>
              <w:ind w:firstLine="0"/>
              <w:jc w:val="center"/>
              <w:rPr>
                <w:rFonts w:eastAsia="新細明體"/>
                <w:sz w:val="20"/>
                <w:szCs w:val="20"/>
                <w:lang w:eastAsia="zh-TW"/>
              </w:rPr>
            </w:pPr>
            <w:r w:rsidRPr="00413821">
              <w:rPr>
                <w:rFonts w:eastAsia="新細明體"/>
                <w:sz w:val="20"/>
                <w:szCs w:val="20"/>
                <w:lang w:eastAsia="zh-TW"/>
              </w:rPr>
              <w:t>0.105670</w:t>
            </w:r>
          </w:p>
        </w:tc>
      </w:tr>
      <w:tr w:rsidR="007C7256" w:rsidRPr="00AC3A1C" w14:paraId="296AFAC5" w14:textId="77777777" w:rsidTr="00F975A0">
        <w:tc>
          <w:tcPr>
            <w:tcW w:w="2122" w:type="dxa"/>
          </w:tcPr>
          <w:p w14:paraId="1495C6A6" w14:textId="77777777" w:rsidR="007C7256" w:rsidRPr="00F71DC4" w:rsidRDefault="007C7256" w:rsidP="00F975A0">
            <w:pPr>
              <w:pStyle w:val="ACLTextFirstLine"/>
              <w:ind w:firstLine="0"/>
              <w:jc w:val="center"/>
              <w:rPr>
                <w:rFonts w:eastAsia="新細明體"/>
                <w:sz w:val="20"/>
                <w:szCs w:val="20"/>
                <w:lang w:eastAsia="zh-TW"/>
              </w:rPr>
            </w:pPr>
            <w:r w:rsidRPr="001F1A8D">
              <w:rPr>
                <w:rFonts w:eastAsia="新細明體"/>
                <w:sz w:val="20"/>
                <w:szCs w:val="20"/>
                <w:lang w:eastAsia="zh-TW"/>
              </w:rPr>
              <w:t>skewness</w:t>
            </w:r>
          </w:p>
        </w:tc>
        <w:tc>
          <w:tcPr>
            <w:tcW w:w="1275" w:type="dxa"/>
          </w:tcPr>
          <w:p w14:paraId="50F28EF8" w14:textId="77777777" w:rsidR="007C7256" w:rsidRPr="00F71DC4" w:rsidRDefault="007C7256" w:rsidP="00F975A0">
            <w:pPr>
              <w:pStyle w:val="ACLTextFirstLine"/>
              <w:ind w:firstLine="0"/>
              <w:jc w:val="center"/>
              <w:rPr>
                <w:rFonts w:eastAsia="新細明體"/>
                <w:sz w:val="20"/>
                <w:szCs w:val="20"/>
                <w:lang w:eastAsia="zh-TW"/>
              </w:rPr>
            </w:pPr>
            <w:r w:rsidRPr="00413821">
              <w:rPr>
                <w:rFonts w:eastAsia="新細明體"/>
                <w:sz w:val="20"/>
                <w:szCs w:val="20"/>
                <w:lang w:eastAsia="zh-TW"/>
              </w:rPr>
              <w:t xml:space="preserve">0.851258    </w:t>
            </w:r>
          </w:p>
        </w:tc>
        <w:tc>
          <w:tcPr>
            <w:tcW w:w="1276" w:type="dxa"/>
          </w:tcPr>
          <w:p w14:paraId="04639092" w14:textId="77777777" w:rsidR="007C7256" w:rsidRPr="00F71DC4" w:rsidRDefault="007C7256" w:rsidP="00F975A0">
            <w:pPr>
              <w:pStyle w:val="ACLTextFirstLine"/>
              <w:ind w:firstLine="0"/>
              <w:jc w:val="center"/>
              <w:rPr>
                <w:rFonts w:eastAsia="新細明體"/>
                <w:sz w:val="20"/>
                <w:szCs w:val="20"/>
                <w:lang w:eastAsia="zh-TW"/>
              </w:rPr>
            </w:pPr>
            <w:r w:rsidRPr="00413821">
              <w:rPr>
                <w:rFonts w:eastAsia="新細明體"/>
                <w:sz w:val="20"/>
                <w:szCs w:val="20"/>
                <w:lang w:eastAsia="zh-TW"/>
              </w:rPr>
              <w:t>0.201360</w:t>
            </w:r>
          </w:p>
        </w:tc>
        <w:tc>
          <w:tcPr>
            <w:tcW w:w="1276" w:type="dxa"/>
          </w:tcPr>
          <w:p w14:paraId="7AADE7A9" w14:textId="77777777" w:rsidR="007C7256" w:rsidRPr="00F71DC4" w:rsidRDefault="007C7256" w:rsidP="00F975A0">
            <w:pPr>
              <w:pStyle w:val="ACLTextFirstLine"/>
              <w:ind w:firstLine="0"/>
              <w:jc w:val="center"/>
              <w:rPr>
                <w:rFonts w:eastAsia="新細明體"/>
                <w:sz w:val="20"/>
                <w:szCs w:val="20"/>
                <w:lang w:eastAsia="zh-TW"/>
              </w:rPr>
            </w:pPr>
            <w:r w:rsidRPr="00413821">
              <w:rPr>
                <w:rFonts w:eastAsia="新細明體"/>
                <w:sz w:val="20"/>
                <w:szCs w:val="20"/>
                <w:lang w:eastAsia="zh-TW"/>
              </w:rPr>
              <w:t>0.171195</w:t>
            </w:r>
          </w:p>
        </w:tc>
        <w:tc>
          <w:tcPr>
            <w:tcW w:w="1417" w:type="dxa"/>
          </w:tcPr>
          <w:p w14:paraId="7C9D2831" w14:textId="77777777" w:rsidR="007C7256" w:rsidRPr="00F71DC4" w:rsidRDefault="007C7256" w:rsidP="00F975A0">
            <w:pPr>
              <w:pStyle w:val="ACLTextFirstLine"/>
              <w:ind w:firstLine="0"/>
              <w:jc w:val="center"/>
              <w:rPr>
                <w:rFonts w:eastAsia="新細明體"/>
                <w:sz w:val="20"/>
                <w:szCs w:val="20"/>
                <w:lang w:eastAsia="zh-TW"/>
              </w:rPr>
            </w:pPr>
            <w:r w:rsidRPr="00413821">
              <w:rPr>
                <w:rFonts w:eastAsia="新細明體"/>
                <w:sz w:val="20"/>
                <w:szCs w:val="20"/>
                <w:lang w:eastAsia="zh-TW"/>
              </w:rPr>
              <w:t xml:space="preserve">0.185056  </w:t>
            </w:r>
          </w:p>
        </w:tc>
        <w:tc>
          <w:tcPr>
            <w:tcW w:w="1418" w:type="dxa"/>
          </w:tcPr>
          <w:p w14:paraId="341BCBEC" w14:textId="77777777" w:rsidR="007C7256" w:rsidRPr="00F71DC4" w:rsidRDefault="007C7256" w:rsidP="00F975A0">
            <w:pPr>
              <w:pStyle w:val="ACLTextFirstLine"/>
              <w:ind w:firstLine="0"/>
              <w:jc w:val="center"/>
              <w:rPr>
                <w:rFonts w:eastAsia="新細明體"/>
                <w:sz w:val="20"/>
                <w:szCs w:val="20"/>
                <w:lang w:eastAsia="zh-TW"/>
              </w:rPr>
            </w:pPr>
            <w:r w:rsidRPr="00413821">
              <w:rPr>
                <w:rFonts w:eastAsia="新細明體"/>
                <w:sz w:val="20"/>
                <w:szCs w:val="20"/>
                <w:lang w:eastAsia="zh-TW"/>
              </w:rPr>
              <w:t>0.104221</w:t>
            </w:r>
          </w:p>
        </w:tc>
      </w:tr>
      <w:tr w:rsidR="007C7256" w:rsidRPr="00AC3A1C" w14:paraId="01BB982A" w14:textId="77777777" w:rsidTr="00F975A0">
        <w:tc>
          <w:tcPr>
            <w:tcW w:w="2122" w:type="dxa"/>
          </w:tcPr>
          <w:p w14:paraId="08232FD6" w14:textId="77777777" w:rsidR="007C7256" w:rsidRPr="00F71DC4" w:rsidRDefault="007C7256" w:rsidP="00F975A0">
            <w:pPr>
              <w:pStyle w:val="ACLTextFirstLine"/>
              <w:ind w:firstLine="0"/>
              <w:jc w:val="center"/>
              <w:rPr>
                <w:rFonts w:eastAsia="新細明體"/>
                <w:sz w:val="20"/>
                <w:szCs w:val="20"/>
                <w:lang w:eastAsia="zh-TW"/>
              </w:rPr>
            </w:pPr>
            <w:r w:rsidRPr="001F1A8D">
              <w:rPr>
                <w:rFonts w:eastAsia="新細明體"/>
                <w:sz w:val="20"/>
                <w:szCs w:val="20"/>
                <w:lang w:eastAsia="zh-TW"/>
              </w:rPr>
              <w:t>gmm_weights_0</w:t>
            </w:r>
          </w:p>
        </w:tc>
        <w:tc>
          <w:tcPr>
            <w:tcW w:w="1275" w:type="dxa"/>
          </w:tcPr>
          <w:p w14:paraId="48EED72B" w14:textId="77777777" w:rsidR="007C7256" w:rsidRPr="00F71DC4" w:rsidRDefault="007C7256" w:rsidP="00F975A0">
            <w:pPr>
              <w:pStyle w:val="ACLTextFirstLine"/>
              <w:ind w:firstLine="0"/>
              <w:jc w:val="center"/>
              <w:rPr>
                <w:rFonts w:eastAsia="新細明體"/>
                <w:sz w:val="20"/>
                <w:szCs w:val="20"/>
                <w:lang w:eastAsia="zh-TW"/>
              </w:rPr>
            </w:pPr>
            <w:r w:rsidRPr="00413821">
              <w:rPr>
                <w:rFonts w:eastAsia="新細明體"/>
                <w:sz w:val="20"/>
                <w:szCs w:val="20"/>
                <w:lang w:eastAsia="zh-TW"/>
              </w:rPr>
              <w:t xml:space="preserve">0.874960      </w:t>
            </w:r>
          </w:p>
        </w:tc>
        <w:tc>
          <w:tcPr>
            <w:tcW w:w="1276" w:type="dxa"/>
          </w:tcPr>
          <w:p w14:paraId="0DC16FD4" w14:textId="77777777" w:rsidR="007C7256" w:rsidRPr="00F71DC4" w:rsidRDefault="007C7256" w:rsidP="00F975A0">
            <w:pPr>
              <w:pStyle w:val="ACLTextFirstLine"/>
              <w:ind w:firstLine="0"/>
              <w:jc w:val="center"/>
              <w:rPr>
                <w:rFonts w:eastAsia="新細明體"/>
                <w:sz w:val="20"/>
                <w:szCs w:val="20"/>
                <w:lang w:eastAsia="zh-TW"/>
              </w:rPr>
            </w:pPr>
            <w:r w:rsidRPr="00413821">
              <w:rPr>
                <w:rFonts w:eastAsia="新細明體"/>
                <w:sz w:val="20"/>
                <w:szCs w:val="20"/>
                <w:lang w:eastAsia="zh-TW"/>
              </w:rPr>
              <w:t>0.232898</w:t>
            </w:r>
          </w:p>
        </w:tc>
        <w:tc>
          <w:tcPr>
            <w:tcW w:w="1276" w:type="dxa"/>
          </w:tcPr>
          <w:p w14:paraId="50EBDE5F" w14:textId="77777777" w:rsidR="007C7256" w:rsidRPr="00F71DC4" w:rsidRDefault="007C7256" w:rsidP="00F975A0">
            <w:pPr>
              <w:pStyle w:val="ACLTextFirstLine"/>
              <w:ind w:firstLine="0"/>
              <w:jc w:val="center"/>
              <w:rPr>
                <w:rFonts w:eastAsia="新細明體"/>
                <w:sz w:val="20"/>
                <w:szCs w:val="20"/>
                <w:lang w:eastAsia="zh-TW"/>
              </w:rPr>
            </w:pPr>
            <w:r w:rsidRPr="00413821">
              <w:rPr>
                <w:rFonts w:eastAsia="新細明體"/>
                <w:sz w:val="20"/>
                <w:szCs w:val="20"/>
                <w:lang w:eastAsia="zh-TW"/>
              </w:rPr>
              <w:t>0.116639</w:t>
            </w:r>
          </w:p>
        </w:tc>
        <w:tc>
          <w:tcPr>
            <w:tcW w:w="1417" w:type="dxa"/>
          </w:tcPr>
          <w:p w14:paraId="03BED1DC" w14:textId="77777777" w:rsidR="007C7256" w:rsidRPr="00F71DC4" w:rsidRDefault="007C7256" w:rsidP="00F975A0">
            <w:pPr>
              <w:pStyle w:val="ACLTextFirstLine"/>
              <w:ind w:firstLine="0"/>
              <w:jc w:val="center"/>
              <w:rPr>
                <w:rFonts w:eastAsia="新細明體"/>
                <w:sz w:val="20"/>
                <w:szCs w:val="20"/>
                <w:lang w:eastAsia="zh-TW"/>
              </w:rPr>
            </w:pPr>
            <w:r w:rsidRPr="00413821">
              <w:rPr>
                <w:rFonts w:eastAsia="新細明體"/>
                <w:sz w:val="20"/>
                <w:szCs w:val="20"/>
                <w:lang w:eastAsia="zh-TW"/>
              </w:rPr>
              <w:t>0.155434</w:t>
            </w:r>
          </w:p>
        </w:tc>
        <w:tc>
          <w:tcPr>
            <w:tcW w:w="1418" w:type="dxa"/>
          </w:tcPr>
          <w:p w14:paraId="4A859540" w14:textId="77777777" w:rsidR="007C7256" w:rsidRPr="00F71DC4" w:rsidRDefault="007C7256" w:rsidP="00F975A0">
            <w:pPr>
              <w:pStyle w:val="ACLTextFirstLine"/>
              <w:ind w:firstLine="0"/>
              <w:jc w:val="center"/>
              <w:rPr>
                <w:rFonts w:eastAsia="新細明體"/>
                <w:sz w:val="20"/>
                <w:szCs w:val="20"/>
                <w:lang w:eastAsia="zh-TW"/>
              </w:rPr>
            </w:pPr>
            <w:r w:rsidRPr="00413821">
              <w:rPr>
                <w:rFonts w:eastAsia="新細明體"/>
                <w:sz w:val="20"/>
                <w:szCs w:val="20"/>
                <w:lang w:eastAsia="zh-TW"/>
              </w:rPr>
              <w:t>0.102638</w:t>
            </w:r>
          </w:p>
        </w:tc>
      </w:tr>
      <w:tr w:rsidR="007C7256" w:rsidRPr="00AC3A1C" w14:paraId="3C06A93D" w14:textId="77777777" w:rsidTr="00F975A0">
        <w:tc>
          <w:tcPr>
            <w:tcW w:w="2122" w:type="dxa"/>
          </w:tcPr>
          <w:p w14:paraId="14C9238E" w14:textId="77777777" w:rsidR="007C7256" w:rsidRPr="00F71DC4" w:rsidRDefault="007C7256" w:rsidP="00F975A0">
            <w:pPr>
              <w:pStyle w:val="ACLTextFirstLine"/>
              <w:ind w:firstLine="0"/>
              <w:jc w:val="center"/>
              <w:rPr>
                <w:rFonts w:eastAsia="新細明體"/>
                <w:sz w:val="20"/>
                <w:szCs w:val="20"/>
                <w:lang w:eastAsia="zh-TW"/>
              </w:rPr>
            </w:pPr>
            <w:proofErr w:type="spellStart"/>
            <w:r w:rsidRPr="001F1A8D">
              <w:rPr>
                <w:rFonts w:eastAsia="新細明體"/>
                <w:sz w:val="20"/>
                <w:szCs w:val="20"/>
                <w:lang w:eastAsia="zh-TW"/>
              </w:rPr>
              <w:t>prosetrior_probability</w:t>
            </w:r>
            <w:proofErr w:type="spellEnd"/>
          </w:p>
        </w:tc>
        <w:tc>
          <w:tcPr>
            <w:tcW w:w="1275" w:type="dxa"/>
          </w:tcPr>
          <w:p w14:paraId="0365BD15" w14:textId="77777777" w:rsidR="007C7256" w:rsidRPr="00F71DC4" w:rsidRDefault="007C7256" w:rsidP="00F975A0">
            <w:pPr>
              <w:pStyle w:val="ACLTextFirstLine"/>
              <w:ind w:firstLine="0"/>
              <w:jc w:val="center"/>
              <w:rPr>
                <w:rFonts w:eastAsia="新細明體"/>
                <w:sz w:val="20"/>
                <w:szCs w:val="20"/>
                <w:lang w:eastAsia="zh-TW"/>
              </w:rPr>
            </w:pPr>
            <w:r w:rsidRPr="00413821">
              <w:rPr>
                <w:rFonts w:eastAsia="新細明體"/>
                <w:sz w:val="20"/>
                <w:szCs w:val="20"/>
                <w:lang w:eastAsia="zh-TW"/>
              </w:rPr>
              <w:t xml:space="preserve">0.516339     </w:t>
            </w:r>
          </w:p>
        </w:tc>
        <w:tc>
          <w:tcPr>
            <w:tcW w:w="1276" w:type="dxa"/>
          </w:tcPr>
          <w:p w14:paraId="71138579" w14:textId="77777777" w:rsidR="007C7256" w:rsidRPr="00F71DC4" w:rsidRDefault="007C7256" w:rsidP="00F975A0">
            <w:pPr>
              <w:pStyle w:val="ACLTextFirstLine"/>
              <w:ind w:firstLine="0"/>
              <w:jc w:val="center"/>
              <w:rPr>
                <w:rFonts w:eastAsia="新細明體"/>
                <w:sz w:val="20"/>
                <w:szCs w:val="20"/>
                <w:lang w:eastAsia="zh-TW"/>
              </w:rPr>
            </w:pPr>
            <w:r w:rsidRPr="00413821">
              <w:rPr>
                <w:rFonts w:eastAsia="新細明體"/>
                <w:sz w:val="20"/>
                <w:szCs w:val="20"/>
                <w:lang w:eastAsia="zh-TW"/>
              </w:rPr>
              <w:t>0.127815</w:t>
            </w:r>
          </w:p>
        </w:tc>
        <w:tc>
          <w:tcPr>
            <w:tcW w:w="1276" w:type="dxa"/>
          </w:tcPr>
          <w:p w14:paraId="14F471AA" w14:textId="77777777" w:rsidR="007C7256" w:rsidRPr="00F71DC4" w:rsidRDefault="007C7256" w:rsidP="00F975A0">
            <w:pPr>
              <w:pStyle w:val="ACLTextFirstLine"/>
              <w:ind w:firstLine="0"/>
              <w:jc w:val="center"/>
              <w:rPr>
                <w:rFonts w:eastAsia="新細明體"/>
                <w:sz w:val="20"/>
                <w:szCs w:val="20"/>
                <w:lang w:eastAsia="zh-TW"/>
              </w:rPr>
            </w:pPr>
            <w:r w:rsidRPr="00413821">
              <w:rPr>
                <w:rFonts w:eastAsia="新細明體"/>
                <w:sz w:val="20"/>
                <w:szCs w:val="20"/>
                <w:lang w:eastAsia="zh-TW"/>
              </w:rPr>
              <w:t>0.670158</w:t>
            </w:r>
          </w:p>
        </w:tc>
        <w:tc>
          <w:tcPr>
            <w:tcW w:w="1417" w:type="dxa"/>
          </w:tcPr>
          <w:p w14:paraId="00B9403B" w14:textId="77777777" w:rsidR="007C7256" w:rsidRPr="00F71DC4" w:rsidRDefault="007C7256" w:rsidP="00F975A0">
            <w:pPr>
              <w:pStyle w:val="ACLTextFirstLine"/>
              <w:ind w:firstLine="0"/>
              <w:jc w:val="center"/>
              <w:rPr>
                <w:rFonts w:eastAsia="新細明體"/>
                <w:sz w:val="20"/>
                <w:szCs w:val="20"/>
                <w:lang w:eastAsia="zh-TW"/>
              </w:rPr>
            </w:pPr>
            <w:r w:rsidRPr="00413821">
              <w:rPr>
                <w:rFonts w:eastAsia="新細明體"/>
                <w:sz w:val="20"/>
                <w:szCs w:val="20"/>
                <w:lang w:eastAsia="zh-TW"/>
              </w:rPr>
              <w:t xml:space="preserve">0.214684  </w:t>
            </w:r>
          </w:p>
        </w:tc>
        <w:tc>
          <w:tcPr>
            <w:tcW w:w="1418" w:type="dxa"/>
          </w:tcPr>
          <w:p w14:paraId="5DE1D71F" w14:textId="77777777" w:rsidR="007C7256" w:rsidRPr="00F71DC4" w:rsidRDefault="007C7256" w:rsidP="00F975A0">
            <w:pPr>
              <w:pStyle w:val="ACLTextFirstLine"/>
              <w:ind w:firstLine="0"/>
              <w:jc w:val="center"/>
              <w:rPr>
                <w:rFonts w:eastAsia="新細明體"/>
                <w:sz w:val="20"/>
                <w:szCs w:val="20"/>
                <w:lang w:eastAsia="zh-TW"/>
              </w:rPr>
            </w:pPr>
            <w:r w:rsidRPr="00413821">
              <w:rPr>
                <w:rFonts w:eastAsia="新細明體"/>
                <w:sz w:val="20"/>
                <w:szCs w:val="20"/>
                <w:lang w:eastAsia="zh-TW"/>
              </w:rPr>
              <w:t>0.101243</w:t>
            </w:r>
          </w:p>
        </w:tc>
      </w:tr>
      <w:tr w:rsidR="007C7256" w:rsidRPr="00FF286B" w14:paraId="50CE21A3" w14:textId="77777777" w:rsidTr="00F975A0">
        <w:tc>
          <w:tcPr>
            <w:tcW w:w="2122" w:type="dxa"/>
          </w:tcPr>
          <w:p w14:paraId="66975A75" w14:textId="77777777" w:rsidR="007C7256" w:rsidRPr="00FF286B" w:rsidRDefault="007C7256" w:rsidP="00F975A0">
            <w:pPr>
              <w:pStyle w:val="ACLTextFirstLine"/>
              <w:ind w:firstLine="0"/>
              <w:jc w:val="center"/>
              <w:rPr>
                <w:rFonts w:eastAsia="新細明體"/>
                <w:sz w:val="20"/>
                <w:szCs w:val="20"/>
                <w:lang w:eastAsia="zh-TW"/>
              </w:rPr>
            </w:pPr>
            <w:r w:rsidRPr="001F1A8D">
              <w:rPr>
                <w:rFonts w:eastAsia="新細明體"/>
                <w:sz w:val="20"/>
                <w:szCs w:val="20"/>
                <w:lang w:eastAsia="zh-TW"/>
              </w:rPr>
              <w:t>entropy_mean</w:t>
            </w:r>
          </w:p>
        </w:tc>
        <w:tc>
          <w:tcPr>
            <w:tcW w:w="1275" w:type="dxa"/>
          </w:tcPr>
          <w:p w14:paraId="5776176A" w14:textId="77777777" w:rsidR="007C7256" w:rsidRPr="00C6530D" w:rsidRDefault="007C7256" w:rsidP="00F975A0">
            <w:pPr>
              <w:pStyle w:val="ACLTextFirstLine"/>
              <w:ind w:firstLine="0"/>
              <w:jc w:val="center"/>
              <w:rPr>
                <w:rFonts w:eastAsia="新細明體"/>
                <w:sz w:val="20"/>
                <w:szCs w:val="20"/>
                <w:lang w:eastAsia="zh-TW"/>
              </w:rPr>
            </w:pPr>
            <w:r w:rsidRPr="007540B6">
              <w:rPr>
                <w:rFonts w:eastAsia="新細明體"/>
                <w:sz w:val="20"/>
                <w:szCs w:val="20"/>
                <w:lang w:eastAsia="zh-TW"/>
              </w:rPr>
              <w:t xml:space="preserve">0.847082     </w:t>
            </w:r>
          </w:p>
        </w:tc>
        <w:tc>
          <w:tcPr>
            <w:tcW w:w="1276" w:type="dxa"/>
          </w:tcPr>
          <w:p w14:paraId="686D2056" w14:textId="77777777" w:rsidR="007C7256" w:rsidRPr="00FF286B" w:rsidRDefault="007C7256" w:rsidP="00F975A0">
            <w:pPr>
              <w:pStyle w:val="ACLTextFirstLine"/>
              <w:ind w:firstLine="0"/>
              <w:jc w:val="center"/>
              <w:rPr>
                <w:rFonts w:eastAsia="新細明體"/>
                <w:b/>
                <w:bCs/>
                <w:sz w:val="20"/>
                <w:szCs w:val="20"/>
                <w:lang w:eastAsia="zh-TW"/>
              </w:rPr>
            </w:pPr>
            <w:r w:rsidRPr="007540B6">
              <w:rPr>
                <w:rFonts w:eastAsia="新細明體"/>
                <w:sz w:val="20"/>
                <w:szCs w:val="20"/>
                <w:lang w:eastAsia="zh-TW"/>
              </w:rPr>
              <w:t>0.194424</w:t>
            </w:r>
          </w:p>
        </w:tc>
        <w:tc>
          <w:tcPr>
            <w:tcW w:w="1276" w:type="dxa"/>
          </w:tcPr>
          <w:p w14:paraId="3D7E737C" w14:textId="77777777" w:rsidR="007C7256" w:rsidRPr="00FF286B" w:rsidRDefault="007C7256" w:rsidP="00F975A0">
            <w:pPr>
              <w:pStyle w:val="ACLTextFirstLine"/>
              <w:ind w:firstLine="0"/>
              <w:jc w:val="center"/>
              <w:rPr>
                <w:rFonts w:eastAsia="新細明體"/>
                <w:b/>
                <w:bCs/>
                <w:sz w:val="20"/>
                <w:szCs w:val="20"/>
                <w:lang w:eastAsia="zh-TW"/>
              </w:rPr>
            </w:pPr>
            <w:r w:rsidRPr="007540B6">
              <w:rPr>
                <w:rFonts w:eastAsia="新細明體"/>
                <w:sz w:val="20"/>
                <w:szCs w:val="20"/>
                <w:lang w:eastAsia="zh-TW"/>
              </w:rPr>
              <w:t>0.175014</w:t>
            </w:r>
          </w:p>
        </w:tc>
        <w:tc>
          <w:tcPr>
            <w:tcW w:w="1417" w:type="dxa"/>
          </w:tcPr>
          <w:p w14:paraId="372139A2" w14:textId="77777777" w:rsidR="007C7256" w:rsidRPr="00FF286B" w:rsidRDefault="007C7256" w:rsidP="00F975A0">
            <w:pPr>
              <w:pStyle w:val="ACLTextFirstLine"/>
              <w:ind w:firstLine="0"/>
              <w:jc w:val="center"/>
              <w:rPr>
                <w:rFonts w:eastAsia="新細明體"/>
                <w:b/>
                <w:bCs/>
                <w:sz w:val="20"/>
                <w:szCs w:val="20"/>
                <w:lang w:eastAsia="zh-TW"/>
              </w:rPr>
            </w:pPr>
            <w:r w:rsidRPr="007540B6">
              <w:rPr>
                <w:rFonts w:eastAsia="新細明體"/>
                <w:sz w:val="20"/>
                <w:szCs w:val="20"/>
                <w:lang w:eastAsia="zh-TW"/>
              </w:rPr>
              <w:t xml:space="preserve">0.184209  </w:t>
            </w:r>
          </w:p>
        </w:tc>
        <w:tc>
          <w:tcPr>
            <w:tcW w:w="1418" w:type="dxa"/>
          </w:tcPr>
          <w:p w14:paraId="10ACD0AC" w14:textId="77777777" w:rsidR="007C7256" w:rsidRPr="00FF286B" w:rsidRDefault="007C7256" w:rsidP="00F975A0">
            <w:pPr>
              <w:pStyle w:val="ACLTextFirstLine"/>
              <w:ind w:firstLine="0"/>
              <w:jc w:val="center"/>
              <w:rPr>
                <w:rFonts w:eastAsia="新細明體"/>
                <w:b/>
                <w:bCs/>
                <w:sz w:val="20"/>
                <w:szCs w:val="20"/>
                <w:lang w:eastAsia="zh-TW"/>
              </w:rPr>
            </w:pPr>
            <w:r w:rsidRPr="007540B6">
              <w:rPr>
                <w:rFonts w:eastAsia="新細明體"/>
                <w:sz w:val="20"/>
                <w:szCs w:val="20"/>
                <w:lang w:eastAsia="zh-TW"/>
              </w:rPr>
              <w:t>0.100268</w:t>
            </w:r>
          </w:p>
        </w:tc>
      </w:tr>
      <w:tr w:rsidR="007C7256" w:rsidRPr="00FF286B" w14:paraId="18491C08" w14:textId="77777777" w:rsidTr="00F975A0">
        <w:tc>
          <w:tcPr>
            <w:tcW w:w="2122" w:type="dxa"/>
          </w:tcPr>
          <w:p w14:paraId="0EED4B2D" w14:textId="77777777" w:rsidR="007C7256" w:rsidRPr="007A6CC0" w:rsidRDefault="007C7256" w:rsidP="00F975A0">
            <w:pPr>
              <w:pStyle w:val="ACLTextFirstLine"/>
              <w:ind w:firstLine="0"/>
              <w:jc w:val="center"/>
              <w:rPr>
                <w:rFonts w:eastAsia="新細明體"/>
                <w:sz w:val="20"/>
                <w:szCs w:val="20"/>
                <w:lang w:eastAsia="zh-TW"/>
              </w:rPr>
            </w:pPr>
            <w:r w:rsidRPr="001F1A8D">
              <w:rPr>
                <w:rFonts w:eastAsia="新細明體"/>
                <w:sz w:val="20"/>
                <w:szCs w:val="20"/>
                <w:lang w:eastAsia="zh-TW"/>
              </w:rPr>
              <w:t>gmm_means_1</w:t>
            </w:r>
          </w:p>
        </w:tc>
        <w:tc>
          <w:tcPr>
            <w:tcW w:w="1275" w:type="dxa"/>
          </w:tcPr>
          <w:p w14:paraId="4069B279" w14:textId="77777777" w:rsidR="007C7256" w:rsidRPr="00C6530D" w:rsidRDefault="007C7256" w:rsidP="00F975A0">
            <w:pPr>
              <w:pStyle w:val="ACLTextFirstLine"/>
              <w:ind w:firstLine="0"/>
              <w:jc w:val="center"/>
              <w:rPr>
                <w:rFonts w:eastAsia="新細明體"/>
                <w:sz w:val="20"/>
                <w:szCs w:val="20"/>
                <w:lang w:eastAsia="zh-TW"/>
              </w:rPr>
            </w:pPr>
            <w:r w:rsidRPr="00664444">
              <w:rPr>
                <w:rFonts w:eastAsia="新細明體"/>
                <w:sz w:val="20"/>
                <w:szCs w:val="20"/>
                <w:lang w:eastAsia="zh-TW"/>
              </w:rPr>
              <w:t xml:space="preserve">0.651917        </w:t>
            </w:r>
          </w:p>
        </w:tc>
        <w:tc>
          <w:tcPr>
            <w:tcW w:w="1276" w:type="dxa"/>
          </w:tcPr>
          <w:p w14:paraId="31F09D7B" w14:textId="77777777" w:rsidR="007C7256" w:rsidRPr="00FF286B" w:rsidRDefault="007C7256" w:rsidP="00F975A0">
            <w:pPr>
              <w:pStyle w:val="ACLTextFirstLine"/>
              <w:ind w:firstLine="0"/>
              <w:jc w:val="center"/>
              <w:rPr>
                <w:rFonts w:eastAsia="新細明體"/>
                <w:b/>
                <w:bCs/>
                <w:sz w:val="20"/>
                <w:szCs w:val="20"/>
                <w:lang w:eastAsia="zh-TW"/>
              </w:rPr>
            </w:pPr>
            <w:r w:rsidRPr="00664444">
              <w:rPr>
                <w:rFonts w:eastAsia="新細明體"/>
                <w:sz w:val="20"/>
                <w:szCs w:val="20"/>
                <w:lang w:eastAsia="zh-TW"/>
              </w:rPr>
              <w:t>0.127739</w:t>
            </w:r>
          </w:p>
        </w:tc>
        <w:tc>
          <w:tcPr>
            <w:tcW w:w="1276" w:type="dxa"/>
          </w:tcPr>
          <w:p w14:paraId="76D64322" w14:textId="77777777" w:rsidR="007C7256" w:rsidRPr="00FF286B" w:rsidRDefault="007C7256" w:rsidP="00F975A0">
            <w:pPr>
              <w:pStyle w:val="ACLTextFirstLine"/>
              <w:ind w:firstLine="0"/>
              <w:jc w:val="center"/>
              <w:rPr>
                <w:rFonts w:eastAsia="新細明體"/>
                <w:b/>
                <w:bCs/>
                <w:sz w:val="20"/>
                <w:szCs w:val="20"/>
                <w:lang w:eastAsia="zh-TW"/>
              </w:rPr>
            </w:pPr>
            <w:r w:rsidRPr="00664444">
              <w:rPr>
                <w:rFonts w:eastAsia="新細明體"/>
                <w:sz w:val="20"/>
                <w:szCs w:val="20"/>
                <w:lang w:eastAsia="zh-TW"/>
              </w:rPr>
              <w:t>0.433824</w:t>
            </w:r>
          </w:p>
        </w:tc>
        <w:tc>
          <w:tcPr>
            <w:tcW w:w="1417" w:type="dxa"/>
          </w:tcPr>
          <w:p w14:paraId="14DA6C2F" w14:textId="77777777" w:rsidR="007C7256" w:rsidRPr="00FF286B" w:rsidRDefault="007C7256" w:rsidP="00F975A0">
            <w:pPr>
              <w:pStyle w:val="ACLTextFirstLine"/>
              <w:ind w:firstLine="0"/>
              <w:jc w:val="center"/>
              <w:rPr>
                <w:rFonts w:eastAsia="新細明體"/>
                <w:b/>
                <w:bCs/>
                <w:sz w:val="20"/>
                <w:szCs w:val="20"/>
                <w:lang w:eastAsia="zh-TW"/>
              </w:rPr>
            </w:pPr>
            <w:r w:rsidRPr="00664444">
              <w:rPr>
                <w:rFonts w:eastAsia="新細明體"/>
                <w:sz w:val="20"/>
                <w:szCs w:val="20"/>
                <w:lang w:eastAsia="zh-TW"/>
              </w:rPr>
              <w:t>0.197364</w:t>
            </w:r>
          </w:p>
        </w:tc>
        <w:tc>
          <w:tcPr>
            <w:tcW w:w="1418" w:type="dxa"/>
          </w:tcPr>
          <w:p w14:paraId="1A75123B" w14:textId="77777777" w:rsidR="007C7256" w:rsidRPr="00FF286B" w:rsidRDefault="007C7256" w:rsidP="00F975A0">
            <w:pPr>
              <w:pStyle w:val="ACLTextFirstLine"/>
              <w:ind w:firstLine="0"/>
              <w:jc w:val="center"/>
              <w:rPr>
                <w:rFonts w:eastAsia="新細明體"/>
                <w:b/>
                <w:bCs/>
                <w:sz w:val="20"/>
                <w:szCs w:val="20"/>
                <w:lang w:eastAsia="zh-TW"/>
              </w:rPr>
            </w:pPr>
            <w:r w:rsidRPr="00664444">
              <w:rPr>
                <w:rFonts w:eastAsia="新細明體"/>
                <w:sz w:val="20"/>
                <w:szCs w:val="20"/>
                <w:lang w:eastAsia="zh-TW"/>
              </w:rPr>
              <w:t>0.069247</w:t>
            </w:r>
          </w:p>
        </w:tc>
      </w:tr>
      <w:tr w:rsidR="007C7256" w:rsidRPr="00FF286B" w14:paraId="0900476C" w14:textId="77777777" w:rsidTr="00F975A0">
        <w:tc>
          <w:tcPr>
            <w:tcW w:w="2122" w:type="dxa"/>
          </w:tcPr>
          <w:p w14:paraId="47C51408" w14:textId="77777777" w:rsidR="007C7256" w:rsidRPr="007A6CC0" w:rsidRDefault="007C7256" w:rsidP="00F975A0">
            <w:pPr>
              <w:pStyle w:val="ACLTextFirstLine"/>
              <w:ind w:firstLine="0"/>
              <w:jc w:val="center"/>
              <w:rPr>
                <w:rFonts w:eastAsia="新細明體"/>
                <w:sz w:val="20"/>
                <w:szCs w:val="20"/>
                <w:lang w:eastAsia="zh-TW"/>
              </w:rPr>
            </w:pPr>
            <w:r w:rsidRPr="001F1A8D">
              <w:rPr>
                <w:rFonts w:eastAsia="新細明體"/>
                <w:sz w:val="20"/>
                <w:szCs w:val="20"/>
                <w:lang w:eastAsia="zh-TW"/>
              </w:rPr>
              <w:t>gmm_means_0</w:t>
            </w:r>
          </w:p>
        </w:tc>
        <w:tc>
          <w:tcPr>
            <w:tcW w:w="1275" w:type="dxa"/>
          </w:tcPr>
          <w:p w14:paraId="6E9E486D" w14:textId="77777777" w:rsidR="007C7256" w:rsidRPr="00C6530D" w:rsidRDefault="007C7256" w:rsidP="00F975A0">
            <w:pPr>
              <w:pStyle w:val="ACLTextFirstLine"/>
              <w:ind w:firstLine="0"/>
              <w:jc w:val="center"/>
              <w:rPr>
                <w:rFonts w:eastAsia="新細明體"/>
                <w:sz w:val="20"/>
                <w:szCs w:val="20"/>
                <w:lang w:eastAsia="zh-TW"/>
              </w:rPr>
            </w:pPr>
            <w:r w:rsidRPr="00664444">
              <w:rPr>
                <w:rFonts w:eastAsia="新細明體"/>
                <w:sz w:val="20"/>
                <w:szCs w:val="20"/>
                <w:lang w:eastAsia="zh-TW"/>
              </w:rPr>
              <w:t xml:space="preserve">0.360902        </w:t>
            </w:r>
          </w:p>
        </w:tc>
        <w:tc>
          <w:tcPr>
            <w:tcW w:w="1276" w:type="dxa"/>
          </w:tcPr>
          <w:p w14:paraId="494D6F6A" w14:textId="77777777" w:rsidR="007C7256" w:rsidRPr="00FF286B" w:rsidRDefault="007C7256" w:rsidP="00F975A0">
            <w:pPr>
              <w:pStyle w:val="ACLTextFirstLine"/>
              <w:ind w:firstLine="0"/>
              <w:jc w:val="center"/>
              <w:rPr>
                <w:rFonts w:eastAsia="新細明體"/>
                <w:b/>
                <w:bCs/>
                <w:sz w:val="20"/>
                <w:szCs w:val="20"/>
                <w:lang w:eastAsia="zh-TW"/>
              </w:rPr>
            </w:pPr>
            <w:r w:rsidRPr="00664444">
              <w:rPr>
                <w:rFonts w:eastAsia="新細明體"/>
                <w:sz w:val="20"/>
                <w:szCs w:val="20"/>
                <w:lang w:eastAsia="zh-TW"/>
              </w:rPr>
              <w:t>0.110918</w:t>
            </w:r>
          </w:p>
        </w:tc>
        <w:tc>
          <w:tcPr>
            <w:tcW w:w="1276" w:type="dxa"/>
          </w:tcPr>
          <w:p w14:paraId="3AB80C0D" w14:textId="77777777" w:rsidR="007C7256" w:rsidRPr="00FF286B" w:rsidRDefault="007C7256" w:rsidP="00F975A0">
            <w:pPr>
              <w:pStyle w:val="ACLTextFirstLine"/>
              <w:ind w:firstLine="0"/>
              <w:jc w:val="center"/>
              <w:rPr>
                <w:rFonts w:eastAsia="新細明體"/>
                <w:b/>
                <w:bCs/>
                <w:sz w:val="20"/>
                <w:szCs w:val="20"/>
                <w:lang w:eastAsia="zh-TW"/>
              </w:rPr>
            </w:pPr>
            <w:r w:rsidRPr="00664444">
              <w:rPr>
                <w:rFonts w:eastAsia="新細明體"/>
                <w:sz w:val="20"/>
                <w:szCs w:val="20"/>
                <w:lang w:eastAsia="zh-TW"/>
              </w:rPr>
              <w:t>0.780906</w:t>
            </w:r>
          </w:p>
        </w:tc>
        <w:tc>
          <w:tcPr>
            <w:tcW w:w="1417" w:type="dxa"/>
          </w:tcPr>
          <w:p w14:paraId="41B320B2" w14:textId="77777777" w:rsidR="007C7256" w:rsidRPr="00FF286B" w:rsidRDefault="007C7256" w:rsidP="00F975A0">
            <w:pPr>
              <w:pStyle w:val="ACLTextFirstLine"/>
              <w:ind w:firstLine="0"/>
              <w:jc w:val="center"/>
              <w:rPr>
                <w:rFonts w:eastAsia="新細明體"/>
                <w:b/>
                <w:bCs/>
                <w:sz w:val="20"/>
                <w:szCs w:val="20"/>
                <w:lang w:eastAsia="zh-TW"/>
              </w:rPr>
            </w:pPr>
            <w:r w:rsidRPr="00664444">
              <w:rPr>
                <w:rFonts w:eastAsia="新細明體"/>
                <w:sz w:val="20"/>
                <w:szCs w:val="20"/>
                <w:lang w:eastAsia="zh-TW"/>
              </w:rPr>
              <w:t>0.194246</w:t>
            </w:r>
          </w:p>
        </w:tc>
        <w:tc>
          <w:tcPr>
            <w:tcW w:w="1418" w:type="dxa"/>
          </w:tcPr>
          <w:p w14:paraId="0FFA1B91" w14:textId="77777777" w:rsidR="007C7256" w:rsidRPr="00FF286B" w:rsidRDefault="007C7256" w:rsidP="00F975A0">
            <w:pPr>
              <w:pStyle w:val="ACLTextFirstLine"/>
              <w:ind w:firstLine="0"/>
              <w:jc w:val="center"/>
              <w:rPr>
                <w:rFonts w:eastAsia="新細明體"/>
                <w:b/>
                <w:bCs/>
                <w:sz w:val="20"/>
                <w:szCs w:val="20"/>
                <w:lang w:eastAsia="zh-TW"/>
              </w:rPr>
            </w:pPr>
            <w:r w:rsidRPr="00664444">
              <w:rPr>
                <w:rFonts w:eastAsia="新細明體"/>
                <w:sz w:val="20"/>
                <w:szCs w:val="20"/>
                <w:lang w:eastAsia="zh-TW"/>
              </w:rPr>
              <w:t>0.062045</w:t>
            </w:r>
          </w:p>
        </w:tc>
      </w:tr>
      <w:tr w:rsidR="007C7256" w:rsidRPr="00FF286B" w14:paraId="2B041546" w14:textId="77777777" w:rsidTr="00F975A0">
        <w:tc>
          <w:tcPr>
            <w:tcW w:w="2122" w:type="dxa"/>
          </w:tcPr>
          <w:p w14:paraId="6AC0A11F" w14:textId="77777777" w:rsidR="007C7256" w:rsidRPr="007A6CC0" w:rsidRDefault="007C7256" w:rsidP="00F975A0">
            <w:pPr>
              <w:pStyle w:val="ACLTextFirstLine"/>
              <w:ind w:firstLine="0"/>
              <w:jc w:val="center"/>
              <w:rPr>
                <w:rFonts w:eastAsia="新細明體"/>
                <w:sz w:val="20"/>
                <w:szCs w:val="20"/>
                <w:lang w:eastAsia="zh-TW"/>
              </w:rPr>
            </w:pPr>
            <w:proofErr w:type="spellStart"/>
            <w:r w:rsidRPr="00C43137">
              <w:rPr>
                <w:rFonts w:eastAsia="新細明體"/>
                <w:sz w:val="20"/>
                <w:szCs w:val="20"/>
                <w:lang w:eastAsia="zh-TW"/>
              </w:rPr>
              <w:t>max_logit</w:t>
            </w:r>
            <w:proofErr w:type="spellEnd"/>
          </w:p>
        </w:tc>
        <w:tc>
          <w:tcPr>
            <w:tcW w:w="1275" w:type="dxa"/>
          </w:tcPr>
          <w:p w14:paraId="7AF20683" w14:textId="77777777" w:rsidR="007C7256" w:rsidRPr="00C6530D" w:rsidRDefault="007C7256" w:rsidP="00F975A0">
            <w:pPr>
              <w:pStyle w:val="ACLTextFirstLine"/>
              <w:ind w:firstLine="0"/>
              <w:jc w:val="center"/>
              <w:rPr>
                <w:rFonts w:eastAsia="新細明體"/>
                <w:sz w:val="20"/>
                <w:szCs w:val="20"/>
                <w:lang w:eastAsia="zh-TW"/>
              </w:rPr>
            </w:pPr>
            <w:r w:rsidRPr="00664444">
              <w:rPr>
                <w:rFonts w:eastAsia="新細明體"/>
                <w:sz w:val="20"/>
                <w:szCs w:val="20"/>
                <w:lang w:eastAsia="zh-TW"/>
              </w:rPr>
              <w:t xml:space="preserve">0.587120        </w:t>
            </w:r>
          </w:p>
        </w:tc>
        <w:tc>
          <w:tcPr>
            <w:tcW w:w="1276" w:type="dxa"/>
          </w:tcPr>
          <w:p w14:paraId="31F0D124" w14:textId="77777777" w:rsidR="007C7256" w:rsidRPr="00FF286B" w:rsidRDefault="007C7256" w:rsidP="00F975A0">
            <w:pPr>
              <w:pStyle w:val="ACLTextFirstLine"/>
              <w:ind w:firstLine="0"/>
              <w:jc w:val="center"/>
              <w:rPr>
                <w:rFonts w:eastAsia="新細明體"/>
                <w:b/>
                <w:bCs/>
                <w:sz w:val="20"/>
                <w:szCs w:val="20"/>
                <w:lang w:eastAsia="zh-TW"/>
              </w:rPr>
            </w:pPr>
            <w:r w:rsidRPr="00664444">
              <w:rPr>
                <w:rFonts w:eastAsia="新細明體"/>
                <w:sz w:val="20"/>
                <w:szCs w:val="20"/>
                <w:lang w:eastAsia="zh-TW"/>
              </w:rPr>
              <w:t>0.120325</w:t>
            </w:r>
          </w:p>
        </w:tc>
        <w:tc>
          <w:tcPr>
            <w:tcW w:w="1276" w:type="dxa"/>
          </w:tcPr>
          <w:p w14:paraId="7E942E29" w14:textId="77777777" w:rsidR="007C7256" w:rsidRPr="00FF286B" w:rsidRDefault="007C7256" w:rsidP="00F975A0">
            <w:pPr>
              <w:pStyle w:val="ACLTextFirstLine"/>
              <w:ind w:firstLine="0"/>
              <w:jc w:val="center"/>
              <w:rPr>
                <w:rFonts w:eastAsia="新細明體"/>
                <w:b/>
                <w:bCs/>
                <w:sz w:val="20"/>
                <w:szCs w:val="20"/>
                <w:lang w:eastAsia="zh-TW"/>
              </w:rPr>
            </w:pPr>
            <w:r w:rsidRPr="00664444">
              <w:rPr>
                <w:rFonts w:eastAsia="新細明體"/>
                <w:sz w:val="20"/>
                <w:szCs w:val="20"/>
                <w:lang w:eastAsia="zh-TW"/>
              </w:rPr>
              <w:t>0.504746</w:t>
            </w:r>
          </w:p>
        </w:tc>
        <w:tc>
          <w:tcPr>
            <w:tcW w:w="1417" w:type="dxa"/>
          </w:tcPr>
          <w:p w14:paraId="15BBE42B" w14:textId="77777777" w:rsidR="007C7256" w:rsidRPr="00FF286B" w:rsidRDefault="007C7256" w:rsidP="00F975A0">
            <w:pPr>
              <w:pStyle w:val="ACLTextFirstLine"/>
              <w:ind w:firstLine="0"/>
              <w:jc w:val="center"/>
              <w:rPr>
                <w:rFonts w:eastAsia="新細明體"/>
                <w:b/>
                <w:bCs/>
                <w:sz w:val="20"/>
                <w:szCs w:val="20"/>
                <w:lang w:eastAsia="zh-TW"/>
              </w:rPr>
            </w:pPr>
            <w:r w:rsidRPr="00664444">
              <w:rPr>
                <w:rFonts w:eastAsia="新細明體"/>
                <w:sz w:val="20"/>
                <w:szCs w:val="20"/>
                <w:lang w:eastAsia="zh-TW"/>
              </w:rPr>
              <w:t>0.194325</w:t>
            </w:r>
          </w:p>
        </w:tc>
        <w:tc>
          <w:tcPr>
            <w:tcW w:w="1418" w:type="dxa"/>
          </w:tcPr>
          <w:p w14:paraId="642CF01B" w14:textId="77777777" w:rsidR="007C7256" w:rsidRPr="00FF286B" w:rsidRDefault="007C7256" w:rsidP="00F975A0">
            <w:pPr>
              <w:pStyle w:val="ACLTextFirstLine"/>
              <w:ind w:firstLine="0"/>
              <w:jc w:val="center"/>
              <w:rPr>
                <w:rFonts w:eastAsia="新細明體"/>
                <w:b/>
                <w:bCs/>
                <w:sz w:val="20"/>
                <w:szCs w:val="20"/>
                <w:lang w:eastAsia="zh-TW"/>
              </w:rPr>
            </w:pPr>
            <w:r w:rsidRPr="00664444">
              <w:rPr>
                <w:rFonts w:eastAsia="新細明體"/>
                <w:sz w:val="20"/>
                <w:szCs w:val="20"/>
                <w:lang w:eastAsia="zh-TW"/>
              </w:rPr>
              <w:t>0.061078</w:t>
            </w:r>
          </w:p>
        </w:tc>
      </w:tr>
      <w:tr w:rsidR="007C7256" w:rsidRPr="00FF286B" w14:paraId="7232A130" w14:textId="77777777" w:rsidTr="00F975A0">
        <w:tc>
          <w:tcPr>
            <w:tcW w:w="2122" w:type="dxa"/>
          </w:tcPr>
          <w:p w14:paraId="56B0F39F" w14:textId="77777777" w:rsidR="007C7256" w:rsidRPr="007A6CC0" w:rsidRDefault="007C7256" w:rsidP="00F975A0">
            <w:pPr>
              <w:pStyle w:val="ACLTextFirstLine"/>
              <w:ind w:firstLine="0"/>
              <w:jc w:val="center"/>
              <w:rPr>
                <w:rFonts w:eastAsia="新細明體"/>
                <w:sz w:val="20"/>
                <w:szCs w:val="20"/>
                <w:lang w:eastAsia="zh-TW"/>
              </w:rPr>
            </w:pPr>
            <w:r w:rsidRPr="001F1A8D">
              <w:rPr>
                <w:rFonts w:eastAsia="新細明體"/>
                <w:sz w:val="20"/>
                <w:szCs w:val="20"/>
                <w:lang w:eastAsia="zh-TW"/>
              </w:rPr>
              <w:t>evt_k3</w:t>
            </w:r>
          </w:p>
        </w:tc>
        <w:tc>
          <w:tcPr>
            <w:tcW w:w="1275" w:type="dxa"/>
          </w:tcPr>
          <w:p w14:paraId="5D7F08C1" w14:textId="77777777" w:rsidR="007C7256" w:rsidRPr="00C6530D" w:rsidRDefault="007C7256" w:rsidP="00F975A0">
            <w:pPr>
              <w:pStyle w:val="ACLTextFirstLine"/>
              <w:ind w:firstLine="0"/>
              <w:jc w:val="center"/>
              <w:rPr>
                <w:rFonts w:eastAsia="新細明體"/>
                <w:sz w:val="20"/>
                <w:szCs w:val="20"/>
                <w:lang w:eastAsia="zh-TW"/>
              </w:rPr>
            </w:pPr>
            <w:r w:rsidRPr="00664444">
              <w:rPr>
                <w:rFonts w:eastAsia="新細明體"/>
                <w:sz w:val="20"/>
                <w:szCs w:val="20"/>
                <w:lang w:eastAsia="zh-TW"/>
              </w:rPr>
              <w:t xml:space="preserve">0.782597        </w:t>
            </w:r>
          </w:p>
        </w:tc>
        <w:tc>
          <w:tcPr>
            <w:tcW w:w="1276" w:type="dxa"/>
          </w:tcPr>
          <w:p w14:paraId="6D7FC6D3" w14:textId="77777777" w:rsidR="007C7256" w:rsidRPr="00FF286B" w:rsidRDefault="007C7256" w:rsidP="00F975A0">
            <w:pPr>
              <w:pStyle w:val="ACLTextFirstLine"/>
              <w:ind w:firstLine="0"/>
              <w:jc w:val="center"/>
              <w:rPr>
                <w:rFonts w:eastAsia="新細明體"/>
                <w:b/>
                <w:bCs/>
                <w:sz w:val="20"/>
                <w:szCs w:val="20"/>
                <w:lang w:eastAsia="zh-TW"/>
              </w:rPr>
            </w:pPr>
            <w:r w:rsidRPr="00664444">
              <w:rPr>
                <w:rFonts w:eastAsia="新細明體"/>
                <w:sz w:val="20"/>
                <w:szCs w:val="20"/>
                <w:lang w:eastAsia="zh-TW"/>
              </w:rPr>
              <w:t>0.134983</w:t>
            </w:r>
          </w:p>
        </w:tc>
        <w:tc>
          <w:tcPr>
            <w:tcW w:w="1276" w:type="dxa"/>
          </w:tcPr>
          <w:p w14:paraId="59FB9060" w14:textId="77777777" w:rsidR="007C7256" w:rsidRPr="00FF286B" w:rsidRDefault="007C7256" w:rsidP="00F975A0">
            <w:pPr>
              <w:pStyle w:val="ACLTextFirstLine"/>
              <w:ind w:firstLine="0"/>
              <w:jc w:val="center"/>
              <w:rPr>
                <w:rFonts w:eastAsia="新細明體"/>
                <w:b/>
                <w:bCs/>
                <w:sz w:val="20"/>
                <w:szCs w:val="20"/>
                <w:lang w:eastAsia="zh-TW"/>
              </w:rPr>
            </w:pPr>
            <w:r w:rsidRPr="00664444">
              <w:rPr>
                <w:rFonts w:eastAsia="新細明體"/>
                <w:sz w:val="20"/>
                <w:szCs w:val="20"/>
                <w:lang w:eastAsia="zh-TW"/>
              </w:rPr>
              <w:t>0.222586</w:t>
            </w:r>
          </w:p>
        </w:tc>
        <w:tc>
          <w:tcPr>
            <w:tcW w:w="1417" w:type="dxa"/>
          </w:tcPr>
          <w:p w14:paraId="22DE994E" w14:textId="77777777" w:rsidR="007C7256" w:rsidRPr="00FF286B" w:rsidRDefault="007C7256" w:rsidP="00F975A0">
            <w:pPr>
              <w:pStyle w:val="ACLTextFirstLine"/>
              <w:ind w:firstLine="0"/>
              <w:jc w:val="center"/>
              <w:rPr>
                <w:rFonts w:eastAsia="新細明體"/>
                <w:b/>
                <w:bCs/>
                <w:sz w:val="20"/>
                <w:szCs w:val="20"/>
                <w:lang w:eastAsia="zh-TW"/>
              </w:rPr>
            </w:pPr>
            <w:r w:rsidRPr="00664444">
              <w:rPr>
                <w:rFonts w:eastAsia="新細明體"/>
                <w:sz w:val="20"/>
                <w:szCs w:val="20"/>
                <w:lang w:eastAsia="zh-TW"/>
              </w:rPr>
              <w:t>0.168053</w:t>
            </w:r>
          </w:p>
        </w:tc>
        <w:tc>
          <w:tcPr>
            <w:tcW w:w="1418" w:type="dxa"/>
          </w:tcPr>
          <w:p w14:paraId="50AC046D" w14:textId="77777777" w:rsidR="007C7256" w:rsidRPr="00FF286B" w:rsidRDefault="007C7256" w:rsidP="00F975A0">
            <w:pPr>
              <w:pStyle w:val="ACLTextFirstLine"/>
              <w:ind w:firstLine="0"/>
              <w:jc w:val="center"/>
              <w:rPr>
                <w:rFonts w:eastAsia="新細明體"/>
                <w:b/>
                <w:bCs/>
                <w:sz w:val="20"/>
                <w:szCs w:val="20"/>
                <w:lang w:eastAsia="zh-TW"/>
              </w:rPr>
            </w:pPr>
            <w:r w:rsidRPr="00664444">
              <w:rPr>
                <w:rFonts w:eastAsia="新細明體"/>
                <w:sz w:val="20"/>
                <w:szCs w:val="20"/>
                <w:lang w:eastAsia="zh-TW"/>
              </w:rPr>
              <w:t>0.053708</w:t>
            </w:r>
          </w:p>
        </w:tc>
      </w:tr>
      <w:tr w:rsidR="007C7256" w:rsidRPr="00FF286B" w14:paraId="34B0E1E7" w14:textId="77777777" w:rsidTr="00F975A0">
        <w:tc>
          <w:tcPr>
            <w:tcW w:w="2122" w:type="dxa"/>
          </w:tcPr>
          <w:p w14:paraId="1B5E953E" w14:textId="77777777" w:rsidR="007C7256" w:rsidRPr="007A6CC0" w:rsidRDefault="007C7256" w:rsidP="00F975A0">
            <w:pPr>
              <w:pStyle w:val="ACLTextFirstLine"/>
              <w:ind w:firstLine="0"/>
              <w:jc w:val="center"/>
              <w:rPr>
                <w:rFonts w:eastAsia="新細明體"/>
                <w:sz w:val="20"/>
                <w:szCs w:val="20"/>
                <w:lang w:eastAsia="zh-TW"/>
              </w:rPr>
            </w:pPr>
            <w:r w:rsidRPr="001F1A8D">
              <w:rPr>
                <w:rFonts w:eastAsia="新細明體"/>
                <w:sz w:val="20"/>
                <w:szCs w:val="20"/>
                <w:lang w:eastAsia="zh-TW"/>
              </w:rPr>
              <w:t>autocorr_lag1</w:t>
            </w:r>
          </w:p>
        </w:tc>
        <w:tc>
          <w:tcPr>
            <w:tcW w:w="1275" w:type="dxa"/>
          </w:tcPr>
          <w:p w14:paraId="16902718" w14:textId="77777777" w:rsidR="007C7256" w:rsidRPr="00C6530D" w:rsidRDefault="007C7256" w:rsidP="00F975A0">
            <w:pPr>
              <w:pStyle w:val="ACLTextFirstLine"/>
              <w:ind w:firstLine="0"/>
              <w:jc w:val="center"/>
              <w:rPr>
                <w:rFonts w:eastAsia="新細明體"/>
                <w:sz w:val="20"/>
                <w:szCs w:val="20"/>
                <w:lang w:eastAsia="zh-TW"/>
              </w:rPr>
            </w:pPr>
            <w:r w:rsidRPr="00664444">
              <w:rPr>
                <w:rFonts w:eastAsia="新細明體"/>
                <w:sz w:val="20"/>
                <w:szCs w:val="20"/>
                <w:lang w:eastAsia="zh-TW"/>
              </w:rPr>
              <w:t xml:space="preserve">0.878608        </w:t>
            </w:r>
          </w:p>
        </w:tc>
        <w:tc>
          <w:tcPr>
            <w:tcW w:w="1276" w:type="dxa"/>
          </w:tcPr>
          <w:p w14:paraId="333886B5" w14:textId="77777777" w:rsidR="007C7256" w:rsidRPr="00FF286B" w:rsidRDefault="007C7256" w:rsidP="00F975A0">
            <w:pPr>
              <w:pStyle w:val="ACLTextFirstLine"/>
              <w:ind w:firstLine="0"/>
              <w:jc w:val="center"/>
              <w:rPr>
                <w:rFonts w:eastAsia="新細明體"/>
                <w:b/>
                <w:bCs/>
                <w:sz w:val="20"/>
                <w:szCs w:val="20"/>
                <w:lang w:eastAsia="zh-TW"/>
              </w:rPr>
            </w:pPr>
            <w:r w:rsidRPr="00664444">
              <w:rPr>
                <w:rFonts w:eastAsia="新細明體"/>
                <w:sz w:val="20"/>
                <w:szCs w:val="20"/>
                <w:lang w:eastAsia="zh-TW"/>
              </w:rPr>
              <w:t>0.171588</w:t>
            </w:r>
          </w:p>
        </w:tc>
        <w:tc>
          <w:tcPr>
            <w:tcW w:w="1276" w:type="dxa"/>
          </w:tcPr>
          <w:p w14:paraId="1A949011" w14:textId="77777777" w:rsidR="007C7256" w:rsidRPr="00FF286B" w:rsidRDefault="007C7256" w:rsidP="00F975A0">
            <w:pPr>
              <w:pStyle w:val="ACLTextFirstLine"/>
              <w:ind w:firstLine="0"/>
              <w:jc w:val="center"/>
              <w:rPr>
                <w:rFonts w:eastAsia="新細明體"/>
                <w:b/>
                <w:bCs/>
                <w:sz w:val="20"/>
                <w:szCs w:val="20"/>
                <w:lang w:eastAsia="zh-TW"/>
              </w:rPr>
            </w:pPr>
            <w:r w:rsidRPr="00664444">
              <w:rPr>
                <w:rFonts w:eastAsia="新細明體"/>
                <w:sz w:val="20"/>
                <w:szCs w:val="20"/>
                <w:lang w:eastAsia="zh-TW"/>
              </w:rPr>
              <w:t>0.060229</w:t>
            </w:r>
          </w:p>
        </w:tc>
        <w:tc>
          <w:tcPr>
            <w:tcW w:w="1417" w:type="dxa"/>
          </w:tcPr>
          <w:p w14:paraId="5067AC80" w14:textId="77777777" w:rsidR="007C7256" w:rsidRPr="00FF286B" w:rsidRDefault="007C7256" w:rsidP="00F975A0">
            <w:pPr>
              <w:pStyle w:val="ACLTextFirstLine"/>
              <w:ind w:firstLine="0"/>
              <w:jc w:val="center"/>
              <w:rPr>
                <w:rFonts w:eastAsia="新細明體"/>
                <w:b/>
                <w:bCs/>
                <w:sz w:val="20"/>
                <w:szCs w:val="20"/>
                <w:lang w:eastAsia="zh-TW"/>
              </w:rPr>
            </w:pPr>
            <w:r w:rsidRPr="00664444">
              <w:rPr>
                <w:rFonts w:eastAsia="新細明體"/>
                <w:sz w:val="20"/>
                <w:szCs w:val="20"/>
                <w:lang w:eastAsia="zh-TW"/>
              </w:rPr>
              <w:t>0.089162</w:t>
            </w:r>
          </w:p>
        </w:tc>
        <w:tc>
          <w:tcPr>
            <w:tcW w:w="1418" w:type="dxa"/>
          </w:tcPr>
          <w:p w14:paraId="3451798D" w14:textId="77777777" w:rsidR="007C7256" w:rsidRPr="00FF286B" w:rsidRDefault="007C7256" w:rsidP="00F975A0">
            <w:pPr>
              <w:pStyle w:val="ACLTextFirstLine"/>
              <w:ind w:firstLine="0"/>
              <w:jc w:val="center"/>
              <w:rPr>
                <w:rFonts w:eastAsia="新細明體"/>
                <w:b/>
                <w:bCs/>
                <w:sz w:val="20"/>
                <w:szCs w:val="20"/>
                <w:lang w:eastAsia="zh-TW"/>
              </w:rPr>
            </w:pPr>
            <w:r w:rsidRPr="00664444">
              <w:rPr>
                <w:rFonts w:eastAsia="新細明體"/>
                <w:sz w:val="20"/>
                <w:szCs w:val="20"/>
                <w:lang w:eastAsia="zh-TW"/>
              </w:rPr>
              <w:t>0.046327</w:t>
            </w:r>
          </w:p>
        </w:tc>
      </w:tr>
      <w:tr w:rsidR="007C7256" w:rsidRPr="00FF286B" w14:paraId="6C97D304" w14:textId="77777777" w:rsidTr="00F975A0">
        <w:tc>
          <w:tcPr>
            <w:tcW w:w="2122" w:type="dxa"/>
          </w:tcPr>
          <w:p w14:paraId="00D71FEE" w14:textId="77777777" w:rsidR="007C7256" w:rsidRPr="007A6CC0" w:rsidRDefault="007C7256" w:rsidP="00F975A0">
            <w:pPr>
              <w:pStyle w:val="ACLTextFirstLine"/>
              <w:ind w:firstLine="0"/>
              <w:jc w:val="center"/>
              <w:rPr>
                <w:rFonts w:eastAsia="新細明體"/>
                <w:sz w:val="20"/>
                <w:szCs w:val="20"/>
                <w:lang w:eastAsia="zh-TW"/>
              </w:rPr>
            </w:pPr>
            <w:r w:rsidRPr="00666104">
              <w:rPr>
                <w:rFonts w:eastAsia="新細明體"/>
                <w:sz w:val="20"/>
                <w:szCs w:val="20"/>
                <w:lang w:eastAsia="zh-TW"/>
              </w:rPr>
              <w:t>gmm_vars_1</w:t>
            </w:r>
          </w:p>
        </w:tc>
        <w:tc>
          <w:tcPr>
            <w:tcW w:w="1275" w:type="dxa"/>
          </w:tcPr>
          <w:p w14:paraId="57F0AC1A" w14:textId="77777777" w:rsidR="007C7256" w:rsidRPr="00C6530D" w:rsidRDefault="007C7256" w:rsidP="00F975A0">
            <w:pPr>
              <w:pStyle w:val="ACLTextFirstLine"/>
              <w:ind w:firstLine="0"/>
              <w:jc w:val="center"/>
              <w:rPr>
                <w:rFonts w:eastAsia="新細明體"/>
                <w:sz w:val="20"/>
                <w:szCs w:val="20"/>
                <w:lang w:eastAsia="zh-TW"/>
              </w:rPr>
            </w:pPr>
            <w:r w:rsidRPr="00664444">
              <w:rPr>
                <w:rFonts w:eastAsia="新細明體"/>
                <w:sz w:val="20"/>
                <w:szCs w:val="20"/>
                <w:lang w:eastAsia="zh-TW"/>
              </w:rPr>
              <w:t xml:space="preserve">0.857275        </w:t>
            </w:r>
          </w:p>
        </w:tc>
        <w:tc>
          <w:tcPr>
            <w:tcW w:w="1276" w:type="dxa"/>
          </w:tcPr>
          <w:p w14:paraId="47073597" w14:textId="77777777" w:rsidR="007C7256" w:rsidRPr="00FF286B" w:rsidRDefault="007C7256" w:rsidP="00F975A0">
            <w:pPr>
              <w:pStyle w:val="ACLTextFirstLine"/>
              <w:ind w:firstLine="0"/>
              <w:jc w:val="center"/>
              <w:rPr>
                <w:rFonts w:eastAsia="新細明體"/>
                <w:b/>
                <w:bCs/>
                <w:sz w:val="20"/>
                <w:szCs w:val="20"/>
                <w:lang w:eastAsia="zh-TW"/>
              </w:rPr>
            </w:pPr>
            <w:r w:rsidRPr="00664444">
              <w:rPr>
                <w:rFonts w:eastAsia="新細明體"/>
                <w:sz w:val="20"/>
                <w:szCs w:val="20"/>
                <w:lang w:eastAsia="zh-TW"/>
              </w:rPr>
              <w:t>0.128065</w:t>
            </w:r>
          </w:p>
        </w:tc>
        <w:tc>
          <w:tcPr>
            <w:tcW w:w="1276" w:type="dxa"/>
          </w:tcPr>
          <w:p w14:paraId="7A9FC67B" w14:textId="77777777" w:rsidR="007C7256" w:rsidRPr="00FF286B" w:rsidRDefault="007C7256" w:rsidP="00F975A0">
            <w:pPr>
              <w:pStyle w:val="ACLTextFirstLine"/>
              <w:ind w:firstLine="0"/>
              <w:jc w:val="center"/>
              <w:rPr>
                <w:rFonts w:eastAsia="新細明體"/>
                <w:b/>
                <w:bCs/>
                <w:sz w:val="20"/>
                <w:szCs w:val="20"/>
                <w:lang w:eastAsia="zh-TW"/>
              </w:rPr>
            </w:pPr>
            <w:r w:rsidRPr="00664444">
              <w:rPr>
                <w:rFonts w:eastAsia="新細明體"/>
                <w:sz w:val="20"/>
                <w:szCs w:val="20"/>
                <w:lang w:eastAsia="zh-TW"/>
              </w:rPr>
              <w:t>0.076923</w:t>
            </w:r>
          </w:p>
        </w:tc>
        <w:tc>
          <w:tcPr>
            <w:tcW w:w="1417" w:type="dxa"/>
          </w:tcPr>
          <w:p w14:paraId="5E8E5AB6" w14:textId="77777777" w:rsidR="007C7256" w:rsidRPr="00FF286B" w:rsidRDefault="007C7256" w:rsidP="00F975A0">
            <w:pPr>
              <w:pStyle w:val="ACLTextFirstLine"/>
              <w:ind w:firstLine="0"/>
              <w:jc w:val="center"/>
              <w:rPr>
                <w:rFonts w:eastAsia="新細明體"/>
                <w:b/>
                <w:bCs/>
                <w:sz w:val="20"/>
                <w:szCs w:val="20"/>
                <w:lang w:eastAsia="zh-TW"/>
              </w:rPr>
            </w:pPr>
            <w:r w:rsidRPr="00664444">
              <w:rPr>
                <w:rFonts w:eastAsia="新細明體"/>
                <w:sz w:val="20"/>
                <w:szCs w:val="20"/>
                <w:lang w:eastAsia="zh-TW"/>
              </w:rPr>
              <w:t>0.096115</w:t>
            </w:r>
          </w:p>
        </w:tc>
        <w:tc>
          <w:tcPr>
            <w:tcW w:w="1418" w:type="dxa"/>
          </w:tcPr>
          <w:p w14:paraId="163AE60A" w14:textId="77777777" w:rsidR="007C7256" w:rsidRPr="00FF286B" w:rsidRDefault="007C7256" w:rsidP="00F975A0">
            <w:pPr>
              <w:pStyle w:val="ACLTextFirstLine"/>
              <w:ind w:firstLine="0"/>
              <w:jc w:val="center"/>
              <w:rPr>
                <w:rFonts w:eastAsia="新細明體"/>
                <w:b/>
                <w:bCs/>
                <w:sz w:val="20"/>
                <w:szCs w:val="20"/>
                <w:lang w:eastAsia="zh-TW"/>
              </w:rPr>
            </w:pPr>
            <w:r w:rsidRPr="00664444">
              <w:rPr>
                <w:rFonts w:eastAsia="新細明體"/>
                <w:sz w:val="20"/>
                <w:szCs w:val="20"/>
                <w:lang w:eastAsia="zh-TW"/>
              </w:rPr>
              <w:t>0.024759</w:t>
            </w:r>
          </w:p>
        </w:tc>
      </w:tr>
      <w:tr w:rsidR="007C7256" w:rsidRPr="00FF286B" w14:paraId="7D035C3A" w14:textId="77777777" w:rsidTr="00F975A0">
        <w:tc>
          <w:tcPr>
            <w:tcW w:w="2122" w:type="dxa"/>
          </w:tcPr>
          <w:p w14:paraId="178721F0" w14:textId="77777777" w:rsidR="007C7256" w:rsidRPr="007A6CC0" w:rsidRDefault="007C7256" w:rsidP="00F975A0">
            <w:pPr>
              <w:pStyle w:val="ACLTextFirstLine"/>
              <w:ind w:firstLine="0"/>
              <w:jc w:val="center"/>
              <w:rPr>
                <w:rFonts w:eastAsia="新細明體"/>
                <w:sz w:val="20"/>
                <w:szCs w:val="20"/>
                <w:lang w:eastAsia="zh-TW"/>
              </w:rPr>
            </w:pPr>
            <w:r w:rsidRPr="00C43137">
              <w:rPr>
                <w:rFonts w:eastAsia="新細明體"/>
                <w:sz w:val="20"/>
                <w:szCs w:val="20"/>
                <w:lang w:eastAsia="zh-TW"/>
              </w:rPr>
              <w:t>gmm_vars_</w:t>
            </w:r>
            <w:r>
              <w:rPr>
                <w:rFonts w:eastAsia="新細明體"/>
                <w:sz w:val="20"/>
                <w:szCs w:val="20"/>
                <w:lang w:eastAsia="zh-TW"/>
              </w:rPr>
              <w:t>0</w:t>
            </w:r>
          </w:p>
        </w:tc>
        <w:tc>
          <w:tcPr>
            <w:tcW w:w="1275" w:type="dxa"/>
          </w:tcPr>
          <w:p w14:paraId="362DB3CD" w14:textId="77777777" w:rsidR="007C7256" w:rsidRPr="00C6530D" w:rsidRDefault="007C7256" w:rsidP="00F975A0">
            <w:pPr>
              <w:pStyle w:val="ACLTextFirstLine"/>
              <w:ind w:firstLine="0"/>
              <w:jc w:val="center"/>
              <w:rPr>
                <w:rFonts w:eastAsia="新細明體"/>
                <w:sz w:val="20"/>
                <w:szCs w:val="20"/>
                <w:lang w:eastAsia="zh-TW"/>
              </w:rPr>
            </w:pPr>
            <w:r w:rsidRPr="00664444">
              <w:rPr>
                <w:rFonts w:eastAsia="新細明體"/>
                <w:sz w:val="20"/>
                <w:szCs w:val="20"/>
                <w:lang w:eastAsia="zh-TW"/>
              </w:rPr>
              <w:t xml:space="preserve">0.132306        </w:t>
            </w:r>
          </w:p>
        </w:tc>
        <w:tc>
          <w:tcPr>
            <w:tcW w:w="1276" w:type="dxa"/>
          </w:tcPr>
          <w:p w14:paraId="1257A17B" w14:textId="77777777" w:rsidR="007C7256" w:rsidRPr="00FF286B" w:rsidRDefault="007C7256" w:rsidP="00F975A0">
            <w:pPr>
              <w:pStyle w:val="ACLTextFirstLine"/>
              <w:ind w:firstLine="0"/>
              <w:jc w:val="center"/>
              <w:rPr>
                <w:rFonts w:eastAsia="新細明體"/>
                <w:b/>
                <w:bCs/>
                <w:sz w:val="20"/>
                <w:szCs w:val="20"/>
                <w:lang w:eastAsia="zh-TW"/>
              </w:rPr>
            </w:pPr>
            <w:r w:rsidRPr="00664444">
              <w:rPr>
                <w:rFonts w:eastAsia="新細明體"/>
                <w:sz w:val="20"/>
                <w:szCs w:val="20"/>
                <w:lang w:eastAsia="zh-TW"/>
              </w:rPr>
              <w:t>0.099640</w:t>
            </w:r>
          </w:p>
        </w:tc>
        <w:tc>
          <w:tcPr>
            <w:tcW w:w="1276" w:type="dxa"/>
          </w:tcPr>
          <w:p w14:paraId="46DAB5A3" w14:textId="77777777" w:rsidR="007C7256" w:rsidRPr="00FF286B" w:rsidRDefault="007C7256" w:rsidP="00F975A0">
            <w:pPr>
              <w:pStyle w:val="ACLTextFirstLine"/>
              <w:ind w:firstLine="0"/>
              <w:jc w:val="center"/>
              <w:rPr>
                <w:rFonts w:eastAsia="新細明體"/>
                <w:b/>
                <w:bCs/>
                <w:sz w:val="20"/>
                <w:szCs w:val="20"/>
                <w:lang w:eastAsia="zh-TW"/>
              </w:rPr>
            </w:pPr>
            <w:r w:rsidRPr="00664444">
              <w:rPr>
                <w:rFonts w:eastAsia="新細明體"/>
                <w:sz w:val="20"/>
                <w:szCs w:val="20"/>
                <w:lang w:eastAsia="zh-TW"/>
              </w:rPr>
              <w:t>0.970104</w:t>
            </w:r>
          </w:p>
        </w:tc>
        <w:tc>
          <w:tcPr>
            <w:tcW w:w="1417" w:type="dxa"/>
          </w:tcPr>
          <w:p w14:paraId="4F7712C5" w14:textId="77777777" w:rsidR="007C7256" w:rsidRPr="00FF286B" w:rsidRDefault="007C7256" w:rsidP="00F975A0">
            <w:pPr>
              <w:pStyle w:val="ACLTextFirstLine"/>
              <w:ind w:firstLine="0"/>
              <w:jc w:val="center"/>
              <w:rPr>
                <w:rFonts w:eastAsia="新細明體"/>
                <w:b/>
                <w:bCs/>
                <w:sz w:val="20"/>
                <w:szCs w:val="20"/>
                <w:lang w:eastAsia="zh-TW"/>
              </w:rPr>
            </w:pPr>
            <w:r w:rsidRPr="00664444">
              <w:rPr>
                <w:rFonts w:eastAsia="新細明體"/>
                <w:sz w:val="20"/>
                <w:szCs w:val="20"/>
                <w:lang w:eastAsia="zh-TW"/>
              </w:rPr>
              <w:t>0.180719</w:t>
            </w:r>
          </w:p>
        </w:tc>
        <w:tc>
          <w:tcPr>
            <w:tcW w:w="1418" w:type="dxa"/>
          </w:tcPr>
          <w:p w14:paraId="2617E044" w14:textId="77777777" w:rsidR="007C7256" w:rsidRPr="00FF286B" w:rsidRDefault="007C7256" w:rsidP="00F975A0">
            <w:pPr>
              <w:pStyle w:val="ACLTextFirstLine"/>
              <w:ind w:firstLine="0"/>
              <w:jc w:val="center"/>
              <w:rPr>
                <w:rFonts w:eastAsia="新細明體"/>
                <w:b/>
                <w:bCs/>
                <w:sz w:val="20"/>
                <w:szCs w:val="20"/>
                <w:lang w:eastAsia="zh-TW"/>
              </w:rPr>
            </w:pPr>
            <w:r w:rsidRPr="00664444">
              <w:rPr>
                <w:rFonts w:eastAsia="新細明體"/>
                <w:sz w:val="20"/>
                <w:szCs w:val="20"/>
                <w:lang w:eastAsia="zh-TW"/>
              </w:rPr>
              <w:t>0.016395</w:t>
            </w:r>
          </w:p>
        </w:tc>
      </w:tr>
      <w:tr w:rsidR="007C7256" w:rsidRPr="00FF286B" w14:paraId="7FE5AECE" w14:textId="77777777" w:rsidTr="00F975A0">
        <w:tc>
          <w:tcPr>
            <w:tcW w:w="2122" w:type="dxa"/>
          </w:tcPr>
          <w:p w14:paraId="04F620E0" w14:textId="77777777" w:rsidR="007C7256" w:rsidRPr="007A6CC0" w:rsidRDefault="007C7256" w:rsidP="00F975A0">
            <w:pPr>
              <w:pStyle w:val="ACLTextFirstLine"/>
              <w:ind w:firstLine="0"/>
              <w:jc w:val="center"/>
              <w:rPr>
                <w:rFonts w:eastAsia="新細明體"/>
                <w:sz w:val="20"/>
                <w:szCs w:val="20"/>
                <w:lang w:eastAsia="zh-TW"/>
              </w:rPr>
            </w:pPr>
            <w:r w:rsidRPr="00666104">
              <w:rPr>
                <w:rFonts w:eastAsia="新細明體"/>
                <w:sz w:val="20"/>
                <w:szCs w:val="20"/>
                <w:lang w:eastAsia="zh-TW"/>
              </w:rPr>
              <w:t>gmm_weights_1</w:t>
            </w:r>
          </w:p>
        </w:tc>
        <w:tc>
          <w:tcPr>
            <w:tcW w:w="1275" w:type="dxa"/>
          </w:tcPr>
          <w:p w14:paraId="7157D1F7" w14:textId="77777777" w:rsidR="007C7256" w:rsidRPr="00C6530D" w:rsidRDefault="007C7256" w:rsidP="00F975A0">
            <w:pPr>
              <w:pStyle w:val="ACLTextFirstLine"/>
              <w:ind w:firstLine="0"/>
              <w:jc w:val="center"/>
              <w:rPr>
                <w:rFonts w:eastAsia="新細明體"/>
                <w:sz w:val="20"/>
                <w:szCs w:val="20"/>
                <w:lang w:eastAsia="zh-TW"/>
              </w:rPr>
            </w:pPr>
            <w:r w:rsidRPr="00664444">
              <w:rPr>
                <w:rFonts w:eastAsia="新細明體"/>
                <w:sz w:val="20"/>
                <w:szCs w:val="20"/>
                <w:lang w:eastAsia="zh-TW"/>
              </w:rPr>
              <w:t xml:space="preserve">0.885648        </w:t>
            </w:r>
          </w:p>
        </w:tc>
        <w:tc>
          <w:tcPr>
            <w:tcW w:w="1276" w:type="dxa"/>
          </w:tcPr>
          <w:p w14:paraId="511EF175" w14:textId="77777777" w:rsidR="007C7256" w:rsidRPr="00FF286B" w:rsidRDefault="007C7256" w:rsidP="00F975A0">
            <w:pPr>
              <w:pStyle w:val="ACLTextFirstLine"/>
              <w:ind w:firstLine="0"/>
              <w:jc w:val="center"/>
              <w:rPr>
                <w:rFonts w:eastAsia="新細明體"/>
                <w:b/>
                <w:bCs/>
                <w:sz w:val="20"/>
                <w:szCs w:val="20"/>
                <w:lang w:eastAsia="zh-TW"/>
              </w:rPr>
            </w:pPr>
            <w:r w:rsidRPr="00664444">
              <w:rPr>
                <w:rFonts w:eastAsia="新細明體"/>
                <w:sz w:val="20"/>
                <w:szCs w:val="20"/>
                <w:lang w:eastAsia="zh-TW"/>
              </w:rPr>
              <w:t>0.104607</w:t>
            </w:r>
          </w:p>
        </w:tc>
        <w:tc>
          <w:tcPr>
            <w:tcW w:w="1276" w:type="dxa"/>
          </w:tcPr>
          <w:p w14:paraId="2B21F1BE" w14:textId="77777777" w:rsidR="007C7256" w:rsidRPr="00FF286B" w:rsidRDefault="007C7256" w:rsidP="00F975A0">
            <w:pPr>
              <w:pStyle w:val="ACLTextFirstLine"/>
              <w:ind w:firstLine="0"/>
              <w:jc w:val="center"/>
              <w:rPr>
                <w:rFonts w:eastAsia="新細明體"/>
                <w:b/>
                <w:bCs/>
                <w:sz w:val="20"/>
                <w:szCs w:val="20"/>
                <w:lang w:eastAsia="zh-TW"/>
              </w:rPr>
            </w:pPr>
            <w:r w:rsidRPr="00664444">
              <w:rPr>
                <w:rFonts w:eastAsia="新細明體"/>
                <w:sz w:val="20"/>
                <w:szCs w:val="20"/>
                <w:lang w:eastAsia="zh-TW"/>
              </w:rPr>
              <w:t>0.021058</w:t>
            </w:r>
          </w:p>
        </w:tc>
        <w:tc>
          <w:tcPr>
            <w:tcW w:w="1417" w:type="dxa"/>
          </w:tcPr>
          <w:p w14:paraId="5043D080" w14:textId="77777777" w:rsidR="007C7256" w:rsidRPr="00FF286B" w:rsidRDefault="007C7256" w:rsidP="00F975A0">
            <w:pPr>
              <w:pStyle w:val="ACLTextFirstLine"/>
              <w:ind w:firstLine="0"/>
              <w:jc w:val="center"/>
              <w:rPr>
                <w:rFonts w:eastAsia="新細明體"/>
                <w:b/>
                <w:bCs/>
                <w:sz w:val="20"/>
                <w:szCs w:val="20"/>
                <w:lang w:eastAsia="zh-TW"/>
              </w:rPr>
            </w:pPr>
            <w:r w:rsidRPr="00664444">
              <w:rPr>
                <w:rFonts w:eastAsia="新細明體"/>
                <w:sz w:val="20"/>
                <w:szCs w:val="20"/>
                <w:lang w:eastAsia="zh-TW"/>
              </w:rPr>
              <w:t>0.035059</w:t>
            </w:r>
          </w:p>
        </w:tc>
        <w:tc>
          <w:tcPr>
            <w:tcW w:w="1418" w:type="dxa"/>
          </w:tcPr>
          <w:p w14:paraId="54A2AD78" w14:textId="77777777" w:rsidR="007C7256" w:rsidRPr="00FF286B" w:rsidRDefault="007C7256" w:rsidP="00F975A0">
            <w:pPr>
              <w:pStyle w:val="ACLTextFirstLine"/>
              <w:ind w:firstLine="0"/>
              <w:jc w:val="center"/>
              <w:rPr>
                <w:rFonts w:eastAsia="新細明體"/>
                <w:b/>
                <w:bCs/>
                <w:sz w:val="20"/>
                <w:szCs w:val="20"/>
                <w:lang w:eastAsia="zh-TW"/>
              </w:rPr>
            </w:pPr>
            <w:r w:rsidRPr="00664444">
              <w:rPr>
                <w:rFonts w:eastAsia="新細明體"/>
                <w:sz w:val="20"/>
                <w:szCs w:val="20"/>
                <w:lang w:eastAsia="zh-TW"/>
              </w:rPr>
              <w:t>0.002845</w:t>
            </w:r>
          </w:p>
        </w:tc>
      </w:tr>
      <w:tr w:rsidR="007C7256" w:rsidRPr="00FF286B" w14:paraId="76D06108" w14:textId="77777777" w:rsidTr="00F975A0">
        <w:tc>
          <w:tcPr>
            <w:tcW w:w="2122" w:type="dxa"/>
          </w:tcPr>
          <w:p w14:paraId="2970095A" w14:textId="77777777" w:rsidR="007C7256" w:rsidRPr="007A6CC0" w:rsidRDefault="007C7256" w:rsidP="00F975A0">
            <w:pPr>
              <w:pStyle w:val="ACLTextFirstLine"/>
              <w:ind w:firstLine="0"/>
              <w:jc w:val="center"/>
              <w:rPr>
                <w:rFonts w:eastAsia="新細明體"/>
                <w:sz w:val="20"/>
                <w:szCs w:val="20"/>
                <w:lang w:eastAsia="zh-TW"/>
              </w:rPr>
            </w:pPr>
            <w:proofErr w:type="spellStart"/>
            <w:r w:rsidRPr="00666104">
              <w:rPr>
                <w:rFonts w:eastAsia="新細明體"/>
                <w:sz w:val="20"/>
                <w:szCs w:val="20"/>
                <w:lang w:eastAsia="zh-TW"/>
              </w:rPr>
              <w:t>logit_variance</w:t>
            </w:r>
            <w:proofErr w:type="spellEnd"/>
          </w:p>
        </w:tc>
        <w:tc>
          <w:tcPr>
            <w:tcW w:w="1275" w:type="dxa"/>
          </w:tcPr>
          <w:p w14:paraId="4A23868E" w14:textId="77777777" w:rsidR="007C7256" w:rsidRPr="00C6530D" w:rsidRDefault="007C7256" w:rsidP="00F975A0">
            <w:pPr>
              <w:pStyle w:val="ACLTextFirstLine"/>
              <w:ind w:firstLine="0"/>
              <w:jc w:val="center"/>
              <w:rPr>
                <w:rFonts w:eastAsia="新細明體"/>
                <w:sz w:val="20"/>
                <w:szCs w:val="20"/>
                <w:lang w:eastAsia="zh-TW"/>
              </w:rPr>
            </w:pPr>
            <w:r w:rsidRPr="00664444">
              <w:rPr>
                <w:rFonts w:eastAsia="新細明體"/>
                <w:sz w:val="20"/>
                <w:szCs w:val="20"/>
                <w:lang w:eastAsia="zh-TW"/>
              </w:rPr>
              <w:t xml:space="preserve">0.105967       </w:t>
            </w:r>
          </w:p>
        </w:tc>
        <w:tc>
          <w:tcPr>
            <w:tcW w:w="1276" w:type="dxa"/>
          </w:tcPr>
          <w:p w14:paraId="4FEDCCA7" w14:textId="77777777" w:rsidR="007C7256" w:rsidRPr="00FF286B" w:rsidRDefault="007C7256" w:rsidP="00F975A0">
            <w:pPr>
              <w:pStyle w:val="ACLTextFirstLine"/>
              <w:ind w:firstLine="0"/>
              <w:jc w:val="center"/>
              <w:rPr>
                <w:rFonts w:eastAsia="新細明體"/>
                <w:b/>
                <w:bCs/>
                <w:sz w:val="20"/>
                <w:szCs w:val="20"/>
                <w:lang w:eastAsia="zh-TW"/>
              </w:rPr>
            </w:pPr>
            <w:r w:rsidRPr="00664444">
              <w:rPr>
                <w:rFonts w:eastAsia="新細明體"/>
                <w:sz w:val="20"/>
                <w:szCs w:val="20"/>
                <w:lang w:eastAsia="zh-TW"/>
              </w:rPr>
              <w:t>0.098287</w:t>
            </w:r>
          </w:p>
        </w:tc>
        <w:tc>
          <w:tcPr>
            <w:tcW w:w="1276" w:type="dxa"/>
          </w:tcPr>
          <w:p w14:paraId="70D0FF0D" w14:textId="77777777" w:rsidR="007C7256" w:rsidRPr="00FF286B" w:rsidRDefault="007C7256" w:rsidP="00F975A0">
            <w:pPr>
              <w:pStyle w:val="ACLTextFirstLine"/>
              <w:ind w:firstLine="0"/>
              <w:jc w:val="center"/>
              <w:rPr>
                <w:rFonts w:eastAsia="新細明體"/>
                <w:b/>
                <w:bCs/>
                <w:sz w:val="20"/>
                <w:szCs w:val="20"/>
                <w:lang w:eastAsia="zh-TW"/>
              </w:rPr>
            </w:pPr>
            <w:r w:rsidRPr="00664444">
              <w:rPr>
                <w:rFonts w:eastAsia="新細明體"/>
                <w:sz w:val="20"/>
                <w:szCs w:val="20"/>
                <w:lang w:eastAsia="zh-TW"/>
              </w:rPr>
              <w:t>0.986361</w:t>
            </w:r>
          </w:p>
        </w:tc>
        <w:tc>
          <w:tcPr>
            <w:tcW w:w="1417" w:type="dxa"/>
          </w:tcPr>
          <w:p w14:paraId="1CD59481" w14:textId="77777777" w:rsidR="007C7256" w:rsidRPr="00FF286B" w:rsidRDefault="007C7256" w:rsidP="00F975A0">
            <w:pPr>
              <w:pStyle w:val="ACLTextFirstLine"/>
              <w:ind w:firstLine="0"/>
              <w:jc w:val="center"/>
              <w:rPr>
                <w:rFonts w:eastAsia="新細明體"/>
                <w:b/>
                <w:bCs/>
                <w:sz w:val="20"/>
                <w:szCs w:val="20"/>
                <w:lang w:eastAsia="zh-TW"/>
              </w:rPr>
            </w:pPr>
            <w:r w:rsidRPr="00664444">
              <w:rPr>
                <w:rFonts w:eastAsia="新細明體"/>
                <w:sz w:val="20"/>
                <w:szCs w:val="20"/>
                <w:lang w:eastAsia="zh-TW"/>
              </w:rPr>
              <w:t>0.178760</w:t>
            </w:r>
          </w:p>
        </w:tc>
        <w:tc>
          <w:tcPr>
            <w:tcW w:w="1418" w:type="dxa"/>
          </w:tcPr>
          <w:p w14:paraId="48AED93A" w14:textId="77777777" w:rsidR="007C7256" w:rsidRPr="00FF286B" w:rsidRDefault="007C7256" w:rsidP="00F975A0">
            <w:pPr>
              <w:pStyle w:val="ACLTextFirstLine"/>
              <w:ind w:firstLine="0"/>
              <w:jc w:val="center"/>
              <w:rPr>
                <w:rFonts w:eastAsia="新細明體"/>
                <w:b/>
                <w:bCs/>
                <w:sz w:val="20"/>
                <w:szCs w:val="20"/>
                <w:lang w:eastAsia="zh-TW"/>
              </w:rPr>
            </w:pPr>
            <w:r w:rsidRPr="00664444">
              <w:rPr>
                <w:rFonts w:eastAsia="新細明體"/>
                <w:sz w:val="20"/>
                <w:szCs w:val="20"/>
                <w:lang w:eastAsia="zh-TW"/>
              </w:rPr>
              <w:t>-0.012059</w:t>
            </w:r>
          </w:p>
        </w:tc>
      </w:tr>
    </w:tbl>
    <w:p w14:paraId="29F72106" w14:textId="749FB06D" w:rsidR="00DB65D4" w:rsidRDefault="007C7256" w:rsidP="007C7256">
      <w:pPr>
        <w:pStyle w:val="ACLTextFirstLine"/>
        <w:ind w:firstLine="0"/>
        <w:jc w:val="center"/>
        <w:rPr>
          <w:rFonts w:eastAsia="標楷體"/>
          <w:lang w:eastAsia="zh-TW"/>
        </w:rPr>
      </w:pPr>
      <w:r>
        <w:rPr>
          <w:rFonts w:eastAsia="標楷體" w:hint="eastAsia"/>
          <w:lang w:eastAsia="zh-TW"/>
        </w:rPr>
        <w:t>表</w:t>
      </w:r>
      <w:r>
        <w:rPr>
          <w:rFonts w:eastAsia="標楷體" w:hint="eastAsia"/>
          <w:lang w:eastAsia="zh-TW"/>
        </w:rPr>
        <w:t>2</w:t>
      </w:r>
      <w:r>
        <w:rPr>
          <w:rFonts w:eastAsia="標楷體" w:hint="eastAsia"/>
          <w:lang w:eastAsia="zh-TW"/>
        </w:rPr>
        <w:t>：</w:t>
      </w:r>
      <w:r w:rsidRPr="00A83B27">
        <w:rPr>
          <w:rFonts w:ascii="標楷體" w:eastAsia="標楷體" w:hAnsi="標楷體"/>
          <w:sz w:val="20"/>
          <w:szCs w:val="20"/>
          <w:lang w:eastAsia="zh-TW"/>
        </w:rPr>
        <w:t>在完整資料集 (5000筆) 上的分類效能</w:t>
      </w:r>
    </w:p>
    <w:p w14:paraId="33275D61" w14:textId="77777777" w:rsidR="007C7256" w:rsidRDefault="007C7256" w:rsidP="00DB65D4">
      <w:pPr>
        <w:pStyle w:val="ACLTextFirstLine"/>
        <w:ind w:firstLine="0"/>
        <w:rPr>
          <w:rFonts w:eastAsia="標楷體"/>
          <w:lang w:eastAsia="zh-TW"/>
        </w:rPr>
        <w:sectPr w:rsidR="007C7256" w:rsidSect="007C7256">
          <w:type w:val="continuous"/>
          <w:pgSz w:w="11909" w:h="16834" w:code="9"/>
          <w:pgMar w:top="1411" w:right="1411" w:bottom="1440" w:left="1411" w:header="475" w:footer="360" w:gutter="0"/>
          <w:cols w:space="389"/>
          <w:docGrid w:linePitch="360"/>
        </w:sectPr>
      </w:pPr>
    </w:p>
    <w:p w14:paraId="4EAB524C" w14:textId="77777777" w:rsidR="007C7256" w:rsidRPr="00DB65D4" w:rsidRDefault="007C7256" w:rsidP="00DB65D4">
      <w:pPr>
        <w:pStyle w:val="ACLTextFirstLine"/>
        <w:ind w:firstLine="0"/>
        <w:rPr>
          <w:rFonts w:eastAsia="標楷體"/>
          <w:lang w:eastAsia="zh-TW"/>
        </w:rPr>
      </w:pPr>
    </w:p>
    <w:p w14:paraId="5DA7A993" w14:textId="3FDD0C3D" w:rsidR="007D44C8" w:rsidRPr="007D44C8" w:rsidRDefault="007D44C8" w:rsidP="007D44C8">
      <w:pPr>
        <w:pStyle w:val="ACLText"/>
        <w:rPr>
          <w:rFonts w:ascii="標楷體" w:eastAsia="標楷體" w:hAnsi="標楷體"/>
          <w:lang w:eastAsia="zh-TW"/>
        </w:rPr>
      </w:pPr>
      <w:r w:rsidRPr="007D44C8">
        <w:rPr>
          <w:rFonts w:ascii="標楷體" w:eastAsia="標楷體" w:hAnsi="標楷體"/>
          <w:lang w:eastAsia="zh-TW"/>
        </w:rPr>
        <w:t>更值得注意的是，我們提出的兩種新方法</w:t>
      </w:r>
      <w:r>
        <w:rPr>
          <w:rFonts w:ascii="標楷體" w:eastAsia="標楷體" w:hAnsi="標楷體" w:hint="eastAsia"/>
          <w:lang w:eastAsia="zh-TW"/>
        </w:rPr>
        <w:t xml:space="preserve">: </w:t>
      </w:r>
      <m:oMath>
        <m:r>
          <m:rPr>
            <m:sty m:val="bi"/>
          </m:rPr>
          <w:rPr>
            <w:rFonts w:ascii="Cambria Math" w:eastAsia="標楷體" w:hAnsi="Cambria Math"/>
            <w:lang w:eastAsia="zh-TW"/>
          </w:rPr>
          <m:t>evt_k</m:t>
        </m:r>
        <m:r>
          <m:rPr>
            <m:sty m:val="bi"/>
          </m:rPr>
          <w:rPr>
            <w:rFonts w:ascii="Cambria Math" w:eastAsia="標楷體" w:hAnsi="Cambria Math"/>
            <w:lang w:eastAsia="zh-TW"/>
          </w:rPr>
          <m:t>3</m:t>
        </m:r>
      </m:oMath>
      <w:r w:rsidRPr="007D44C8">
        <w:rPr>
          <w:rFonts w:ascii="標楷體" w:eastAsia="標楷體" w:hAnsi="標楷體"/>
          <w:b/>
          <w:bCs/>
          <w:lang w:eastAsia="zh-TW"/>
        </w:rPr>
        <w:t xml:space="preserve"> (極值理論)</w:t>
      </w:r>
      <w:r w:rsidRPr="007D44C8">
        <w:rPr>
          <w:rFonts w:ascii="標楷體" w:eastAsia="標楷體" w:hAnsi="標楷體"/>
          <w:lang w:eastAsia="zh-TW"/>
        </w:rPr>
        <w:t xml:space="preserve"> 和 </w:t>
      </w:r>
      <m:oMath>
        <m:r>
          <m:rPr>
            <m:sty m:val="bi"/>
          </m:rPr>
          <w:rPr>
            <w:rFonts w:ascii="Cambria Math" w:eastAsia="標楷體" w:hAnsi="Cambria Math"/>
            <w:lang w:eastAsia="zh-TW"/>
          </w:rPr>
          <m:t>kl_to_onehot</m:t>
        </m:r>
      </m:oMath>
      <w:r w:rsidRPr="007D44C8">
        <w:rPr>
          <w:rFonts w:ascii="標楷體" w:eastAsia="標楷體" w:hAnsi="標楷體"/>
          <w:b/>
          <w:bCs/>
          <w:lang w:eastAsia="zh-TW"/>
        </w:rPr>
        <w:t xml:space="preserve"> </w:t>
      </w:r>
      <w:r>
        <w:rPr>
          <w:rFonts w:ascii="標楷體" w:eastAsia="標楷體" w:hAnsi="標楷體" w:hint="eastAsia"/>
          <w:b/>
          <w:bCs/>
          <w:lang w:eastAsia="zh-TW"/>
        </w:rPr>
        <w:t>(</w:t>
      </w:r>
      <w:r w:rsidRPr="007D44C8">
        <w:rPr>
          <w:rFonts w:ascii="標楷體" w:eastAsia="標楷體" w:hAnsi="標楷體"/>
          <w:b/>
          <w:bCs/>
          <w:lang w:eastAsia="zh-TW"/>
        </w:rPr>
        <w:t>KL散度</w:t>
      </w:r>
      <w:r>
        <w:rPr>
          <w:rFonts w:ascii="標楷體" w:eastAsia="標楷體" w:hAnsi="標楷體" w:hint="eastAsia"/>
          <w:b/>
          <w:bCs/>
          <w:lang w:eastAsia="zh-TW"/>
        </w:rPr>
        <w:t>)</w:t>
      </w:r>
      <w:r w:rsidRPr="007D44C8">
        <w:rPr>
          <w:rFonts w:ascii="標楷體" w:eastAsia="標楷體" w:hAnsi="標楷體"/>
          <w:lang w:eastAsia="zh-TW"/>
        </w:rPr>
        <w:t>以幾乎可以忽略不計的微小差距（MCC 分別為 0.3695 和 0.3685）緊隨其後。我們可以將這幾種表現最好的方法歸納為兩大類成功的策略：</w:t>
      </w:r>
    </w:p>
    <w:p w14:paraId="04216424" w14:textId="3EE43019" w:rsidR="007D44C8" w:rsidRPr="007D44C8" w:rsidRDefault="007D44C8" w:rsidP="007C7256">
      <w:pPr>
        <w:pStyle w:val="ACLText"/>
        <w:numPr>
          <w:ilvl w:val="0"/>
          <w:numId w:val="25"/>
        </w:numPr>
        <w:tabs>
          <w:tab w:val="clear" w:pos="720"/>
        </w:tabs>
        <w:ind w:left="426"/>
        <w:rPr>
          <w:rFonts w:ascii="標楷體" w:eastAsia="標楷體" w:hAnsi="標楷體"/>
          <w:lang w:eastAsia="zh-TW"/>
        </w:rPr>
      </w:pPr>
      <w:r w:rsidRPr="007D44C8">
        <w:rPr>
          <w:rFonts w:ascii="標楷體" w:eastAsia="標楷體" w:hAnsi="標楷體"/>
          <w:b/>
          <w:bCs/>
          <w:lang w:eastAsia="zh-TW"/>
        </w:rPr>
        <w:t>衡量「區分度與信心強度」的策略</w:t>
      </w:r>
      <w:r w:rsidRPr="007D44C8">
        <w:rPr>
          <w:rFonts w:ascii="標楷體" w:eastAsia="標楷體" w:hAnsi="標楷體"/>
          <w:lang w:eastAsia="zh-TW"/>
        </w:rPr>
        <w:t>：</w:t>
      </w:r>
      <m:oMath>
        <m:r>
          <w:rPr>
            <w:rFonts w:ascii="Cambria Math" w:eastAsia="標楷體" w:hAnsi="Cambria Math"/>
            <w:lang w:eastAsia="zh-TW"/>
          </w:rPr>
          <m:t>mean_logit_margin</m:t>
        </m:r>
      </m:oMath>
      <w:r w:rsidRPr="007D44C8">
        <w:rPr>
          <w:rFonts w:ascii="標楷體" w:eastAsia="標楷體" w:hAnsi="標楷體"/>
          <w:lang w:eastAsia="zh-TW"/>
        </w:rPr>
        <w:t xml:space="preserve"> 和 evt_k3 都屬於此類。前者量化了目標音素在 logit 空間中與其他音素的</w:t>
      </w:r>
      <w:r w:rsidRPr="007D44C8">
        <w:rPr>
          <w:rFonts w:ascii="標楷體" w:eastAsia="標楷體" w:hAnsi="標楷體"/>
          <w:b/>
          <w:bCs/>
          <w:lang w:eastAsia="zh-TW"/>
        </w:rPr>
        <w:t>分離程度</w:t>
      </w:r>
      <w:r w:rsidRPr="007D44C8">
        <w:rPr>
          <w:rFonts w:ascii="標楷體" w:eastAsia="標楷體" w:hAnsi="標楷體"/>
          <w:lang w:eastAsia="zh-TW"/>
        </w:rPr>
        <w:t>，而後者則以更穩健的方式（</w:t>
      </w:r>
      <m:oMath>
        <m:r>
          <w:rPr>
            <w:rFonts w:ascii="Cambria Math" w:eastAsia="標楷體" w:hAnsi="Cambria Math"/>
            <w:lang w:eastAsia="zh-TW"/>
          </w:rPr>
          <m:t>top-k</m:t>
        </m:r>
      </m:oMath>
      <w:r w:rsidRPr="007D44C8">
        <w:rPr>
          <w:rFonts w:ascii="標楷體" w:eastAsia="標楷體" w:hAnsi="標楷體"/>
          <w:lang w:eastAsia="zh-TW"/>
        </w:rPr>
        <w:t>平均）度量了模型信心的</w:t>
      </w:r>
      <w:r w:rsidRPr="007D44C8">
        <w:rPr>
          <w:rFonts w:ascii="標楷體" w:eastAsia="標楷體" w:hAnsi="標楷體"/>
          <w:b/>
          <w:bCs/>
          <w:lang w:eastAsia="zh-TW"/>
        </w:rPr>
        <w:t>峰值強度</w:t>
      </w:r>
      <w:r w:rsidRPr="007D44C8">
        <w:rPr>
          <w:rFonts w:ascii="標楷體" w:eastAsia="標楷體" w:hAnsi="標楷體"/>
          <w:lang w:eastAsia="zh-TW"/>
        </w:rPr>
        <w:t>。它們的成功表明，一個清晰、明確、無歧義的高信心分數，是正確發音最核心的聲學體現。</w:t>
      </w:r>
    </w:p>
    <w:p w14:paraId="660FD88E" w14:textId="13D30F1D" w:rsidR="00AF763D" w:rsidRPr="007C7256" w:rsidRDefault="007D44C8" w:rsidP="007D44C8">
      <w:pPr>
        <w:pStyle w:val="ACLText"/>
        <w:numPr>
          <w:ilvl w:val="0"/>
          <w:numId w:val="25"/>
        </w:numPr>
        <w:tabs>
          <w:tab w:val="clear" w:pos="720"/>
          <w:tab w:val="num" w:pos="851"/>
        </w:tabs>
        <w:ind w:left="426"/>
        <w:rPr>
          <w:rFonts w:ascii="標楷體" w:eastAsia="標楷體" w:hAnsi="標楷體"/>
          <w:lang w:eastAsia="zh-TW"/>
        </w:rPr>
      </w:pPr>
      <w:r w:rsidRPr="007D44C8">
        <w:rPr>
          <w:rFonts w:ascii="標楷體" w:eastAsia="標楷體" w:hAnsi="標楷體"/>
          <w:b/>
          <w:bCs/>
          <w:lang w:eastAsia="zh-TW"/>
        </w:rPr>
        <w:t>衡量「模型總體確定性」的策略</w:t>
      </w:r>
      <w:r w:rsidRPr="007D44C8">
        <w:rPr>
          <w:rFonts w:ascii="標楷體" w:eastAsia="標楷體" w:hAnsi="標楷體"/>
          <w:lang w:eastAsia="zh-TW"/>
        </w:rPr>
        <w:t>：</w:t>
      </w:r>
      <m:oMath>
        <m:r>
          <w:rPr>
            <w:rFonts w:ascii="Cambria Math" w:eastAsia="標楷體" w:hAnsi="Cambria Math"/>
            <w:lang w:eastAsia="zh-TW"/>
          </w:rPr>
          <m:t>kl_to_onehot</m:t>
        </m:r>
      </m:oMath>
      <w:r w:rsidRPr="007D44C8">
        <w:rPr>
          <w:rFonts w:ascii="標楷體" w:eastAsia="標楷體" w:hAnsi="標楷體"/>
          <w:lang w:eastAsia="zh-TW"/>
        </w:rPr>
        <w:t xml:space="preserve"> 和 </w:t>
      </w:r>
      <m:oMath>
        <m:r>
          <w:rPr>
            <w:rFonts w:ascii="Cambria Math" w:eastAsia="標楷體" w:hAnsi="Cambria Math"/>
            <w:lang w:eastAsia="zh-TW"/>
          </w:rPr>
          <m:t>entropy_mean</m:t>
        </m:r>
      </m:oMath>
      <w:r w:rsidRPr="007D44C8">
        <w:rPr>
          <w:rFonts w:ascii="標楷體" w:eastAsia="標楷體" w:hAnsi="標楷體"/>
          <w:lang w:eastAsia="zh-TW"/>
        </w:rPr>
        <w:t xml:space="preserve"> 屬於此類。它們不只關心目標音素，而是評估整個輸出機率分佈的「混亂程度」。一個低的</w:t>
      </w:r>
      <m:oMath>
        <m:r>
          <w:rPr>
            <w:rFonts w:ascii="Cambria Math" w:eastAsia="標楷體" w:hAnsi="Cambria Math"/>
            <w:lang w:eastAsia="zh-TW"/>
          </w:rPr>
          <m:t>entropy_mean</m:t>
        </m:r>
      </m:oMath>
      <w:r w:rsidRPr="007D44C8">
        <w:rPr>
          <w:rFonts w:ascii="標楷體" w:eastAsia="標楷體" w:hAnsi="標楷體"/>
          <w:lang w:eastAsia="zh-TW"/>
        </w:rPr>
        <w:t xml:space="preserve"> 或 </w:t>
      </w:r>
      <m:oMath>
        <m:r>
          <w:rPr>
            <w:rFonts w:ascii="Cambria Math" w:eastAsia="標楷體" w:hAnsi="Cambria Math"/>
            <w:lang w:eastAsia="zh-TW"/>
          </w:rPr>
          <m:t>kl_to_onehot</m:t>
        </m:r>
      </m:oMath>
      <w:r w:rsidRPr="007D44C8">
        <w:rPr>
          <w:rFonts w:ascii="標楷體" w:eastAsia="標楷體" w:hAnsi="標楷體"/>
          <w:lang w:eastAsia="zh-TW"/>
        </w:rPr>
        <w:t xml:space="preserve"> 值，代表模型對於其預測非常確定，幾乎沒有將機率分配給其他競爭者。這從另一個角度驗證了，模型的</w:t>
      </w:r>
      <w:r w:rsidRPr="007D44C8">
        <w:rPr>
          <w:rFonts w:ascii="標楷體" w:eastAsia="標楷體" w:hAnsi="標楷體"/>
          <w:b/>
          <w:bCs/>
          <w:lang w:eastAsia="zh-TW"/>
        </w:rPr>
        <w:t>整體判斷確定性</w:t>
      </w:r>
      <w:r w:rsidRPr="007D44C8">
        <w:rPr>
          <w:rFonts w:ascii="標楷體" w:eastAsia="標楷體" w:hAnsi="標楷體"/>
          <w:lang w:eastAsia="zh-TW"/>
        </w:rPr>
        <w:t>也是區分發音品質的關鍵。</w:t>
      </w:r>
      <w:r w:rsidRPr="007D44C8">
        <w:rPr>
          <w:rFonts w:eastAsia="標楷體" w:hint="eastAsia"/>
          <w:sz w:val="24"/>
          <w:szCs w:val="20"/>
          <w:lang w:eastAsia="zh-TW"/>
        </w:rPr>
        <w:t>(</w:t>
      </w:r>
      <w:r w:rsidRPr="007D44C8">
        <w:rPr>
          <w:rFonts w:eastAsia="標楷體" w:hint="eastAsia"/>
          <w:sz w:val="24"/>
          <w:szCs w:val="20"/>
          <w:lang w:eastAsia="zh-TW"/>
        </w:rPr>
        <w:t>請參見附錄一</w:t>
      </w:r>
      <w:r w:rsidRPr="007D44C8">
        <w:rPr>
          <w:rFonts w:eastAsia="標楷體" w:hint="eastAsia"/>
          <w:sz w:val="24"/>
          <w:szCs w:val="20"/>
          <w:lang w:eastAsia="zh-TW"/>
        </w:rPr>
        <w:t>:</w:t>
      </w:r>
      <w:r w:rsidRPr="007D44C8">
        <w:rPr>
          <w:rFonts w:eastAsia="標楷體" w:hint="eastAsia"/>
          <w:sz w:val="24"/>
          <w:szCs w:val="20"/>
          <w:lang w:eastAsia="zh-TW"/>
        </w:rPr>
        <w:t>表</w:t>
      </w:r>
      <w:r>
        <w:rPr>
          <w:rFonts w:eastAsia="標楷體" w:hint="eastAsia"/>
          <w:sz w:val="24"/>
          <w:szCs w:val="20"/>
          <w:lang w:eastAsia="zh-TW"/>
        </w:rPr>
        <w:t>2</w:t>
      </w:r>
      <w:r w:rsidRPr="007D44C8">
        <w:rPr>
          <w:rFonts w:eastAsia="標楷體" w:hint="eastAsia"/>
          <w:sz w:val="24"/>
          <w:szCs w:val="20"/>
          <w:lang w:eastAsia="zh-TW"/>
        </w:rPr>
        <w:t>)</w:t>
      </w:r>
    </w:p>
    <w:p w14:paraId="7EE5CD0E" w14:textId="77777777" w:rsidR="00776120" w:rsidRPr="00776120" w:rsidRDefault="00776120" w:rsidP="00776120">
      <w:pPr>
        <w:pStyle w:val="ACLTextFirstLine"/>
        <w:ind w:firstLine="0"/>
        <w:rPr>
          <w:rFonts w:eastAsia="標楷體"/>
          <w:b/>
          <w:bCs/>
          <w:lang w:eastAsia="zh-TW"/>
        </w:rPr>
      </w:pPr>
      <w:r w:rsidRPr="00776120">
        <w:rPr>
          <w:rFonts w:eastAsia="標楷體"/>
          <w:b/>
          <w:bCs/>
          <w:lang w:eastAsia="zh-TW"/>
        </w:rPr>
        <w:t xml:space="preserve">3.4. </w:t>
      </w:r>
      <w:r w:rsidRPr="00776120">
        <w:rPr>
          <w:rFonts w:eastAsia="標楷體"/>
          <w:b/>
          <w:bCs/>
          <w:lang w:eastAsia="zh-TW"/>
        </w:rPr>
        <w:t>比較分析與圖表解讀</w:t>
      </w:r>
    </w:p>
    <w:p w14:paraId="50F8813E" w14:textId="77777777" w:rsidR="00776120" w:rsidRPr="00776120" w:rsidRDefault="00776120" w:rsidP="00776120">
      <w:pPr>
        <w:pStyle w:val="ACLTextFirstLine"/>
        <w:ind w:firstLine="0"/>
        <w:rPr>
          <w:rFonts w:eastAsia="標楷體"/>
          <w:lang w:eastAsia="zh-TW"/>
        </w:rPr>
      </w:pPr>
      <w:r w:rsidRPr="00776120">
        <w:rPr>
          <w:rFonts w:eastAsia="標楷體"/>
          <w:b/>
          <w:bCs/>
          <w:lang w:eastAsia="zh-TW"/>
        </w:rPr>
        <w:t>圖</w:t>
      </w:r>
      <w:r w:rsidRPr="00776120">
        <w:rPr>
          <w:rFonts w:eastAsia="標楷體"/>
          <w:b/>
          <w:bCs/>
          <w:lang w:eastAsia="zh-TW"/>
        </w:rPr>
        <w:t>1</w:t>
      </w:r>
      <w:r w:rsidRPr="00776120">
        <w:rPr>
          <w:rFonts w:eastAsia="標楷體"/>
          <w:lang w:eastAsia="zh-TW"/>
        </w:rPr>
        <w:t>為我們的實驗發現提供了強而有力的視覺證明，我們可以從中得出三個核心的建設性結論：</w:t>
      </w:r>
    </w:p>
    <w:p w14:paraId="68830003" w14:textId="77777777" w:rsidR="00776120" w:rsidRPr="00776120" w:rsidRDefault="00776120" w:rsidP="00776120">
      <w:pPr>
        <w:pStyle w:val="ACLTextFirstLine"/>
        <w:numPr>
          <w:ilvl w:val="0"/>
          <w:numId w:val="30"/>
        </w:numPr>
        <w:tabs>
          <w:tab w:val="clear" w:pos="720"/>
        </w:tabs>
        <w:ind w:left="426"/>
        <w:rPr>
          <w:rFonts w:eastAsia="標楷體"/>
          <w:lang w:eastAsia="zh-TW"/>
        </w:rPr>
      </w:pPr>
      <w:r w:rsidRPr="00776120">
        <w:rPr>
          <w:rFonts w:eastAsia="標楷體"/>
          <w:b/>
          <w:bCs/>
          <w:lang w:eastAsia="zh-TW"/>
        </w:rPr>
        <w:t>數據規模是性能的決定性因素</w:t>
      </w:r>
      <w:r w:rsidRPr="00776120">
        <w:rPr>
          <w:rFonts w:eastAsia="標楷體"/>
          <w:lang w:eastAsia="zh-TW"/>
        </w:rPr>
        <w:t>：從圖中可以一目了然地看到，幾乎所有指標的橘色長條（</w:t>
      </w:r>
      <w:r w:rsidRPr="00776120">
        <w:rPr>
          <w:rFonts w:eastAsia="標楷體"/>
          <w:lang w:eastAsia="zh-TW"/>
        </w:rPr>
        <w:t>5000</w:t>
      </w:r>
      <w:r w:rsidRPr="00776120">
        <w:rPr>
          <w:rFonts w:eastAsia="標楷體"/>
          <w:lang w:eastAsia="zh-TW"/>
        </w:rPr>
        <w:t>筆）都遠高於其對應的藍色長條（</w:t>
      </w:r>
      <w:r w:rsidRPr="00776120">
        <w:rPr>
          <w:rFonts w:eastAsia="標楷體"/>
          <w:lang w:eastAsia="zh-TW"/>
        </w:rPr>
        <w:t>2500</w:t>
      </w:r>
      <w:r w:rsidRPr="00776120">
        <w:rPr>
          <w:rFonts w:eastAsia="標楷體"/>
          <w:lang w:eastAsia="zh-TW"/>
        </w:rPr>
        <w:t>筆）。這直觀地證明了數據規模對於</w:t>
      </w:r>
      <w:r w:rsidRPr="00776120">
        <w:rPr>
          <w:rFonts w:eastAsia="標楷體"/>
          <w:lang w:eastAsia="zh-TW"/>
        </w:rPr>
        <w:t xml:space="preserve"> logit-based </w:t>
      </w:r>
      <w:r w:rsidRPr="00776120">
        <w:rPr>
          <w:rFonts w:eastAsia="標楷體"/>
          <w:lang w:eastAsia="zh-TW"/>
        </w:rPr>
        <w:t>指標的有效性至關重要。更多的數據顯著提升了各指標尋找穩定分類門檻的能力，從而大幅提高了發音錯誤檢測的效能。</w:t>
      </w:r>
    </w:p>
    <w:p w14:paraId="04A460CA" w14:textId="389C1EC7" w:rsidR="00776120" w:rsidRPr="00776120" w:rsidRDefault="00776120" w:rsidP="007C7256">
      <w:pPr>
        <w:pStyle w:val="ACLTextFirstLine"/>
        <w:numPr>
          <w:ilvl w:val="0"/>
          <w:numId w:val="30"/>
        </w:numPr>
        <w:ind w:left="426"/>
        <w:jc w:val="left"/>
        <w:rPr>
          <w:rFonts w:eastAsia="標楷體"/>
          <w:lang w:eastAsia="zh-TW"/>
        </w:rPr>
      </w:pPr>
      <w:r w:rsidRPr="00776120">
        <w:rPr>
          <w:rFonts w:eastAsia="標楷體"/>
          <w:b/>
          <w:bCs/>
          <w:lang w:eastAsia="zh-TW"/>
        </w:rPr>
        <w:t>指標排名的「反轉效應」</w:t>
      </w:r>
      <w:r w:rsidRPr="00776120">
        <w:rPr>
          <w:rFonts w:eastAsia="標楷體"/>
          <w:lang w:eastAsia="zh-TW"/>
        </w:rPr>
        <w:t>：圖</w:t>
      </w:r>
      <w:r w:rsidRPr="00776120">
        <w:rPr>
          <w:rFonts w:eastAsia="標楷體"/>
          <w:lang w:eastAsia="zh-TW"/>
        </w:rPr>
        <w:t>1</w:t>
      </w:r>
      <w:r w:rsidRPr="00776120">
        <w:rPr>
          <w:rFonts w:eastAsia="標楷體"/>
          <w:lang w:eastAsia="zh-TW"/>
        </w:rPr>
        <w:t>最核心的洞見在於它清晰地揭示了指標排名的「反轉」。在藍色長條中，</w:t>
      </w:r>
      <w:r w:rsidRPr="00776120">
        <w:rPr>
          <w:rFonts w:eastAsia="標楷體"/>
          <w:lang w:eastAsia="zh-TW"/>
        </w:rPr>
        <w:t xml:space="preserve">kurtosis </w:t>
      </w:r>
      <w:r w:rsidRPr="00776120">
        <w:rPr>
          <w:rFonts w:eastAsia="標楷體"/>
          <w:lang w:eastAsia="zh-TW"/>
        </w:rPr>
        <w:t>和</w:t>
      </w:r>
      <w:r w:rsidRPr="00776120">
        <w:rPr>
          <w:rFonts w:eastAsia="標楷體"/>
          <w:lang w:eastAsia="zh-TW"/>
        </w:rPr>
        <w:t xml:space="preserve"> skewness </w:t>
      </w:r>
      <w:r w:rsidRPr="00776120">
        <w:rPr>
          <w:rFonts w:eastAsia="標楷體"/>
          <w:lang w:eastAsia="zh-TW"/>
        </w:rPr>
        <w:t>是相對的領先者；然而在橘色長條中，它們的表現被</w:t>
      </w:r>
      <w:r w:rsidRPr="00776120">
        <w:rPr>
          <w:rFonts w:eastAsia="標楷體"/>
          <w:lang w:eastAsia="zh-TW"/>
        </w:rPr>
        <w:t xml:space="preserve"> </w:t>
      </w:r>
      <w:r w:rsidR="000B1D6A">
        <w:rPr>
          <w:rFonts w:eastAsia="標楷體"/>
          <w:lang w:eastAsia="zh-TW"/>
        </w:rPr>
        <w:t>mean_logit_margin</w:t>
      </w:r>
      <w:r w:rsidRPr="00776120">
        <w:rPr>
          <w:rFonts w:eastAsia="標楷體"/>
          <w:lang w:eastAsia="zh-TW"/>
        </w:rPr>
        <w:t xml:space="preserve">, </w:t>
      </w:r>
      <w:r w:rsidR="000B1D6A">
        <w:rPr>
          <w:rFonts w:eastAsia="標楷體"/>
          <w:lang w:eastAsia="zh-TW"/>
        </w:rPr>
        <w:t>evt_k3</w:t>
      </w:r>
      <w:r w:rsidRPr="00776120">
        <w:rPr>
          <w:rFonts w:eastAsia="標楷體"/>
          <w:lang w:eastAsia="zh-TW"/>
        </w:rPr>
        <w:t>等指標遠遠超越。這個「反轉」現象極具建設性，它告訴我們：</w:t>
      </w:r>
    </w:p>
    <w:p w14:paraId="3121D5DD" w14:textId="16B9DD92" w:rsidR="00776120" w:rsidRPr="00776120" w:rsidRDefault="00776120" w:rsidP="00874EC6">
      <w:pPr>
        <w:pStyle w:val="ACLTextFirstLine"/>
        <w:numPr>
          <w:ilvl w:val="1"/>
          <w:numId w:val="30"/>
        </w:numPr>
        <w:tabs>
          <w:tab w:val="clear" w:pos="1440"/>
        </w:tabs>
        <w:ind w:left="426"/>
        <w:rPr>
          <w:rFonts w:eastAsia="標楷體"/>
          <w:lang w:eastAsia="zh-TW"/>
        </w:rPr>
      </w:pPr>
      <w:r w:rsidRPr="00776120">
        <w:rPr>
          <w:rFonts w:eastAsia="標楷體"/>
          <w:b/>
          <w:bCs/>
          <w:lang w:eastAsia="zh-TW"/>
        </w:rPr>
        <w:lastRenderedPageBreak/>
        <w:t>在數據量不足、信號可能充滿雜訊時</w:t>
      </w:r>
      <w:r w:rsidRPr="00776120">
        <w:rPr>
          <w:rFonts w:eastAsia="標楷體"/>
          <w:lang w:eastAsia="zh-TW"/>
        </w:rPr>
        <w:t>，</w:t>
      </w:r>
      <w:r w:rsidRPr="00776120">
        <w:rPr>
          <w:rFonts w:eastAsia="標楷體"/>
          <w:lang w:eastAsia="zh-TW"/>
        </w:rPr>
        <w:t xml:space="preserve">logit </w:t>
      </w:r>
      <w:r w:rsidRPr="00776120">
        <w:rPr>
          <w:rFonts w:eastAsia="標楷體"/>
          <w:lang w:eastAsia="zh-TW"/>
        </w:rPr>
        <w:t>分佈的「形狀」（如峰度和偏度）是一個比絕對數值更穩健、更可靠的判斷依據。</w:t>
      </w:r>
    </w:p>
    <w:p w14:paraId="7A1646C3" w14:textId="13AFE517" w:rsidR="00776120" w:rsidRPr="00776120" w:rsidRDefault="00776120" w:rsidP="00874EC6">
      <w:pPr>
        <w:pStyle w:val="ACLTextFirstLine"/>
        <w:numPr>
          <w:ilvl w:val="1"/>
          <w:numId w:val="30"/>
        </w:numPr>
        <w:ind w:left="426"/>
        <w:rPr>
          <w:rFonts w:eastAsia="標楷體"/>
          <w:lang w:eastAsia="zh-TW"/>
        </w:rPr>
      </w:pPr>
      <w:r w:rsidRPr="00776120">
        <w:rPr>
          <w:rFonts w:eastAsia="標楷體"/>
          <w:b/>
          <w:bCs/>
          <w:lang w:eastAsia="zh-TW"/>
        </w:rPr>
        <w:t>當數據量充足、模型判斷更穩定時</w:t>
      </w:r>
      <w:r w:rsidRPr="00776120">
        <w:rPr>
          <w:rFonts w:eastAsia="標楷體"/>
          <w:lang w:eastAsia="zh-TW"/>
        </w:rPr>
        <w:t>，</w:t>
      </w:r>
      <w:r w:rsidRPr="00776120">
        <w:rPr>
          <w:rFonts w:eastAsia="標楷體"/>
          <w:lang w:eastAsia="zh-TW"/>
        </w:rPr>
        <w:t>logit</w:t>
      </w:r>
      <w:r w:rsidRPr="00776120">
        <w:rPr>
          <w:rFonts w:eastAsia="標楷體"/>
          <w:lang w:eastAsia="zh-TW"/>
        </w:rPr>
        <w:t>的「區分度」</w:t>
      </w:r>
      <w:r w:rsidR="007C7256" w:rsidRPr="007C7256">
        <w:rPr>
          <w:rFonts w:eastAsia="標楷體" w:hint="eastAsia"/>
          <w:lang w:eastAsia="zh-TW"/>
        </w:rPr>
        <w:t>(</w:t>
      </w:r>
      <w:r w:rsidR="007C7256" w:rsidRPr="007C7256">
        <w:rPr>
          <w:rFonts w:eastAsia="標楷體"/>
          <w:lang w:eastAsia="zh-TW"/>
        </w:rPr>
        <w:t>mean_logit_margin)</w:t>
      </w:r>
      <w:r w:rsidRPr="007C7256">
        <w:rPr>
          <w:rFonts w:eastAsia="標楷體"/>
          <w:lang w:eastAsia="zh-TW"/>
        </w:rPr>
        <w:t>和</w:t>
      </w:r>
      <w:r w:rsidRPr="00776120">
        <w:rPr>
          <w:rFonts w:eastAsia="標楷體"/>
          <w:lang w:eastAsia="zh-TW"/>
        </w:rPr>
        <w:t>「峰值強度」（</w:t>
      </w:r>
      <w:r w:rsidR="007C7256">
        <w:rPr>
          <w:rFonts w:eastAsia="標楷體" w:hint="eastAsia"/>
          <w:lang w:eastAsia="zh-TW"/>
        </w:rPr>
        <w:t>e</w:t>
      </w:r>
      <w:r w:rsidR="007C7256">
        <w:rPr>
          <w:rFonts w:eastAsia="標楷體"/>
          <w:lang w:eastAsia="zh-TW"/>
        </w:rPr>
        <w:t>vt_k3</w:t>
      </w:r>
      <w:r w:rsidRPr="00776120">
        <w:rPr>
          <w:rFonts w:eastAsia="標楷體"/>
          <w:lang w:eastAsia="zh-TW"/>
        </w:rPr>
        <w:t>）這些更直接的指標，則成為了最強大的分類特徵。</w:t>
      </w:r>
    </w:p>
    <w:p w14:paraId="1B46237F" w14:textId="6EF2D018" w:rsidR="00874EC6" w:rsidRDefault="00776120" w:rsidP="00874EC6">
      <w:pPr>
        <w:pStyle w:val="ACLTextFirstLine"/>
        <w:numPr>
          <w:ilvl w:val="0"/>
          <w:numId w:val="30"/>
        </w:numPr>
        <w:tabs>
          <w:tab w:val="clear" w:pos="720"/>
        </w:tabs>
        <w:ind w:left="426"/>
        <w:rPr>
          <w:rFonts w:eastAsia="標楷體"/>
          <w:lang w:eastAsia="zh-TW"/>
        </w:rPr>
        <w:sectPr w:rsidR="00874EC6" w:rsidSect="007C7256">
          <w:type w:val="continuous"/>
          <w:pgSz w:w="11909" w:h="16834" w:code="9"/>
          <w:pgMar w:top="1411" w:right="1411" w:bottom="1440" w:left="1411" w:header="475" w:footer="360" w:gutter="0"/>
          <w:cols w:num="2" w:space="389"/>
          <w:docGrid w:linePitch="360"/>
        </w:sectPr>
      </w:pPr>
      <w:r w:rsidRPr="00776120">
        <w:rPr>
          <w:rFonts w:eastAsia="標楷體"/>
          <w:b/>
          <w:bCs/>
          <w:lang w:eastAsia="zh-TW"/>
        </w:rPr>
        <w:t>頂尖指標的收斂</w:t>
      </w:r>
      <w:r w:rsidRPr="00776120">
        <w:rPr>
          <w:rFonts w:eastAsia="標楷體"/>
          <w:lang w:eastAsia="zh-TW"/>
        </w:rPr>
        <w:t>：在</w:t>
      </w:r>
      <w:r w:rsidRPr="00776120">
        <w:rPr>
          <w:rFonts w:eastAsia="標楷體"/>
          <w:lang w:eastAsia="zh-TW"/>
        </w:rPr>
        <w:t>5000</w:t>
      </w:r>
      <w:r w:rsidRPr="00776120">
        <w:rPr>
          <w:rFonts w:eastAsia="標楷體"/>
          <w:lang w:eastAsia="zh-TW"/>
        </w:rPr>
        <w:t>筆數據的結果中（橘色長條），我們可以看到排名前四</w:t>
      </w:r>
      <w:r w:rsidRPr="00776120">
        <w:rPr>
          <w:rFonts w:eastAsia="標楷體"/>
          <w:lang w:eastAsia="zh-TW"/>
        </w:rPr>
        <w:t>的指標</w:t>
      </w:r>
      <w:r w:rsidR="007C7256">
        <w:rPr>
          <w:rFonts w:eastAsia="標楷體" w:hint="eastAsia"/>
          <w:lang w:eastAsia="zh-TW"/>
        </w:rPr>
        <w:t>m</w:t>
      </w:r>
      <w:r w:rsidR="007C7256">
        <w:rPr>
          <w:rFonts w:eastAsia="標楷體"/>
          <w:lang w:eastAsia="zh-TW"/>
        </w:rPr>
        <w:t>ean_logit_margin</w:t>
      </w:r>
      <w:r w:rsidRPr="00776120">
        <w:rPr>
          <w:rFonts w:eastAsia="標楷體"/>
          <w:lang w:eastAsia="zh-TW"/>
        </w:rPr>
        <w:t xml:space="preserve">, </w:t>
      </w:r>
      <w:r w:rsidR="007C7256">
        <w:rPr>
          <w:rFonts w:eastAsia="標楷體"/>
          <w:lang w:eastAsia="zh-TW"/>
        </w:rPr>
        <w:t>evt_k3</w:t>
      </w:r>
      <w:r w:rsidRPr="00776120">
        <w:rPr>
          <w:rFonts w:eastAsia="標楷體"/>
          <w:lang w:eastAsia="zh-TW"/>
        </w:rPr>
        <w:t xml:space="preserve">, </w:t>
      </w:r>
      <w:r w:rsidR="007C7256">
        <w:rPr>
          <w:rFonts w:eastAsia="標楷體"/>
          <w:lang w:eastAsia="zh-TW"/>
        </w:rPr>
        <w:t>kl_to_onehot</w:t>
      </w:r>
      <w:r w:rsidRPr="00776120">
        <w:rPr>
          <w:rFonts w:eastAsia="標楷體"/>
          <w:lang w:eastAsia="zh-TW"/>
        </w:rPr>
        <w:t>,</w:t>
      </w:r>
      <w:r w:rsidR="007C7256">
        <w:rPr>
          <w:rFonts w:eastAsia="標楷體"/>
          <w:lang w:eastAsia="zh-TW"/>
        </w:rPr>
        <w:t xml:space="preserve"> entropy_mean</w:t>
      </w:r>
      <w:r w:rsidRPr="00776120">
        <w:rPr>
          <w:rFonts w:eastAsia="標楷體"/>
          <w:lang w:eastAsia="zh-TW"/>
        </w:rPr>
        <w:t xml:space="preserve">) </w:t>
      </w:r>
      <w:r w:rsidRPr="00776120">
        <w:rPr>
          <w:rFonts w:eastAsia="標楷體"/>
          <w:lang w:eastAsia="zh-TW"/>
        </w:rPr>
        <w:t>形成了性能非常接近的「第一梯隊」。這建設性地指出，儘管這些指標的計算方式各不相同（分別代表區分度、峰值信心、與理想分佈的差距、模型混亂度），但它們都從不同側面有效地捕捉了「模型判斷的確定性」這一核心概念。這意味著未來的研究可以嘗試將這些頂級指標進行融合，以期達到更佳的性能。</w:t>
      </w:r>
    </w:p>
    <w:p w14:paraId="2FFE7C5E" w14:textId="3A529598" w:rsidR="00DE33E9" w:rsidRDefault="00DE33E9" w:rsidP="00296EC8">
      <w:pPr>
        <w:pStyle w:val="ACLTextFirstLine"/>
        <w:ind w:firstLine="0"/>
        <w:rPr>
          <w:rFonts w:eastAsia="標楷體"/>
          <w:lang w:eastAsia="zh-TW"/>
        </w:rPr>
      </w:pPr>
    </w:p>
    <w:p w14:paraId="477A38C1" w14:textId="4B91648B" w:rsidR="001F43F0" w:rsidRDefault="00296EC8" w:rsidP="001F43F0">
      <w:pPr>
        <w:pStyle w:val="ACLTextFirstLine"/>
        <w:ind w:left="426" w:firstLine="0"/>
        <w:rPr>
          <w:rFonts w:eastAsia="標楷體"/>
          <w:lang w:eastAsia="zh-TW"/>
        </w:rPr>
      </w:pPr>
      <w:r>
        <w:rPr>
          <w:rFonts w:eastAsia="標楷體" w:hint="eastAsia"/>
          <w:noProof/>
          <w:lang w:eastAsia="zh-TW"/>
        </w:rPr>
        <w:drawing>
          <wp:inline distT="0" distB="0" distL="0" distR="0" wp14:anchorId="23CB076F" wp14:editId="4F7B0600">
            <wp:extent cx="5770245" cy="4808855"/>
            <wp:effectExtent l="0" t="0" r="0" b="4445"/>
            <wp:docPr id="13736801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68016" name="圖片 13736801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70245" cy="4808855"/>
                    </a:xfrm>
                    <a:prstGeom prst="rect">
                      <a:avLst/>
                    </a:prstGeom>
                  </pic:spPr>
                </pic:pic>
              </a:graphicData>
            </a:graphic>
          </wp:inline>
        </w:drawing>
      </w:r>
    </w:p>
    <w:p w14:paraId="0C654F76" w14:textId="77777777" w:rsidR="00874EC6" w:rsidRDefault="00874EC6" w:rsidP="00874EC6">
      <w:pPr>
        <w:pStyle w:val="ACLTextFirstLine"/>
        <w:ind w:left="426" w:firstLine="0"/>
        <w:rPr>
          <w:rFonts w:eastAsia="標楷體"/>
          <w:lang w:eastAsia="zh-TW"/>
        </w:rPr>
        <w:sectPr w:rsidR="00874EC6" w:rsidSect="00874EC6">
          <w:type w:val="continuous"/>
          <w:pgSz w:w="11909" w:h="16834" w:code="9"/>
          <w:pgMar w:top="1411" w:right="1411" w:bottom="1440" w:left="1411" w:header="475" w:footer="360" w:gutter="0"/>
          <w:cols w:space="389"/>
          <w:docGrid w:linePitch="360"/>
        </w:sectPr>
      </w:pPr>
    </w:p>
    <w:p w14:paraId="7224BD9D" w14:textId="5851DBFF" w:rsidR="00874EC6" w:rsidRDefault="001F43F0" w:rsidP="001762F7">
      <w:pPr>
        <w:pStyle w:val="ACLTextFirstLine"/>
        <w:ind w:left="426" w:firstLineChars="950" w:firstLine="2071"/>
        <w:jc w:val="left"/>
        <w:rPr>
          <w:rFonts w:ascii="標楷體" w:eastAsia="標楷體" w:hAnsi="標楷體"/>
          <w:lang w:eastAsia="zh-TW"/>
        </w:rPr>
      </w:pPr>
      <w:r>
        <w:rPr>
          <w:rFonts w:ascii="標楷體" w:eastAsia="標楷體" w:hAnsi="標楷體" w:hint="eastAsia"/>
          <w:lang w:eastAsia="zh-TW"/>
        </w:rPr>
        <w:t>圖1：</w:t>
      </w:r>
      <w:r w:rsidRPr="009D55CC">
        <w:rPr>
          <w:rFonts w:eastAsia="標楷體"/>
          <w:lang w:eastAsia="zh-TW"/>
        </w:rPr>
        <w:t>Speechocean762</w:t>
      </w:r>
      <w:r>
        <w:rPr>
          <w:rFonts w:ascii="標楷體" w:eastAsia="標楷體" w:hAnsi="標楷體" w:hint="eastAsia"/>
          <w:lang w:eastAsia="zh-TW"/>
        </w:rPr>
        <w:t>資料集</w:t>
      </w:r>
      <w:r w:rsidRPr="009D55CC">
        <w:rPr>
          <w:rFonts w:eastAsia="標楷體"/>
          <w:lang w:eastAsia="zh-TW"/>
        </w:rPr>
        <w:t>GOP</w:t>
      </w:r>
      <w:r>
        <w:rPr>
          <w:rFonts w:ascii="標楷體" w:eastAsia="標楷體" w:hAnsi="標楷體" w:hint="eastAsia"/>
          <w:lang w:eastAsia="zh-TW"/>
        </w:rPr>
        <w:t>分數分佈的比較</w:t>
      </w:r>
      <w:r w:rsidR="001762F7">
        <w:rPr>
          <w:rFonts w:ascii="標楷體" w:eastAsia="標楷體" w:hAnsi="標楷體"/>
          <w:lang w:eastAsia="zh-TW"/>
        </w:rPr>
        <w:br/>
      </w:r>
    </w:p>
    <w:p w14:paraId="6CBFE6BF" w14:textId="77777777" w:rsidR="001F43F0" w:rsidRDefault="001F43F0" w:rsidP="001F43F0">
      <w:pPr>
        <w:pStyle w:val="ACLTextFirstLine"/>
        <w:ind w:left="426" w:firstLineChars="950" w:firstLine="2071"/>
        <w:rPr>
          <w:rFonts w:eastAsia="標楷體"/>
          <w:lang w:eastAsia="zh-TW"/>
        </w:rPr>
        <w:sectPr w:rsidR="001F43F0" w:rsidSect="001F43F0">
          <w:type w:val="continuous"/>
          <w:pgSz w:w="11909" w:h="16834" w:code="9"/>
          <w:pgMar w:top="1411" w:right="1411" w:bottom="1440" w:left="1411" w:header="475" w:footer="360" w:gutter="0"/>
          <w:cols w:space="389"/>
          <w:docGrid w:linePitch="360"/>
        </w:sectPr>
      </w:pPr>
    </w:p>
    <w:p w14:paraId="6CD9D2D4" w14:textId="4E556382" w:rsidR="009E0D58" w:rsidRPr="009E0D58" w:rsidRDefault="00EA7A7D" w:rsidP="009E0D58">
      <w:pPr>
        <w:pStyle w:val="ACLText"/>
        <w:rPr>
          <w:rFonts w:eastAsia="標楷體"/>
          <w:b/>
          <w:spacing w:val="0"/>
          <w:kern w:val="0"/>
          <w:sz w:val="24"/>
          <w:szCs w:val="20"/>
          <w:lang w:eastAsia="zh-TW"/>
        </w:rPr>
      </w:pPr>
      <w:r w:rsidRPr="00EA7A7D">
        <w:rPr>
          <w:rFonts w:eastAsia="標楷體" w:hint="eastAsia"/>
          <w:b/>
          <w:spacing w:val="0"/>
          <w:kern w:val="0"/>
          <w:sz w:val="24"/>
          <w:szCs w:val="20"/>
          <w:lang w:eastAsia="zh-TW"/>
        </w:rPr>
        <w:t xml:space="preserve">4. </w:t>
      </w:r>
      <w:r w:rsidRPr="00EA7A7D">
        <w:rPr>
          <w:rFonts w:eastAsia="標楷體" w:hint="eastAsia"/>
          <w:b/>
          <w:spacing w:val="0"/>
          <w:kern w:val="0"/>
          <w:sz w:val="24"/>
          <w:szCs w:val="20"/>
          <w:lang w:eastAsia="zh-TW"/>
        </w:rPr>
        <w:t>結論</w:t>
      </w:r>
      <w:r w:rsidRPr="00EA7A7D">
        <w:rPr>
          <w:rFonts w:eastAsia="標楷體" w:hint="eastAsia"/>
          <w:b/>
          <w:spacing w:val="0"/>
          <w:kern w:val="0"/>
          <w:sz w:val="24"/>
          <w:szCs w:val="20"/>
          <w:lang w:eastAsia="zh-TW"/>
        </w:rPr>
        <w:t xml:space="preserve"> (Conclusion)</w:t>
      </w:r>
    </w:p>
    <w:p w14:paraId="4CED9F4A" w14:textId="77777777" w:rsidR="009E0D58" w:rsidRPr="009E0D58" w:rsidRDefault="009E0D58" w:rsidP="009E0D58">
      <w:pPr>
        <w:pStyle w:val="ACLText"/>
        <w:rPr>
          <w:rFonts w:eastAsia="標楷體"/>
          <w:bCs/>
          <w:sz w:val="24"/>
          <w:szCs w:val="20"/>
          <w:lang w:eastAsia="zh-TW"/>
        </w:rPr>
      </w:pPr>
      <w:r w:rsidRPr="00874EC6">
        <w:rPr>
          <w:rFonts w:eastAsia="標楷體"/>
          <w:bCs/>
          <w:lang w:eastAsia="zh-TW"/>
        </w:rPr>
        <w:t>本研究旨在系統性地擴展</w:t>
      </w:r>
      <w:r w:rsidRPr="00874EC6">
        <w:rPr>
          <w:rFonts w:eastAsia="標楷體"/>
          <w:bCs/>
          <w:lang w:eastAsia="zh-TW"/>
        </w:rPr>
        <w:t xml:space="preserve"> logit-based GOP </w:t>
      </w:r>
      <w:r w:rsidRPr="00874EC6">
        <w:rPr>
          <w:rFonts w:eastAsia="標楷體"/>
          <w:bCs/>
          <w:lang w:eastAsia="zh-TW"/>
        </w:rPr>
        <w:t>分數的計算維度，探討超越傳統基本統計量（如</w:t>
      </w:r>
      <w:r w:rsidRPr="00874EC6">
        <w:rPr>
          <w:rFonts w:eastAsia="標楷體"/>
          <w:bCs/>
          <w:lang w:eastAsia="zh-TW"/>
        </w:rPr>
        <w:t>最大值、變異數）的進階統計特徵，在發音錯誤檢測任務上的有效性。我們提出並實作了一套涵蓋分佈形狀（高階動差）、模型不確</w:t>
      </w:r>
      <w:r w:rsidRPr="00874EC6">
        <w:rPr>
          <w:rFonts w:eastAsia="標楷體"/>
          <w:bCs/>
          <w:lang w:eastAsia="zh-TW"/>
        </w:rPr>
        <w:lastRenderedPageBreak/>
        <w:t>定性（資訊理論）、時間穩定性（自相關分析）等多面向的指標，並透過在</w:t>
      </w:r>
      <w:r w:rsidRPr="00874EC6">
        <w:rPr>
          <w:rFonts w:eastAsia="標楷體"/>
          <w:bCs/>
          <w:lang w:eastAsia="zh-TW"/>
        </w:rPr>
        <w:t xml:space="preserve"> SpeechOcean762 </w:t>
      </w:r>
      <w:r w:rsidRPr="00874EC6">
        <w:rPr>
          <w:rFonts w:eastAsia="標楷體"/>
          <w:bCs/>
          <w:lang w:eastAsia="zh-TW"/>
        </w:rPr>
        <w:t>資料集的訓練集（</w:t>
      </w:r>
      <w:r w:rsidRPr="00874EC6">
        <w:rPr>
          <w:rFonts w:eastAsia="標楷體"/>
          <w:bCs/>
          <w:lang w:eastAsia="zh-TW"/>
        </w:rPr>
        <w:t>2500</w:t>
      </w:r>
      <w:r w:rsidRPr="00874EC6">
        <w:rPr>
          <w:rFonts w:eastAsia="標楷體"/>
          <w:bCs/>
          <w:lang w:eastAsia="zh-TW"/>
        </w:rPr>
        <w:t>筆）與完整資料集（</w:t>
      </w:r>
      <w:r w:rsidRPr="00874EC6">
        <w:rPr>
          <w:rFonts w:eastAsia="標楷體"/>
          <w:bCs/>
          <w:lang w:eastAsia="zh-TW"/>
        </w:rPr>
        <w:t>5000</w:t>
      </w:r>
      <w:r w:rsidRPr="00874EC6">
        <w:rPr>
          <w:rFonts w:eastAsia="標楷體"/>
          <w:bCs/>
          <w:lang w:eastAsia="zh-TW"/>
        </w:rPr>
        <w:t>筆）上進行的兩階段實驗，嚴謹地評估了這些指標的性能與穩定性。</w:t>
      </w:r>
    </w:p>
    <w:p w14:paraId="5304A7BC" w14:textId="77777777" w:rsidR="009E0D58" w:rsidRPr="009E0D58" w:rsidRDefault="009E0D58" w:rsidP="009E0D58">
      <w:pPr>
        <w:pStyle w:val="ACLText"/>
        <w:rPr>
          <w:rFonts w:eastAsia="標楷體"/>
          <w:bCs/>
          <w:sz w:val="24"/>
          <w:szCs w:val="20"/>
          <w:lang w:eastAsia="zh-TW"/>
        </w:rPr>
      </w:pPr>
      <w:r w:rsidRPr="009E0D58">
        <w:rPr>
          <w:rFonts w:eastAsia="標楷體"/>
          <w:bCs/>
          <w:sz w:val="24"/>
          <w:szCs w:val="20"/>
          <w:lang w:eastAsia="zh-TW"/>
        </w:rPr>
        <w:t>我們的研究得出了一個核心且具指導性的結論：</w:t>
      </w:r>
      <w:r w:rsidRPr="009E0D58">
        <w:rPr>
          <w:rFonts w:eastAsia="標楷體"/>
          <w:b/>
          <w:bCs/>
          <w:sz w:val="24"/>
          <w:szCs w:val="20"/>
          <w:lang w:eastAsia="zh-TW"/>
        </w:rPr>
        <w:t xml:space="preserve">logit-based GOP </w:t>
      </w:r>
      <w:r w:rsidRPr="009E0D58">
        <w:rPr>
          <w:rFonts w:eastAsia="標楷體"/>
          <w:b/>
          <w:bCs/>
          <w:sz w:val="24"/>
          <w:szCs w:val="20"/>
          <w:lang w:eastAsia="zh-TW"/>
        </w:rPr>
        <w:t>指標的有效性與最佳選擇，高度依賴於實驗數據的規模。</w:t>
      </w:r>
    </w:p>
    <w:p w14:paraId="74A3A691" w14:textId="51F4799B" w:rsidR="009E0D58" w:rsidRPr="00874EC6" w:rsidRDefault="009E0D58" w:rsidP="00321AB3">
      <w:pPr>
        <w:pStyle w:val="ACLText"/>
        <w:numPr>
          <w:ilvl w:val="0"/>
          <w:numId w:val="27"/>
        </w:numPr>
        <w:tabs>
          <w:tab w:val="clear" w:pos="720"/>
        </w:tabs>
        <w:ind w:left="426"/>
        <w:rPr>
          <w:rFonts w:eastAsia="標楷體"/>
          <w:bCs/>
          <w:lang w:eastAsia="zh-TW"/>
        </w:rPr>
      </w:pPr>
      <w:r w:rsidRPr="00874EC6">
        <w:rPr>
          <w:rFonts w:eastAsia="標楷體"/>
          <w:bCs/>
          <w:lang w:eastAsia="zh-TW"/>
        </w:rPr>
        <w:t>在數據量較少的初步實驗中，描述</w:t>
      </w:r>
      <w:r w:rsidRPr="00874EC6">
        <w:rPr>
          <w:rFonts w:eastAsia="標楷體"/>
          <w:bCs/>
          <w:lang w:eastAsia="zh-TW"/>
        </w:rPr>
        <w:t xml:space="preserve"> logit </w:t>
      </w:r>
      <w:r w:rsidRPr="00874EC6">
        <w:rPr>
          <w:rFonts w:eastAsia="標楷體"/>
          <w:bCs/>
          <w:lang w:eastAsia="zh-TW"/>
        </w:rPr>
        <w:t>分佈「形狀」</w:t>
      </w:r>
      <w:r w:rsidRPr="00874EC6">
        <w:rPr>
          <w:rFonts w:eastAsia="標楷體"/>
          <w:b/>
          <w:bCs/>
          <w:lang w:eastAsia="zh-TW"/>
        </w:rPr>
        <w:t>的指標，特別是</w:t>
      </w:r>
      <w:r w:rsidRPr="00874EC6">
        <w:rPr>
          <w:rFonts w:eastAsia="標楷體"/>
          <w:bCs/>
          <w:lang w:eastAsia="zh-TW"/>
        </w:rPr>
        <w:t>峰度</w:t>
      </w:r>
      <w:r w:rsidRPr="00874EC6">
        <w:rPr>
          <w:rFonts w:eastAsia="標楷體"/>
          <w:bCs/>
          <w:lang w:eastAsia="zh-TW"/>
        </w:rPr>
        <w:t xml:space="preserve"> (kurtosis)</w:t>
      </w:r>
      <w:r w:rsidRPr="00874EC6">
        <w:rPr>
          <w:rFonts w:eastAsia="標楷體"/>
          <w:bCs/>
          <w:lang w:eastAsia="zh-TW"/>
        </w:rPr>
        <w:t>，展現出相對最佳的分類潛力。這表明在數據稀疏、雜訊較多的情況下，</w:t>
      </w:r>
      <w:r w:rsidRPr="00874EC6">
        <w:rPr>
          <w:rFonts w:eastAsia="標楷體"/>
          <w:bCs/>
          <w:lang w:eastAsia="zh-TW"/>
        </w:rPr>
        <w:t xml:space="preserve">logit </w:t>
      </w:r>
      <w:r w:rsidRPr="00874EC6">
        <w:rPr>
          <w:rFonts w:eastAsia="標楷體"/>
          <w:bCs/>
          <w:lang w:eastAsia="zh-TW"/>
        </w:rPr>
        <w:t>分佈的異常形狀可能是比其數值大小更穩健的錯誤信號。</w:t>
      </w:r>
    </w:p>
    <w:p w14:paraId="453A0F9F" w14:textId="04B76D66" w:rsidR="009E0D58" w:rsidRPr="00874EC6" w:rsidRDefault="009E0D58" w:rsidP="00321AB3">
      <w:pPr>
        <w:pStyle w:val="ACLText"/>
        <w:numPr>
          <w:ilvl w:val="0"/>
          <w:numId w:val="27"/>
        </w:numPr>
        <w:tabs>
          <w:tab w:val="clear" w:pos="720"/>
        </w:tabs>
        <w:ind w:left="426"/>
        <w:rPr>
          <w:rFonts w:eastAsia="標楷體"/>
          <w:bCs/>
          <w:lang w:eastAsia="zh-TW"/>
        </w:rPr>
      </w:pPr>
      <w:r w:rsidRPr="00874EC6">
        <w:rPr>
          <w:rFonts w:eastAsia="標楷體"/>
          <w:bCs/>
          <w:lang w:eastAsia="zh-TW"/>
        </w:rPr>
        <w:t>然而，在數據量加倍的完整實驗中，描述</w:t>
      </w:r>
      <w:r w:rsidRPr="00874EC6">
        <w:rPr>
          <w:rFonts w:eastAsia="標楷體"/>
          <w:bCs/>
          <w:lang w:eastAsia="zh-TW"/>
        </w:rPr>
        <w:t xml:space="preserve"> logit </w:t>
      </w:r>
      <w:r w:rsidRPr="00874EC6">
        <w:rPr>
          <w:rFonts w:eastAsia="標楷體"/>
          <w:b/>
          <w:bCs/>
          <w:lang w:eastAsia="zh-TW"/>
        </w:rPr>
        <w:t>「區分度」</w:t>
      </w:r>
      <w:r w:rsidRPr="00874EC6">
        <w:rPr>
          <w:rFonts w:eastAsia="標楷體"/>
          <w:lang w:eastAsia="zh-TW"/>
        </w:rPr>
        <w:t xml:space="preserve"> (</w:t>
      </w:r>
      <w:r w:rsidR="00874EC6" w:rsidRPr="00874EC6">
        <w:rPr>
          <w:rFonts w:eastAsia="標楷體"/>
          <w:lang w:eastAsia="zh-TW"/>
        </w:rPr>
        <w:t>mean_logit_margin</w:t>
      </w:r>
      <w:r w:rsidRPr="00874EC6">
        <w:rPr>
          <w:rFonts w:eastAsia="標楷體"/>
          <w:lang w:eastAsia="zh-TW"/>
        </w:rPr>
        <w:t xml:space="preserve">) </w:t>
      </w:r>
      <w:r w:rsidRPr="00874EC6">
        <w:rPr>
          <w:rFonts w:eastAsia="標楷體"/>
          <w:bCs/>
          <w:lang w:eastAsia="zh-TW"/>
        </w:rPr>
        <w:t>和「峰值信心」</w:t>
      </w:r>
      <w:r w:rsidRPr="00874EC6">
        <w:rPr>
          <w:rFonts w:eastAsia="標楷體"/>
          <w:bCs/>
          <w:lang w:eastAsia="zh-TW"/>
        </w:rPr>
        <w:t xml:space="preserve"> (</w:t>
      </w:r>
      <w:r w:rsidR="00874EC6" w:rsidRPr="00874EC6">
        <w:rPr>
          <w:rFonts w:eastAsia="標楷體"/>
          <w:bCs/>
          <w:lang w:eastAsia="zh-TW"/>
        </w:rPr>
        <w:t>evt_k3</w:t>
      </w:r>
      <w:r w:rsidRPr="00874EC6">
        <w:rPr>
          <w:rFonts w:eastAsia="標楷體"/>
          <w:bCs/>
          <w:lang w:eastAsia="zh-TW"/>
        </w:rPr>
        <w:t>)</w:t>
      </w:r>
      <w:r w:rsidRPr="00874EC6">
        <w:rPr>
          <w:rFonts w:eastAsia="標楷體"/>
          <w:bCs/>
          <w:lang w:eastAsia="zh-TW"/>
        </w:rPr>
        <w:t>的指標則逆轉成為表現最強的特徵。這證實了當有足夠的數據支撐時，模型對正確音素明確、高置信度的判斷，是區分發音正確與否最直接且有效的依據。</w:t>
      </w:r>
    </w:p>
    <w:p w14:paraId="5F7625D8" w14:textId="77777777" w:rsidR="009E0D58" w:rsidRPr="009E0D58" w:rsidRDefault="009E0D58" w:rsidP="009E0D58">
      <w:pPr>
        <w:pStyle w:val="ACLText"/>
        <w:rPr>
          <w:rFonts w:eastAsia="標楷體"/>
          <w:b/>
          <w:bCs/>
          <w:sz w:val="24"/>
          <w:szCs w:val="20"/>
          <w:lang w:eastAsia="zh-TW"/>
        </w:rPr>
      </w:pPr>
      <w:r w:rsidRPr="009E0D58">
        <w:rPr>
          <w:rFonts w:eastAsia="標楷體"/>
          <w:b/>
          <w:bCs/>
          <w:sz w:val="24"/>
          <w:szCs w:val="20"/>
          <w:lang w:eastAsia="zh-TW"/>
        </w:rPr>
        <w:t>研究限制與未來展望</w:t>
      </w:r>
      <w:r w:rsidRPr="009E0D58">
        <w:rPr>
          <w:rFonts w:eastAsia="標楷體"/>
          <w:b/>
          <w:bCs/>
          <w:sz w:val="24"/>
          <w:szCs w:val="20"/>
          <w:lang w:eastAsia="zh-TW"/>
        </w:rPr>
        <w:t xml:space="preserve"> (Limitations and Future Work)</w:t>
      </w:r>
    </w:p>
    <w:p w14:paraId="5296BC90" w14:textId="77777777" w:rsidR="009E0D58" w:rsidRPr="00874EC6" w:rsidRDefault="009E0D58" w:rsidP="009E0D58">
      <w:pPr>
        <w:pStyle w:val="ACLText"/>
        <w:rPr>
          <w:rFonts w:eastAsia="標楷體"/>
          <w:bCs/>
          <w:lang w:eastAsia="zh-TW"/>
        </w:rPr>
      </w:pPr>
      <w:r w:rsidRPr="00874EC6">
        <w:rPr>
          <w:rFonts w:eastAsia="標楷體"/>
          <w:bCs/>
          <w:lang w:eastAsia="zh-TW"/>
        </w:rPr>
        <w:t>本次研究的主要限制是，我們僅評估了每種統計指標作為單一分類器的性能。基於本次的發現，我們規畫了幾個未來可能的研究方向：</w:t>
      </w:r>
    </w:p>
    <w:p w14:paraId="7BCCCC22" w14:textId="39169553" w:rsidR="009E0D58" w:rsidRPr="00874EC6" w:rsidRDefault="009E0D58" w:rsidP="006E0382">
      <w:pPr>
        <w:pStyle w:val="ACLText"/>
        <w:numPr>
          <w:ilvl w:val="0"/>
          <w:numId w:val="28"/>
        </w:numPr>
        <w:tabs>
          <w:tab w:val="clear" w:pos="720"/>
        </w:tabs>
        <w:ind w:left="426"/>
        <w:rPr>
          <w:rFonts w:eastAsia="標楷體"/>
          <w:bCs/>
          <w:lang w:eastAsia="zh-TW"/>
        </w:rPr>
      </w:pPr>
      <w:r w:rsidRPr="00874EC6">
        <w:rPr>
          <w:rFonts w:eastAsia="標楷體"/>
          <w:b/>
          <w:bCs/>
          <w:lang w:eastAsia="zh-TW"/>
        </w:rPr>
        <w:t>特徵融合建模</w:t>
      </w:r>
      <w:r w:rsidRPr="00874EC6">
        <w:rPr>
          <w:rFonts w:eastAsia="標楷體"/>
          <w:bCs/>
          <w:lang w:eastAsia="zh-TW"/>
        </w:rPr>
        <w:t>：最關鍵的下一步是將在完整資料集上表現最好的多個特徵（如</w:t>
      </w:r>
      <w:proofErr w:type="spellStart"/>
      <w:r w:rsidR="006E0382" w:rsidRPr="00874EC6">
        <w:rPr>
          <w:rFonts w:eastAsia="標楷體" w:hint="eastAsia"/>
          <w:bCs/>
          <w:lang w:eastAsia="zh-TW"/>
        </w:rPr>
        <w:t>m</w:t>
      </w:r>
      <w:r w:rsidR="006E0382" w:rsidRPr="00874EC6">
        <w:rPr>
          <w:rFonts w:eastAsia="標楷體"/>
          <w:bCs/>
          <w:lang w:eastAsia="zh-TW"/>
        </w:rPr>
        <w:t>ean_login_margin</w:t>
      </w:r>
      <w:proofErr w:type="spellEnd"/>
      <w:r w:rsidR="006E0382" w:rsidRPr="00874EC6">
        <w:rPr>
          <w:rFonts w:eastAsia="標楷體"/>
          <w:bCs/>
          <w:lang w:eastAsia="zh-TW"/>
        </w:rPr>
        <w:t>, evt_k3</w:t>
      </w:r>
      <w:r w:rsidRPr="00874EC6">
        <w:rPr>
          <w:rFonts w:eastAsia="標楷體"/>
          <w:bCs/>
          <w:lang w:eastAsia="zh-TW"/>
        </w:rPr>
        <w:t>,</w:t>
      </w:r>
      <w:r w:rsidR="00874EC6" w:rsidRPr="00874EC6">
        <w:rPr>
          <w:rFonts w:eastAsia="標楷體"/>
          <w:bCs/>
          <w:lang w:eastAsia="zh-TW"/>
        </w:rPr>
        <w:t xml:space="preserve"> </w:t>
      </w:r>
      <w:proofErr w:type="spellStart"/>
      <w:r w:rsidR="00874EC6" w:rsidRPr="00874EC6">
        <w:rPr>
          <w:rFonts w:eastAsia="標楷體"/>
          <w:bCs/>
          <w:lang w:eastAsia="zh-TW"/>
        </w:rPr>
        <w:t>kl_to_onehot</w:t>
      </w:r>
      <w:proofErr w:type="spellEnd"/>
      <w:r w:rsidRPr="00874EC6">
        <w:rPr>
          <w:rFonts w:eastAsia="標楷體"/>
          <w:bCs/>
          <w:lang w:eastAsia="zh-TW"/>
        </w:rPr>
        <w:t>等）</w:t>
      </w:r>
      <w:r w:rsidRPr="00874EC6">
        <w:rPr>
          <w:rFonts w:eastAsia="標楷體"/>
          <w:b/>
          <w:bCs/>
          <w:lang w:eastAsia="zh-TW"/>
        </w:rPr>
        <w:t>融合</w:t>
      </w:r>
      <w:r w:rsidRPr="00874EC6">
        <w:rPr>
          <w:rFonts w:eastAsia="標楷體"/>
          <w:bCs/>
          <w:lang w:eastAsia="zh-TW"/>
        </w:rPr>
        <w:t>起來，共同作為一個更強大的機器學習分類器（例如邏輯迴歸、梯度提升樹等）的輸入。我們預期這種多維度的</w:t>
      </w:r>
      <w:r w:rsidRPr="00874EC6">
        <w:rPr>
          <w:rFonts w:eastAsia="標楷體"/>
          <w:bCs/>
          <w:lang w:eastAsia="zh-TW"/>
        </w:rPr>
        <w:t>綜合判斷，其性能將顯著超越任何單一特徵。</w:t>
      </w:r>
    </w:p>
    <w:p w14:paraId="7AC01CCC" w14:textId="77777777" w:rsidR="009E0D58" w:rsidRPr="00874EC6" w:rsidRDefault="009E0D58" w:rsidP="00874EC6">
      <w:pPr>
        <w:pStyle w:val="ACLText"/>
        <w:numPr>
          <w:ilvl w:val="0"/>
          <w:numId w:val="28"/>
        </w:numPr>
        <w:tabs>
          <w:tab w:val="clear" w:pos="720"/>
        </w:tabs>
        <w:ind w:left="426"/>
        <w:rPr>
          <w:rFonts w:eastAsia="標楷體"/>
          <w:bCs/>
          <w:lang w:eastAsia="zh-TW"/>
        </w:rPr>
      </w:pPr>
      <w:r w:rsidRPr="00874EC6">
        <w:rPr>
          <w:rFonts w:eastAsia="標楷體"/>
          <w:b/>
          <w:bCs/>
          <w:lang w:eastAsia="zh-TW"/>
        </w:rPr>
        <w:t>數據規模的深入探討</w:t>
      </w:r>
      <w:r w:rsidRPr="00874EC6">
        <w:rPr>
          <w:rFonts w:eastAsia="標楷體"/>
          <w:bCs/>
          <w:lang w:eastAsia="zh-TW"/>
        </w:rPr>
        <w:t>：未來的研究可以進一步探討「形狀」指標與「區分度」指標發生性能交叉的數據量級，這有助於為不同規模的發音評估任務，提供自適應的特徵選擇策略。</w:t>
      </w:r>
    </w:p>
    <w:p w14:paraId="371DC668" w14:textId="77777777" w:rsidR="009E0D58" w:rsidRPr="00874EC6" w:rsidRDefault="009E0D58" w:rsidP="00874EC6">
      <w:pPr>
        <w:pStyle w:val="ACLText"/>
        <w:numPr>
          <w:ilvl w:val="0"/>
          <w:numId w:val="28"/>
        </w:numPr>
        <w:tabs>
          <w:tab w:val="clear" w:pos="720"/>
        </w:tabs>
        <w:ind w:left="426"/>
        <w:rPr>
          <w:rFonts w:eastAsia="標楷體"/>
          <w:bCs/>
          <w:lang w:eastAsia="zh-TW"/>
        </w:rPr>
      </w:pPr>
      <w:r w:rsidRPr="00874EC6">
        <w:rPr>
          <w:rFonts w:eastAsia="標楷體"/>
          <w:b/>
          <w:bCs/>
          <w:lang w:eastAsia="zh-TW"/>
        </w:rPr>
        <w:t>跨模型與跨語言的泛化性驗證</w:t>
      </w:r>
      <w:r w:rsidRPr="00874EC6">
        <w:rPr>
          <w:rFonts w:eastAsia="標楷體"/>
          <w:bCs/>
          <w:lang w:eastAsia="zh-TW"/>
        </w:rPr>
        <w:t>：本研究的發現基於單一聲學模型，未來可將這些統計指標應用於不同的模型架構（如</w:t>
      </w:r>
      <w:r w:rsidRPr="00874EC6">
        <w:rPr>
          <w:rFonts w:eastAsia="標楷體"/>
          <w:bCs/>
          <w:lang w:eastAsia="zh-TW"/>
        </w:rPr>
        <w:t xml:space="preserve"> Whisper</w:t>
      </w:r>
      <w:r w:rsidRPr="00874EC6">
        <w:rPr>
          <w:rFonts w:eastAsia="標楷體"/>
          <w:bCs/>
          <w:lang w:eastAsia="zh-TW"/>
        </w:rPr>
        <w:t>）或不同母語背景的學習者，以驗證我們結論的泛化能力。</w:t>
      </w:r>
    </w:p>
    <w:p w14:paraId="64E049A5" w14:textId="25A61B30" w:rsidR="000273CF" w:rsidRPr="00874EC6" w:rsidRDefault="009E0D58" w:rsidP="000273CF">
      <w:pPr>
        <w:pStyle w:val="ACLText"/>
        <w:rPr>
          <w:rFonts w:eastAsia="標楷體"/>
          <w:bCs/>
          <w:sz w:val="24"/>
          <w:szCs w:val="20"/>
          <w:lang w:eastAsia="zh-TW"/>
        </w:rPr>
      </w:pPr>
      <w:r w:rsidRPr="00874EC6">
        <w:rPr>
          <w:rFonts w:eastAsia="標楷體"/>
          <w:bCs/>
          <w:lang w:eastAsia="zh-TW"/>
        </w:rPr>
        <w:t>總而言之，本研究不僅系統性地評估了一系列創新的</w:t>
      </w:r>
      <w:r w:rsidRPr="00874EC6">
        <w:rPr>
          <w:rFonts w:eastAsia="標楷體"/>
          <w:bCs/>
          <w:lang w:eastAsia="zh-TW"/>
        </w:rPr>
        <w:t xml:space="preserve"> logit-based GOP </w:t>
      </w:r>
      <w:r w:rsidRPr="00874EC6">
        <w:rPr>
          <w:rFonts w:eastAsia="標楷體"/>
          <w:bCs/>
          <w:lang w:eastAsia="zh-TW"/>
        </w:rPr>
        <w:t>指標，更重要的是揭示了數據規模對指標選擇的關鍵影響，並為未來的發音評估研究，從「尋找單一最佳指標」轉向「根據條件進行多指標融合」，提供了堅實的實證基礎。</w:t>
      </w:r>
    </w:p>
    <w:p w14:paraId="4A995A71" w14:textId="20770EB1" w:rsidR="00490093" w:rsidRPr="009266A0" w:rsidRDefault="00490093" w:rsidP="00EE03F8">
      <w:pPr>
        <w:pStyle w:val="ACLReferencesHeader"/>
        <w:rPr>
          <w:rFonts w:eastAsia="標楷體"/>
        </w:rPr>
      </w:pPr>
      <w:r w:rsidRPr="009266A0">
        <w:rPr>
          <w:rFonts w:eastAsia="標楷體"/>
        </w:rPr>
        <w:t xml:space="preserve">References </w:t>
      </w:r>
      <w:bookmarkStart w:id="1" w:name="AhoUllman72"/>
    </w:p>
    <w:p w14:paraId="0801A1C0" w14:textId="600FCC69" w:rsidR="00E111B9" w:rsidRDefault="00E111B9" w:rsidP="00E111B9">
      <w:pPr>
        <w:pStyle w:val="ACLReferencesText"/>
        <w:numPr>
          <w:ilvl w:val="0"/>
          <w:numId w:val="29"/>
        </w:numPr>
        <w:tabs>
          <w:tab w:val="clear" w:pos="720"/>
        </w:tabs>
        <w:ind w:left="284"/>
        <w:rPr>
          <w:rFonts w:eastAsia="標楷體"/>
        </w:rPr>
      </w:pPr>
      <w:bookmarkStart w:id="2" w:name="APA83"/>
      <w:bookmarkEnd w:id="1"/>
      <w:r w:rsidRPr="00E111B9">
        <w:rPr>
          <w:rFonts w:eastAsia="標楷體"/>
        </w:rPr>
        <w:t>Aditya Kamlesh Parikh, Cristian Tejedor-Garcia, Catia Cucchiarini, Helmer Strik</w:t>
      </w:r>
      <w:r w:rsidRPr="009266A0">
        <w:rPr>
          <w:rFonts w:eastAsia="標楷體"/>
        </w:rPr>
        <w:t>.</w:t>
      </w:r>
      <w:r w:rsidRPr="001A221F">
        <w:rPr>
          <w:rFonts w:eastAsia="標楷體"/>
          <w:color w:val="8496B0" w:themeColor="text2" w:themeTint="99"/>
        </w:rPr>
        <w:t xml:space="preserve"> </w:t>
      </w:r>
      <w:r w:rsidRPr="001A221F">
        <w:rPr>
          <w:rFonts w:eastAsia="標楷體"/>
          <w:i/>
          <w:iCs/>
          <w:color w:val="1F3864" w:themeColor="accent1" w:themeShade="80"/>
        </w:rPr>
        <w:t>Evaluating Logit-Based GOP Scores for Mispronunciation Detection</w:t>
      </w:r>
      <w:r w:rsidRPr="009266A0">
        <w:rPr>
          <w:rFonts w:eastAsia="標楷體"/>
          <w:i/>
          <w:iCs/>
        </w:rPr>
        <w:t>, volume 1</w:t>
      </w:r>
      <w:r w:rsidRPr="009266A0">
        <w:rPr>
          <w:rFonts w:eastAsia="標楷體"/>
        </w:rPr>
        <w:t xml:space="preserve">. </w:t>
      </w:r>
      <w:r>
        <w:rPr>
          <w:rFonts w:eastAsia="標楷體" w:hint="eastAsia"/>
          <w:lang w:eastAsia="zh-TW"/>
        </w:rPr>
        <w:t>Interspeech 2025</w:t>
      </w:r>
      <w:r w:rsidRPr="009266A0">
        <w:rPr>
          <w:rFonts w:eastAsia="標楷體"/>
        </w:rPr>
        <w:t>.</w:t>
      </w:r>
    </w:p>
    <w:p w14:paraId="5B2E4D85" w14:textId="7DF7D3BB" w:rsidR="00E111B9" w:rsidRDefault="00E111B9" w:rsidP="00E111B9">
      <w:pPr>
        <w:pStyle w:val="ACLReferencesText"/>
        <w:numPr>
          <w:ilvl w:val="0"/>
          <w:numId w:val="29"/>
        </w:numPr>
        <w:tabs>
          <w:tab w:val="clear" w:pos="720"/>
        </w:tabs>
        <w:ind w:left="284"/>
        <w:rPr>
          <w:rFonts w:eastAsia="標楷體"/>
        </w:rPr>
      </w:pPr>
      <w:r w:rsidRPr="00E111B9">
        <w:rPr>
          <w:rFonts w:eastAsia="標楷體"/>
        </w:rPr>
        <w:t xml:space="preserve">Bi-Cheng Yan, Jiun-Ting Li, Yi-Cheng Wang, Hsin-Wei Wang, Tien-Hong Lo, Yung-Chang Hsu, Wei-Cheng Chao, Berlin Chen, </w:t>
      </w:r>
      <w:hyperlink r:id="rId10" w:tgtFrame="_blank" w:history="1">
        <w:r w:rsidRPr="00E111B9">
          <w:rPr>
            <w:rStyle w:val="aa"/>
            <w:rFonts w:eastAsia="標楷體"/>
            <w:i/>
            <w:iCs/>
            <w:spacing w:val="0"/>
          </w:rPr>
          <w:t>An effective pronunciation assessment approach leveraging hierarchical Transformers and pre-training strategies</w:t>
        </w:r>
      </w:hyperlink>
      <w:r w:rsidRPr="00E111B9">
        <w:rPr>
          <w:rFonts w:eastAsia="標楷體"/>
        </w:rPr>
        <w:t>, the 62nd Annual Meeting of the Association for Computational Linguistics (</w:t>
      </w:r>
      <w:hyperlink r:id="rId11" w:tgtFrame="_blank" w:history="1">
        <w:r w:rsidRPr="00E111B9">
          <w:rPr>
            <w:rStyle w:val="aa"/>
            <w:rFonts w:eastAsia="標楷體"/>
            <w:spacing w:val="0"/>
          </w:rPr>
          <w:t>ACL 2024</w:t>
        </w:r>
      </w:hyperlink>
      <w:r w:rsidRPr="00E111B9">
        <w:rPr>
          <w:rFonts w:eastAsia="標楷體"/>
        </w:rPr>
        <w:t>),  Bangkok, Thailand, August 11-16, 2024.  (Long Paper)</w:t>
      </w:r>
    </w:p>
    <w:p w14:paraId="406C6CA6" w14:textId="1460A598" w:rsidR="00D17AAB" w:rsidRDefault="001A221F" w:rsidP="001A221F">
      <w:pPr>
        <w:pStyle w:val="ACLReferencesText"/>
        <w:numPr>
          <w:ilvl w:val="0"/>
          <w:numId w:val="29"/>
        </w:numPr>
        <w:tabs>
          <w:tab w:val="clear" w:pos="720"/>
        </w:tabs>
        <w:ind w:left="284"/>
        <w:rPr>
          <w:rFonts w:eastAsia="標楷體"/>
        </w:rPr>
      </w:pPr>
      <w:r w:rsidRPr="001A221F">
        <w:rPr>
          <w:rFonts w:eastAsia="標楷體"/>
        </w:rPr>
        <w:t>Tzu-Hsuan Yang, Yue-Yang He, Berlin Chen</w:t>
      </w:r>
      <w:r>
        <w:rPr>
          <w:rFonts w:eastAsia="標楷體" w:hint="eastAsia"/>
          <w:lang w:eastAsia="zh-TW"/>
        </w:rPr>
        <w:t xml:space="preserve">, </w:t>
      </w:r>
      <w:r w:rsidRPr="001A221F">
        <w:rPr>
          <w:rFonts w:eastAsia="標楷體"/>
          <w:i/>
          <w:iCs/>
          <w:lang w:eastAsia="zh-TW"/>
        </w:rPr>
        <w:t xml:space="preserve">JCAPT: </w:t>
      </w:r>
      <w:r w:rsidRPr="001A221F">
        <w:rPr>
          <w:rFonts w:eastAsia="標楷體"/>
          <w:i/>
          <w:iCs/>
          <w:color w:val="1F3864" w:themeColor="accent1" w:themeShade="80"/>
          <w:lang w:eastAsia="zh-TW"/>
        </w:rPr>
        <w:t>A Joint Modeling Approach for CAPT</w:t>
      </w:r>
      <w:r>
        <w:rPr>
          <w:rFonts w:eastAsia="標楷體" w:hint="eastAsia"/>
          <w:lang w:eastAsia="zh-TW"/>
        </w:rPr>
        <w:t xml:space="preserve">, </w:t>
      </w:r>
      <w:r>
        <w:rPr>
          <w:rFonts w:eastAsia="標楷體"/>
          <w:lang w:eastAsia="zh-TW"/>
        </w:rPr>
        <w:br/>
      </w:r>
      <w:r w:rsidRPr="001A221F">
        <w:rPr>
          <w:rFonts w:eastAsia="標楷體"/>
        </w:rPr>
        <w:t> ISCA SLaTE-2025 Workshop</w:t>
      </w:r>
      <w:r>
        <w:rPr>
          <w:rFonts w:eastAsia="標楷體" w:hint="eastAsia"/>
          <w:lang w:eastAsia="zh-TW"/>
        </w:rPr>
        <w:t>.</w:t>
      </w:r>
    </w:p>
    <w:p w14:paraId="30CAD279" w14:textId="4BA30898" w:rsidR="001A221F" w:rsidRPr="001A221F" w:rsidRDefault="001A221F" w:rsidP="001A221F">
      <w:pPr>
        <w:pStyle w:val="ACLReferencesText"/>
        <w:numPr>
          <w:ilvl w:val="0"/>
          <w:numId w:val="29"/>
        </w:numPr>
        <w:tabs>
          <w:tab w:val="clear" w:pos="720"/>
        </w:tabs>
        <w:ind w:left="284"/>
        <w:rPr>
          <w:rFonts w:eastAsia="標楷體"/>
          <w:b/>
          <w:bCs/>
          <w:lang w:eastAsia="zh-TW"/>
        </w:rPr>
      </w:pPr>
      <w:r w:rsidRPr="001A221F">
        <w:rPr>
          <w:rFonts w:eastAsia="標楷體"/>
        </w:rPr>
        <w:t>Yassine El Kheir, Ahmed Ali and Shammur Absar Chowdhury</w:t>
      </w:r>
      <w:r>
        <w:rPr>
          <w:rFonts w:eastAsia="標楷體" w:hint="eastAsia"/>
          <w:lang w:eastAsia="zh-TW"/>
        </w:rPr>
        <w:t xml:space="preserve">, </w:t>
      </w:r>
      <w:r w:rsidRPr="001A221F">
        <w:rPr>
          <w:rFonts w:eastAsia="標楷體"/>
          <w:i/>
          <w:iCs/>
          <w:color w:val="1F3864" w:themeColor="accent1" w:themeShade="80"/>
          <w:lang w:eastAsia="zh-TW"/>
        </w:rPr>
        <w:t>Automatic Pronunciation Assessment -</w:t>
      </w:r>
      <w:r w:rsidRPr="001A221F">
        <w:rPr>
          <w:rFonts w:eastAsia="標楷體" w:hint="eastAsia"/>
          <w:i/>
          <w:iCs/>
          <w:color w:val="1F3864" w:themeColor="accent1" w:themeShade="80"/>
          <w:lang w:eastAsia="zh-TW"/>
        </w:rPr>
        <w:t xml:space="preserve">- </w:t>
      </w:r>
      <w:r w:rsidRPr="001A221F">
        <w:rPr>
          <w:rFonts w:eastAsia="標楷體"/>
          <w:i/>
          <w:iCs/>
          <w:color w:val="1F3864" w:themeColor="accent1" w:themeShade="80"/>
          <w:lang w:eastAsia="zh-TW"/>
        </w:rPr>
        <w:t>A Review</w:t>
      </w:r>
      <w:r w:rsidRPr="001A221F">
        <w:rPr>
          <w:rFonts w:eastAsia="標楷體" w:hint="eastAsia"/>
          <w:lang w:eastAsia="zh-TW"/>
        </w:rPr>
        <w:t>,</w:t>
      </w:r>
      <w:r>
        <w:rPr>
          <w:rFonts w:eastAsia="標楷體" w:hint="eastAsia"/>
          <w:lang w:eastAsia="zh-TW"/>
        </w:rPr>
        <w:t xml:space="preserve"> </w:t>
      </w:r>
      <w:r w:rsidRPr="001A221F">
        <w:rPr>
          <w:rFonts w:eastAsia="標楷體"/>
          <w:lang w:eastAsia="zh-TW"/>
        </w:rPr>
        <w:t xml:space="preserve">EMNLP </w:t>
      </w:r>
      <w:proofErr w:type="gramStart"/>
      <w:r w:rsidRPr="001A221F">
        <w:rPr>
          <w:rFonts w:eastAsia="標楷體"/>
          <w:lang w:eastAsia="zh-TW"/>
        </w:rPr>
        <w:t>Findings</w:t>
      </w:r>
      <w:r w:rsidRPr="001A221F">
        <w:rPr>
          <w:rFonts w:eastAsia="標楷體" w:hint="eastAsia"/>
          <w:lang w:eastAsia="zh-TW"/>
        </w:rPr>
        <w:t>(</w:t>
      </w:r>
      <w:proofErr w:type="gramEnd"/>
      <w:r w:rsidRPr="001A221F">
        <w:rPr>
          <w:rFonts w:eastAsia="標楷體" w:hint="eastAsia"/>
          <w:lang w:eastAsia="zh-TW"/>
        </w:rPr>
        <w:t>2023)</w:t>
      </w:r>
    </w:p>
    <w:p w14:paraId="6925F4BD" w14:textId="2AB6D2DB" w:rsidR="00F71DC4" w:rsidRPr="003B3B1A" w:rsidRDefault="001A221F" w:rsidP="003B3B1A">
      <w:pPr>
        <w:pStyle w:val="ACLReferencesText"/>
        <w:numPr>
          <w:ilvl w:val="0"/>
          <w:numId w:val="29"/>
        </w:numPr>
        <w:tabs>
          <w:tab w:val="clear" w:pos="720"/>
        </w:tabs>
        <w:ind w:left="284"/>
        <w:rPr>
          <w:rFonts w:eastAsia="標楷體"/>
          <w:b/>
          <w:bCs/>
          <w:lang w:eastAsia="zh-TW"/>
        </w:rPr>
        <w:sectPr w:rsidR="00F71DC4" w:rsidRPr="003B3B1A" w:rsidSect="001F43F0">
          <w:type w:val="continuous"/>
          <w:pgSz w:w="11909" w:h="16834" w:code="9"/>
          <w:pgMar w:top="1411" w:right="1411" w:bottom="1440" w:left="1411" w:header="475" w:footer="360" w:gutter="0"/>
          <w:cols w:num="2" w:space="389"/>
          <w:docGrid w:linePitch="360"/>
        </w:sectPr>
      </w:pPr>
      <w:r w:rsidRPr="001A221F">
        <w:rPr>
          <w:rFonts w:eastAsia="標楷體"/>
          <w:lang w:eastAsia="zh-TW"/>
        </w:rPr>
        <w:t>Sandra Kanters, Catia Cucchiarini, Helmer Strik</w:t>
      </w:r>
      <w:r>
        <w:rPr>
          <w:rFonts w:eastAsia="標楷體" w:hint="eastAsia"/>
          <w:lang w:eastAsia="zh-TW"/>
        </w:rPr>
        <w:t xml:space="preserve">, </w:t>
      </w:r>
      <w:r w:rsidR="00717675" w:rsidRPr="00717675">
        <w:rPr>
          <w:rFonts w:eastAsia="標楷體"/>
          <w:i/>
          <w:iCs/>
          <w:lang w:eastAsia="zh-TW"/>
        </w:rPr>
        <w:t xml:space="preserve">The Goodness of Pronunciation Algorithm: a Detailed Performance </w:t>
      </w:r>
      <w:proofErr w:type="gramStart"/>
      <w:r w:rsidR="00717675" w:rsidRPr="00717675">
        <w:rPr>
          <w:rFonts w:eastAsia="標楷體"/>
          <w:i/>
          <w:iCs/>
          <w:lang w:eastAsia="zh-TW"/>
        </w:rPr>
        <w:t>Study</w:t>
      </w:r>
      <w:r w:rsidR="00717675">
        <w:rPr>
          <w:rFonts w:eastAsia="標楷體" w:hint="eastAsia"/>
          <w:lang w:eastAsia="zh-TW"/>
        </w:rPr>
        <w:t xml:space="preserve">, </w:t>
      </w:r>
      <w:r w:rsidR="00717675" w:rsidRPr="001A221F">
        <w:rPr>
          <w:rFonts w:eastAsia="標楷體"/>
        </w:rPr>
        <w:t> ISCA</w:t>
      </w:r>
      <w:proofErr w:type="gramEnd"/>
      <w:r w:rsidR="00717675" w:rsidRPr="001A221F">
        <w:rPr>
          <w:rFonts w:eastAsia="標楷體"/>
        </w:rPr>
        <w:t xml:space="preserve"> SLaTE-2</w:t>
      </w:r>
      <w:bookmarkEnd w:id="2"/>
    </w:p>
    <w:p w14:paraId="3D001B7E" w14:textId="7BFF1346" w:rsidR="009D55CC" w:rsidRPr="004A766A" w:rsidRDefault="009D55CC" w:rsidP="003B3B1A">
      <w:pPr>
        <w:pStyle w:val="ACLReferencesText"/>
        <w:ind w:left="0" w:firstLine="0"/>
        <w:rPr>
          <w:rFonts w:eastAsia="標楷體"/>
          <w:lang w:eastAsia="zh-TW"/>
        </w:rPr>
      </w:pPr>
    </w:p>
    <w:sectPr w:rsidR="009D55CC" w:rsidRPr="004A766A" w:rsidSect="00F71DC4">
      <w:pgSz w:w="11909" w:h="16834" w:code="9"/>
      <w:pgMar w:top="1411" w:right="1411" w:bottom="1440" w:left="1411" w:header="475" w:footer="360" w:gutter="0"/>
      <w:cols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4695D" w14:textId="77777777" w:rsidR="00EF41C5" w:rsidRDefault="00EF41C5" w:rsidP="00667A63">
      <w:pPr>
        <w:spacing w:after="0" w:line="240" w:lineRule="auto"/>
      </w:pPr>
      <w:r>
        <w:separator/>
      </w:r>
    </w:p>
    <w:p w14:paraId="602ADBAA" w14:textId="77777777" w:rsidR="00EF41C5" w:rsidRDefault="00EF41C5"/>
  </w:endnote>
  <w:endnote w:type="continuationSeparator" w:id="0">
    <w:p w14:paraId="377F6229" w14:textId="77777777" w:rsidR="00EF41C5" w:rsidRDefault="00EF41C5" w:rsidP="00667A63">
      <w:pPr>
        <w:spacing w:after="0" w:line="240" w:lineRule="auto"/>
      </w:pPr>
      <w:r>
        <w:continuationSeparator/>
      </w:r>
    </w:p>
    <w:p w14:paraId="2CE5A16D" w14:textId="77777777" w:rsidR="00EF41C5" w:rsidRDefault="00EF41C5"/>
    <w:p w14:paraId="006EA6F9" w14:textId="77777777" w:rsidR="00EF41C5" w:rsidRDefault="00EF41C5">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標楷體">
    <w:altName w:val="微軟正黑體"/>
    <w:panose1 w:val="020B0604020202020204"/>
    <w:charset w:val="88"/>
    <w:family w:val="auto"/>
    <w:pitch w:val="variable"/>
    <w:sig w:usb0="00000001" w:usb1="08080000" w:usb2="00000010" w:usb3="00000000" w:csb0="00100001" w:csb1="00000000"/>
  </w:font>
  <w:font w:name="Cambria Math">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3185498"/>
      <w:docPartObj>
        <w:docPartGallery w:val="Page Numbers (Bottom of Page)"/>
        <w:docPartUnique/>
      </w:docPartObj>
    </w:sdtPr>
    <w:sdtContent>
      <w:p w14:paraId="34AA10F9" w14:textId="645AA3F2" w:rsidR="00D17701" w:rsidRDefault="00D17701">
        <w:pPr>
          <w:pStyle w:val="a7"/>
          <w:jc w:val="center"/>
        </w:pPr>
        <w:r>
          <w:fldChar w:fldCharType="begin"/>
        </w:r>
        <w:r>
          <w:instrText>PAGE   \* MERGEFORMAT</w:instrText>
        </w:r>
        <w:r>
          <w:fldChar w:fldCharType="separate"/>
        </w:r>
        <w:r>
          <w:rPr>
            <w:lang w:val="zh-TW" w:eastAsia="zh-TW"/>
          </w:rPr>
          <w:t>2</w:t>
        </w:r>
        <w:r>
          <w:fldChar w:fldCharType="end"/>
        </w:r>
      </w:p>
    </w:sdtContent>
  </w:sdt>
  <w:p w14:paraId="33ACD4B3" w14:textId="77777777" w:rsidR="00FF157A" w:rsidRDefault="00FF157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A0798" w14:textId="77777777" w:rsidR="00EF41C5" w:rsidRDefault="00EF41C5" w:rsidP="00F422C2">
      <w:pPr>
        <w:spacing w:after="0" w:line="240" w:lineRule="auto"/>
        <w:contextualSpacing/>
      </w:pPr>
      <w:r>
        <w:separator/>
      </w:r>
    </w:p>
  </w:footnote>
  <w:footnote w:type="continuationSeparator" w:id="0">
    <w:p w14:paraId="16E20A35" w14:textId="77777777" w:rsidR="00EF41C5" w:rsidRDefault="00EF41C5" w:rsidP="00667A63">
      <w:pPr>
        <w:spacing w:after="0" w:line="240" w:lineRule="auto"/>
      </w:pPr>
      <w:r>
        <w:continuationSeparator/>
      </w:r>
    </w:p>
    <w:p w14:paraId="78AE5AE2" w14:textId="77777777" w:rsidR="00EF41C5" w:rsidRDefault="00EF41C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FEA"/>
    <w:multiLevelType w:val="multilevel"/>
    <w:tmpl w:val="886AE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25FBB"/>
    <w:multiLevelType w:val="multilevel"/>
    <w:tmpl w:val="9F202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326C80"/>
    <w:multiLevelType w:val="multilevel"/>
    <w:tmpl w:val="52003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F97AB1"/>
    <w:multiLevelType w:val="multilevel"/>
    <w:tmpl w:val="D3F4CD66"/>
    <w:lvl w:ilvl="0">
      <w:start w:val="1"/>
      <w:numFmt w:val="decimal"/>
      <w:pStyle w:val="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792EC5"/>
    <w:multiLevelType w:val="hybridMultilevel"/>
    <w:tmpl w:val="EE84DF08"/>
    <w:lvl w:ilvl="0" w:tplc="04090001">
      <w:start w:val="1"/>
      <w:numFmt w:val="bullet"/>
      <w:lvlText w:val=""/>
      <w:lvlJc w:val="left"/>
      <w:pPr>
        <w:ind w:left="877" w:hanging="480"/>
      </w:pPr>
      <w:rPr>
        <w:rFonts w:ascii="Wingdings" w:hAnsi="Wingdings" w:hint="default"/>
      </w:rPr>
    </w:lvl>
    <w:lvl w:ilvl="1" w:tplc="04090003" w:tentative="1">
      <w:start w:val="1"/>
      <w:numFmt w:val="bullet"/>
      <w:lvlText w:val=""/>
      <w:lvlJc w:val="left"/>
      <w:pPr>
        <w:ind w:left="1357" w:hanging="480"/>
      </w:pPr>
      <w:rPr>
        <w:rFonts w:ascii="Wingdings" w:hAnsi="Wingdings" w:hint="default"/>
      </w:rPr>
    </w:lvl>
    <w:lvl w:ilvl="2" w:tplc="04090005" w:tentative="1">
      <w:start w:val="1"/>
      <w:numFmt w:val="bullet"/>
      <w:lvlText w:val=""/>
      <w:lvlJc w:val="left"/>
      <w:pPr>
        <w:ind w:left="1837" w:hanging="480"/>
      </w:pPr>
      <w:rPr>
        <w:rFonts w:ascii="Wingdings" w:hAnsi="Wingdings" w:hint="default"/>
      </w:rPr>
    </w:lvl>
    <w:lvl w:ilvl="3" w:tplc="04090001" w:tentative="1">
      <w:start w:val="1"/>
      <w:numFmt w:val="bullet"/>
      <w:lvlText w:val=""/>
      <w:lvlJc w:val="left"/>
      <w:pPr>
        <w:ind w:left="2317" w:hanging="480"/>
      </w:pPr>
      <w:rPr>
        <w:rFonts w:ascii="Wingdings" w:hAnsi="Wingdings" w:hint="default"/>
      </w:rPr>
    </w:lvl>
    <w:lvl w:ilvl="4" w:tplc="04090003" w:tentative="1">
      <w:start w:val="1"/>
      <w:numFmt w:val="bullet"/>
      <w:lvlText w:val=""/>
      <w:lvlJc w:val="left"/>
      <w:pPr>
        <w:ind w:left="2797" w:hanging="480"/>
      </w:pPr>
      <w:rPr>
        <w:rFonts w:ascii="Wingdings" w:hAnsi="Wingdings" w:hint="default"/>
      </w:rPr>
    </w:lvl>
    <w:lvl w:ilvl="5" w:tplc="04090005" w:tentative="1">
      <w:start w:val="1"/>
      <w:numFmt w:val="bullet"/>
      <w:lvlText w:val=""/>
      <w:lvlJc w:val="left"/>
      <w:pPr>
        <w:ind w:left="3277" w:hanging="480"/>
      </w:pPr>
      <w:rPr>
        <w:rFonts w:ascii="Wingdings" w:hAnsi="Wingdings" w:hint="default"/>
      </w:rPr>
    </w:lvl>
    <w:lvl w:ilvl="6" w:tplc="04090001" w:tentative="1">
      <w:start w:val="1"/>
      <w:numFmt w:val="bullet"/>
      <w:lvlText w:val=""/>
      <w:lvlJc w:val="left"/>
      <w:pPr>
        <w:ind w:left="3757" w:hanging="480"/>
      </w:pPr>
      <w:rPr>
        <w:rFonts w:ascii="Wingdings" w:hAnsi="Wingdings" w:hint="default"/>
      </w:rPr>
    </w:lvl>
    <w:lvl w:ilvl="7" w:tplc="04090003" w:tentative="1">
      <w:start w:val="1"/>
      <w:numFmt w:val="bullet"/>
      <w:lvlText w:val=""/>
      <w:lvlJc w:val="left"/>
      <w:pPr>
        <w:ind w:left="4237" w:hanging="480"/>
      </w:pPr>
      <w:rPr>
        <w:rFonts w:ascii="Wingdings" w:hAnsi="Wingdings" w:hint="default"/>
      </w:rPr>
    </w:lvl>
    <w:lvl w:ilvl="8" w:tplc="04090005" w:tentative="1">
      <w:start w:val="1"/>
      <w:numFmt w:val="bullet"/>
      <w:lvlText w:val=""/>
      <w:lvlJc w:val="left"/>
      <w:pPr>
        <w:ind w:left="4717" w:hanging="480"/>
      </w:pPr>
      <w:rPr>
        <w:rFonts w:ascii="Wingdings" w:hAnsi="Wingdings" w:hint="default"/>
      </w:rPr>
    </w:lvl>
  </w:abstractNum>
  <w:abstractNum w:abstractNumId="7"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AE32157"/>
    <w:multiLevelType w:val="multilevel"/>
    <w:tmpl w:val="8D1257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663145"/>
    <w:multiLevelType w:val="multilevel"/>
    <w:tmpl w:val="A1967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6B3656"/>
    <w:multiLevelType w:val="hybridMultilevel"/>
    <w:tmpl w:val="4B9E78F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277E42BE"/>
    <w:multiLevelType w:val="hybridMultilevel"/>
    <w:tmpl w:val="620E4336"/>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343477E4"/>
    <w:multiLevelType w:val="hybridMultilevel"/>
    <w:tmpl w:val="122C66B4"/>
    <w:lvl w:ilvl="0" w:tplc="04090003">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3"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5" w15:restartNumberingAfterBreak="0">
    <w:nsid w:val="3F4E4820"/>
    <w:multiLevelType w:val="multilevel"/>
    <w:tmpl w:val="5BBA84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FF4972"/>
    <w:multiLevelType w:val="hybridMultilevel"/>
    <w:tmpl w:val="717ACC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8" w15:restartNumberingAfterBreak="0">
    <w:nsid w:val="4F4A7E27"/>
    <w:multiLevelType w:val="multilevel"/>
    <w:tmpl w:val="C62AD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692DA7"/>
    <w:multiLevelType w:val="multilevel"/>
    <w:tmpl w:val="4146A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1"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E7B5B21"/>
    <w:multiLevelType w:val="multilevel"/>
    <w:tmpl w:val="91A88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B3395F"/>
    <w:multiLevelType w:val="multilevel"/>
    <w:tmpl w:val="4942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2C27B6"/>
    <w:multiLevelType w:val="multilevel"/>
    <w:tmpl w:val="3A3EC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7B5D0D"/>
    <w:multiLevelType w:val="multilevel"/>
    <w:tmpl w:val="7562925A"/>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E93BC2"/>
    <w:multiLevelType w:val="multilevel"/>
    <w:tmpl w:val="78E09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2739435">
    <w:abstractNumId w:val="13"/>
  </w:num>
  <w:num w:numId="2" w16cid:durableId="1284070811">
    <w:abstractNumId w:val="7"/>
  </w:num>
  <w:num w:numId="3" w16cid:durableId="1722289026">
    <w:abstractNumId w:val="3"/>
  </w:num>
  <w:num w:numId="4" w16cid:durableId="854270216">
    <w:abstractNumId w:val="3"/>
  </w:num>
  <w:num w:numId="5" w16cid:durableId="1806584374">
    <w:abstractNumId w:val="21"/>
  </w:num>
  <w:num w:numId="6" w16cid:durableId="164970108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15367998">
    <w:abstractNumId w:val="14"/>
  </w:num>
  <w:num w:numId="8" w16cid:durableId="776557228">
    <w:abstractNumId w:val="3"/>
  </w:num>
  <w:num w:numId="9" w16cid:durableId="336806217">
    <w:abstractNumId w:val="3"/>
  </w:num>
  <w:num w:numId="10" w16cid:durableId="955872996">
    <w:abstractNumId w:val="4"/>
  </w:num>
  <w:num w:numId="11" w16cid:durableId="130707262">
    <w:abstractNumId w:val="17"/>
  </w:num>
  <w:num w:numId="12" w16cid:durableId="123088065">
    <w:abstractNumId w:val="5"/>
  </w:num>
  <w:num w:numId="13" w16cid:durableId="1185631731">
    <w:abstractNumId w:val="13"/>
  </w:num>
  <w:num w:numId="14" w16cid:durableId="1288123633">
    <w:abstractNumId w:val="13"/>
  </w:num>
  <w:num w:numId="15" w16cid:durableId="519781012">
    <w:abstractNumId w:val="26"/>
  </w:num>
  <w:num w:numId="16" w16cid:durableId="2147045748">
    <w:abstractNumId w:val="6"/>
  </w:num>
  <w:num w:numId="17" w16cid:durableId="337275883">
    <w:abstractNumId w:val="22"/>
  </w:num>
  <w:num w:numId="18" w16cid:durableId="910239658">
    <w:abstractNumId w:val="18"/>
  </w:num>
  <w:num w:numId="19" w16cid:durableId="986402460">
    <w:abstractNumId w:val="2"/>
  </w:num>
  <w:num w:numId="20" w16cid:durableId="1705902871">
    <w:abstractNumId w:val="12"/>
  </w:num>
  <w:num w:numId="21" w16cid:durableId="817914409">
    <w:abstractNumId w:val="24"/>
  </w:num>
  <w:num w:numId="22" w16cid:durableId="1004354182">
    <w:abstractNumId w:val="0"/>
  </w:num>
  <w:num w:numId="23" w16cid:durableId="528185487">
    <w:abstractNumId w:val="16"/>
  </w:num>
  <w:num w:numId="24" w16cid:durableId="1689332680">
    <w:abstractNumId w:val="1"/>
  </w:num>
  <w:num w:numId="25" w16cid:durableId="1092969053">
    <w:abstractNumId w:val="25"/>
  </w:num>
  <w:num w:numId="26" w16cid:durableId="27722961">
    <w:abstractNumId w:val="8"/>
  </w:num>
  <w:num w:numId="27" w16cid:durableId="534387545">
    <w:abstractNumId w:val="23"/>
  </w:num>
  <w:num w:numId="28" w16cid:durableId="562570805">
    <w:abstractNumId w:val="19"/>
  </w:num>
  <w:num w:numId="29" w16cid:durableId="1065489965">
    <w:abstractNumId w:val="15"/>
  </w:num>
  <w:num w:numId="30" w16cid:durableId="467210186">
    <w:abstractNumId w:val="9"/>
  </w:num>
  <w:num w:numId="31" w16cid:durableId="951864766">
    <w:abstractNumId w:val="10"/>
  </w:num>
  <w:num w:numId="32" w16cid:durableId="17531196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Q0MbK0NLYwMjQwtjBR0lEKTi0uzszPAymwqAUAM81tKCwAAAA="/>
  </w:docVars>
  <w:rsids>
    <w:rsidRoot w:val="00A5424A"/>
    <w:rsid w:val="000010C9"/>
    <w:rsid w:val="00004AD5"/>
    <w:rsid w:val="00004CF7"/>
    <w:rsid w:val="000138CD"/>
    <w:rsid w:val="0001477E"/>
    <w:rsid w:val="00017145"/>
    <w:rsid w:val="00017AF2"/>
    <w:rsid w:val="000273CF"/>
    <w:rsid w:val="00044319"/>
    <w:rsid w:val="000526E8"/>
    <w:rsid w:val="00063F74"/>
    <w:rsid w:val="000B0955"/>
    <w:rsid w:val="000B1D6A"/>
    <w:rsid w:val="000C32D8"/>
    <w:rsid w:val="000D0BBD"/>
    <w:rsid w:val="000E5D69"/>
    <w:rsid w:val="000F4224"/>
    <w:rsid w:val="000F468A"/>
    <w:rsid w:val="001305EF"/>
    <w:rsid w:val="00133F7B"/>
    <w:rsid w:val="00135FBE"/>
    <w:rsid w:val="00153FB0"/>
    <w:rsid w:val="00170D36"/>
    <w:rsid w:val="001716CB"/>
    <w:rsid w:val="001762F7"/>
    <w:rsid w:val="001A221F"/>
    <w:rsid w:val="001A719D"/>
    <w:rsid w:val="001C327D"/>
    <w:rsid w:val="001C78E9"/>
    <w:rsid w:val="001D1336"/>
    <w:rsid w:val="001D2254"/>
    <w:rsid w:val="001E3C48"/>
    <w:rsid w:val="001F1A8D"/>
    <w:rsid w:val="001F43F0"/>
    <w:rsid w:val="001F52AB"/>
    <w:rsid w:val="00210BBA"/>
    <w:rsid w:val="00227C9B"/>
    <w:rsid w:val="002307B1"/>
    <w:rsid w:val="002344E4"/>
    <w:rsid w:val="002355BB"/>
    <w:rsid w:val="002401E1"/>
    <w:rsid w:val="0024048F"/>
    <w:rsid w:val="0024179E"/>
    <w:rsid w:val="00243D36"/>
    <w:rsid w:val="00257927"/>
    <w:rsid w:val="00273261"/>
    <w:rsid w:val="002812BC"/>
    <w:rsid w:val="002831DB"/>
    <w:rsid w:val="0029350C"/>
    <w:rsid w:val="00296EC8"/>
    <w:rsid w:val="002A2036"/>
    <w:rsid w:val="002A4A19"/>
    <w:rsid w:val="002B248B"/>
    <w:rsid w:val="002B75A9"/>
    <w:rsid w:val="002C4AAA"/>
    <w:rsid w:val="002C61F5"/>
    <w:rsid w:val="002D3932"/>
    <w:rsid w:val="002D5259"/>
    <w:rsid w:val="002E5A3A"/>
    <w:rsid w:val="002E6156"/>
    <w:rsid w:val="002F5A83"/>
    <w:rsid w:val="002F7011"/>
    <w:rsid w:val="002F7B48"/>
    <w:rsid w:val="002F7E98"/>
    <w:rsid w:val="00301704"/>
    <w:rsid w:val="0031447B"/>
    <w:rsid w:val="00321147"/>
    <w:rsid w:val="00321AB3"/>
    <w:rsid w:val="003262DD"/>
    <w:rsid w:val="003334F2"/>
    <w:rsid w:val="00335B97"/>
    <w:rsid w:val="003527CA"/>
    <w:rsid w:val="00366A06"/>
    <w:rsid w:val="00370852"/>
    <w:rsid w:val="003837A5"/>
    <w:rsid w:val="003851ED"/>
    <w:rsid w:val="00387E4F"/>
    <w:rsid w:val="003908FD"/>
    <w:rsid w:val="00392298"/>
    <w:rsid w:val="00392C52"/>
    <w:rsid w:val="00393A35"/>
    <w:rsid w:val="003B270A"/>
    <w:rsid w:val="003B3B1A"/>
    <w:rsid w:val="003B6377"/>
    <w:rsid w:val="003C20B0"/>
    <w:rsid w:val="003C27C5"/>
    <w:rsid w:val="003E1CA0"/>
    <w:rsid w:val="003E32C8"/>
    <w:rsid w:val="003E5FDC"/>
    <w:rsid w:val="00407F0D"/>
    <w:rsid w:val="00413821"/>
    <w:rsid w:val="00424FBA"/>
    <w:rsid w:val="00437FC4"/>
    <w:rsid w:val="00444FE1"/>
    <w:rsid w:val="00446B8B"/>
    <w:rsid w:val="00450DD4"/>
    <w:rsid w:val="00453791"/>
    <w:rsid w:val="0045386C"/>
    <w:rsid w:val="00456FC0"/>
    <w:rsid w:val="00465CC6"/>
    <w:rsid w:val="00467D8B"/>
    <w:rsid w:val="0047067E"/>
    <w:rsid w:val="0048141F"/>
    <w:rsid w:val="00490093"/>
    <w:rsid w:val="004933AF"/>
    <w:rsid w:val="004A5354"/>
    <w:rsid w:val="004A562F"/>
    <w:rsid w:val="004A766A"/>
    <w:rsid w:val="004B25C7"/>
    <w:rsid w:val="004B6747"/>
    <w:rsid w:val="004C651F"/>
    <w:rsid w:val="004C72CF"/>
    <w:rsid w:val="004D5B2B"/>
    <w:rsid w:val="004E6AEC"/>
    <w:rsid w:val="004F39C2"/>
    <w:rsid w:val="004F4295"/>
    <w:rsid w:val="004F6729"/>
    <w:rsid w:val="00500B6E"/>
    <w:rsid w:val="00522F2F"/>
    <w:rsid w:val="00523328"/>
    <w:rsid w:val="005449E1"/>
    <w:rsid w:val="00552469"/>
    <w:rsid w:val="00555D3C"/>
    <w:rsid w:val="00562B67"/>
    <w:rsid w:val="005750CF"/>
    <w:rsid w:val="00582529"/>
    <w:rsid w:val="00582561"/>
    <w:rsid w:val="00593E55"/>
    <w:rsid w:val="005A1FB9"/>
    <w:rsid w:val="005A3874"/>
    <w:rsid w:val="005B5174"/>
    <w:rsid w:val="005B5C5C"/>
    <w:rsid w:val="005B7443"/>
    <w:rsid w:val="005C37D8"/>
    <w:rsid w:val="005C5C81"/>
    <w:rsid w:val="005D01F3"/>
    <w:rsid w:val="005D7B18"/>
    <w:rsid w:val="005E0170"/>
    <w:rsid w:val="005F170A"/>
    <w:rsid w:val="005F4819"/>
    <w:rsid w:val="005F48FC"/>
    <w:rsid w:val="006130C0"/>
    <w:rsid w:val="006200A2"/>
    <w:rsid w:val="006203C1"/>
    <w:rsid w:val="0063169F"/>
    <w:rsid w:val="00650D9C"/>
    <w:rsid w:val="0066198A"/>
    <w:rsid w:val="00664444"/>
    <w:rsid w:val="00666104"/>
    <w:rsid w:val="00667A63"/>
    <w:rsid w:val="006718A0"/>
    <w:rsid w:val="00675568"/>
    <w:rsid w:val="0068115D"/>
    <w:rsid w:val="00693CE2"/>
    <w:rsid w:val="006A4029"/>
    <w:rsid w:val="006A4F3B"/>
    <w:rsid w:val="006A6505"/>
    <w:rsid w:val="006B346B"/>
    <w:rsid w:val="006B5EC3"/>
    <w:rsid w:val="006D2F22"/>
    <w:rsid w:val="006D4060"/>
    <w:rsid w:val="006E0382"/>
    <w:rsid w:val="006E75D0"/>
    <w:rsid w:val="00717675"/>
    <w:rsid w:val="0072354F"/>
    <w:rsid w:val="00726D45"/>
    <w:rsid w:val="007376E2"/>
    <w:rsid w:val="0074649A"/>
    <w:rsid w:val="007508B2"/>
    <w:rsid w:val="007540B6"/>
    <w:rsid w:val="00773374"/>
    <w:rsid w:val="00776120"/>
    <w:rsid w:val="007A0441"/>
    <w:rsid w:val="007A2635"/>
    <w:rsid w:val="007A6CC0"/>
    <w:rsid w:val="007A774B"/>
    <w:rsid w:val="007B1755"/>
    <w:rsid w:val="007C7256"/>
    <w:rsid w:val="007D1943"/>
    <w:rsid w:val="007D2776"/>
    <w:rsid w:val="007D44C8"/>
    <w:rsid w:val="007E68DF"/>
    <w:rsid w:val="007F14EA"/>
    <w:rsid w:val="00816178"/>
    <w:rsid w:val="008277D8"/>
    <w:rsid w:val="00845122"/>
    <w:rsid w:val="00861EB0"/>
    <w:rsid w:val="0087257A"/>
    <w:rsid w:val="008735DC"/>
    <w:rsid w:val="00874EC6"/>
    <w:rsid w:val="008765B5"/>
    <w:rsid w:val="008A4018"/>
    <w:rsid w:val="008A42E0"/>
    <w:rsid w:val="008A49DE"/>
    <w:rsid w:val="008B2D46"/>
    <w:rsid w:val="008D7F33"/>
    <w:rsid w:val="008E05B4"/>
    <w:rsid w:val="008E6433"/>
    <w:rsid w:val="008E78F7"/>
    <w:rsid w:val="008F6457"/>
    <w:rsid w:val="0090423E"/>
    <w:rsid w:val="00910283"/>
    <w:rsid w:val="0091330B"/>
    <w:rsid w:val="009266A0"/>
    <w:rsid w:val="0092671C"/>
    <w:rsid w:val="00930525"/>
    <w:rsid w:val="0093349C"/>
    <w:rsid w:val="00943A37"/>
    <w:rsid w:val="00944334"/>
    <w:rsid w:val="00953CEB"/>
    <w:rsid w:val="009704C1"/>
    <w:rsid w:val="00992AE6"/>
    <w:rsid w:val="00995313"/>
    <w:rsid w:val="009A6463"/>
    <w:rsid w:val="009B3A8D"/>
    <w:rsid w:val="009C2986"/>
    <w:rsid w:val="009C3DE0"/>
    <w:rsid w:val="009C3EB6"/>
    <w:rsid w:val="009D55CC"/>
    <w:rsid w:val="009E0D58"/>
    <w:rsid w:val="009E1BD3"/>
    <w:rsid w:val="009F4873"/>
    <w:rsid w:val="00A25FA1"/>
    <w:rsid w:val="00A406D1"/>
    <w:rsid w:val="00A45C6C"/>
    <w:rsid w:val="00A47EDF"/>
    <w:rsid w:val="00A50CF8"/>
    <w:rsid w:val="00A50FF9"/>
    <w:rsid w:val="00A515F5"/>
    <w:rsid w:val="00A5424A"/>
    <w:rsid w:val="00A604CA"/>
    <w:rsid w:val="00A646A8"/>
    <w:rsid w:val="00A6714C"/>
    <w:rsid w:val="00A77414"/>
    <w:rsid w:val="00A83B27"/>
    <w:rsid w:val="00A8415F"/>
    <w:rsid w:val="00A90828"/>
    <w:rsid w:val="00A934D7"/>
    <w:rsid w:val="00A95291"/>
    <w:rsid w:val="00A96360"/>
    <w:rsid w:val="00AA3BB4"/>
    <w:rsid w:val="00AB1AE8"/>
    <w:rsid w:val="00AC3A1C"/>
    <w:rsid w:val="00AC7CEE"/>
    <w:rsid w:val="00AD67B9"/>
    <w:rsid w:val="00AE3530"/>
    <w:rsid w:val="00AF1AC4"/>
    <w:rsid w:val="00AF4435"/>
    <w:rsid w:val="00AF456F"/>
    <w:rsid w:val="00AF763D"/>
    <w:rsid w:val="00B02EE2"/>
    <w:rsid w:val="00B0493F"/>
    <w:rsid w:val="00B07632"/>
    <w:rsid w:val="00B13931"/>
    <w:rsid w:val="00B1653C"/>
    <w:rsid w:val="00B2497D"/>
    <w:rsid w:val="00B30EDF"/>
    <w:rsid w:val="00B44651"/>
    <w:rsid w:val="00B44EF1"/>
    <w:rsid w:val="00B55A9B"/>
    <w:rsid w:val="00B618F7"/>
    <w:rsid w:val="00B635A6"/>
    <w:rsid w:val="00B65767"/>
    <w:rsid w:val="00B65AE3"/>
    <w:rsid w:val="00B8032B"/>
    <w:rsid w:val="00B80A47"/>
    <w:rsid w:val="00B86D75"/>
    <w:rsid w:val="00BA4491"/>
    <w:rsid w:val="00BB2266"/>
    <w:rsid w:val="00BC1581"/>
    <w:rsid w:val="00BC5CED"/>
    <w:rsid w:val="00BD4A80"/>
    <w:rsid w:val="00BE48C4"/>
    <w:rsid w:val="00BE71FB"/>
    <w:rsid w:val="00BF716A"/>
    <w:rsid w:val="00C01AE6"/>
    <w:rsid w:val="00C1585C"/>
    <w:rsid w:val="00C31515"/>
    <w:rsid w:val="00C32218"/>
    <w:rsid w:val="00C358FF"/>
    <w:rsid w:val="00C4163A"/>
    <w:rsid w:val="00C424DC"/>
    <w:rsid w:val="00C43137"/>
    <w:rsid w:val="00C51E9A"/>
    <w:rsid w:val="00C6530D"/>
    <w:rsid w:val="00C7796E"/>
    <w:rsid w:val="00C834DD"/>
    <w:rsid w:val="00C9197E"/>
    <w:rsid w:val="00CA072F"/>
    <w:rsid w:val="00CA3828"/>
    <w:rsid w:val="00CA4DC2"/>
    <w:rsid w:val="00CC4B0E"/>
    <w:rsid w:val="00CD5524"/>
    <w:rsid w:val="00CD72A1"/>
    <w:rsid w:val="00CE3460"/>
    <w:rsid w:val="00CE393E"/>
    <w:rsid w:val="00CE45E0"/>
    <w:rsid w:val="00CE75D4"/>
    <w:rsid w:val="00D17701"/>
    <w:rsid w:val="00D17AAB"/>
    <w:rsid w:val="00D31083"/>
    <w:rsid w:val="00D41940"/>
    <w:rsid w:val="00D5039D"/>
    <w:rsid w:val="00D51821"/>
    <w:rsid w:val="00D530D1"/>
    <w:rsid w:val="00D5598D"/>
    <w:rsid w:val="00D5672D"/>
    <w:rsid w:val="00D7331B"/>
    <w:rsid w:val="00D7629C"/>
    <w:rsid w:val="00D77CE6"/>
    <w:rsid w:val="00D82724"/>
    <w:rsid w:val="00DA2126"/>
    <w:rsid w:val="00DA7B42"/>
    <w:rsid w:val="00DB1046"/>
    <w:rsid w:val="00DB65D4"/>
    <w:rsid w:val="00DD0EEF"/>
    <w:rsid w:val="00DD4B22"/>
    <w:rsid w:val="00DE0EB8"/>
    <w:rsid w:val="00DE10FD"/>
    <w:rsid w:val="00DE2952"/>
    <w:rsid w:val="00DE33E9"/>
    <w:rsid w:val="00DF174B"/>
    <w:rsid w:val="00DF7C52"/>
    <w:rsid w:val="00E111B9"/>
    <w:rsid w:val="00E25076"/>
    <w:rsid w:val="00E258A8"/>
    <w:rsid w:val="00E27E96"/>
    <w:rsid w:val="00E3096B"/>
    <w:rsid w:val="00E32128"/>
    <w:rsid w:val="00E5068E"/>
    <w:rsid w:val="00E6012A"/>
    <w:rsid w:val="00E7671A"/>
    <w:rsid w:val="00E8332F"/>
    <w:rsid w:val="00E96E00"/>
    <w:rsid w:val="00E971E4"/>
    <w:rsid w:val="00EA2229"/>
    <w:rsid w:val="00EA7A7D"/>
    <w:rsid w:val="00EB66E2"/>
    <w:rsid w:val="00EC1D76"/>
    <w:rsid w:val="00EE00F9"/>
    <w:rsid w:val="00EE03F8"/>
    <w:rsid w:val="00EE1501"/>
    <w:rsid w:val="00EE2E06"/>
    <w:rsid w:val="00EF41C5"/>
    <w:rsid w:val="00F02CA4"/>
    <w:rsid w:val="00F07E1B"/>
    <w:rsid w:val="00F15CC3"/>
    <w:rsid w:val="00F2466E"/>
    <w:rsid w:val="00F32FAC"/>
    <w:rsid w:val="00F35565"/>
    <w:rsid w:val="00F422C2"/>
    <w:rsid w:val="00F50EE5"/>
    <w:rsid w:val="00F53094"/>
    <w:rsid w:val="00F630D4"/>
    <w:rsid w:val="00F71DC4"/>
    <w:rsid w:val="00F724A3"/>
    <w:rsid w:val="00F82299"/>
    <w:rsid w:val="00FA1009"/>
    <w:rsid w:val="00FA70B8"/>
    <w:rsid w:val="00FA797F"/>
    <w:rsid w:val="00FB70B0"/>
    <w:rsid w:val="00FC7C62"/>
    <w:rsid w:val="00FE179D"/>
    <w:rsid w:val="00FF157A"/>
    <w:rsid w:val="00FF286B"/>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8A4018"/>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8A4018"/>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CLTitle">
    <w:name w:val="ACL Title"/>
    <w:basedOn w:val="a"/>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a"/>
    <w:next w:val="a"/>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a"/>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a"/>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a"/>
    <w:qFormat/>
    <w:rsid w:val="006200A2"/>
    <w:pPr>
      <w:spacing w:after="0" w:line="240" w:lineRule="auto"/>
      <w:jc w:val="center"/>
    </w:pPr>
    <w:rPr>
      <w:rFonts w:ascii="Times New Roman" w:eastAsia="MS Mincho" w:hAnsi="Times New Roman" w:cs="Times New Roman"/>
      <w:sz w:val="24"/>
      <w:szCs w:val="20"/>
      <w:lang w:eastAsia="de-DE"/>
    </w:rPr>
  </w:style>
  <w:style w:type="paragraph" w:styleId="a3">
    <w:name w:val="No Spacing"/>
    <w:uiPriority w:val="1"/>
    <w:qFormat/>
    <w:rsid w:val="004F6729"/>
    <w:pPr>
      <w:spacing w:after="0" w:line="240" w:lineRule="auto"/>
    </w:pPr>
  </w:style>
  <w:style w:type="paragraph" w:customStyle="1" w:styleId="ACLReferencesText">
    <w:name w:val="ACL References Text"/>
    <w:basedOn w:val="a"/>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a"/>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a"/>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a"/>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a"/>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a"/>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a4">
    <w:name w:val="line number"/>
    <w:basedOn w:val="a0"/>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a"/>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a"/>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a"/>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10">
    <w:name w:val="標題 1 字元"/>
    <w:basedOn w:val="a0"/>
    <w:link w:val="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a"/>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a"/>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a"/>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20">
    <w:name w:val="標題 2 字元"/>
    <w:basedOn w:val="a0"/>
    <w:link w:val="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a"/>
    <w:link w:val="ACLURLHyperlinkChar"/>
    <w:qFormat/>
    <w:rsid w:val="006200A2"/>
    <w:pPr>
      <w:ind w:firstLine="0"/>
    </w:pPr>
    <w:rPr>
      <w:color w:val="000090"/>
      <w:spacing w:val="-5"/>
      <w:szCs w:val="20"/>
    </w:rPr>
  </w:style>
  <w:style w:type="paragraph" w:styleId="a5">
    <w:name w:val="header"/>
    <w:basedOn w:val="a"/>
    <w:link w:val="a6"/>
    <w:uiPriority w:val="99"/>
    <w:unhideWhenUsed/>
    <w:rsid w:val="00D7629C"/>
    <w:pPr>
      <w:tabs>
        <w:tab w:val="center" w:pos="4680"/>
        <w:tab w:val="right" w:pos="9360"/>
      </w:tabs>
      <w:spacing w:after="0" w:line="240" w:lineRule="auto"/>
    </w:pPr>
  </w:style>
  <w:style w:type="character" w:customStyle="1" w:styleId="a6">
    <w:name w:val="頁首 字元"/>
    <w:basedOn w:val="a0"/>
    <w:link w:val="a5"/>
    <w:uiPriority w:val="99"/>
    <w:rsid w:val="00D7629C"/>
  </w:style>
  <w:style w:type="paragraph" w:styleId="a7">
    <w:name w:val="footer"/>
    <w:basedOn w:val="a"/>
    <w:link w:val="a8"/>
    <w:uiPriority w:val="99"/>
    <w:unhideWhenUsed/>
    <w:rsid w:val="00D7629C"/>
    <w:pPr>
      <w:tabs>
        <w:tab w:val="center" w:pos="4680"/>
        <w:tab w:val="right" w:pos="9360"/>
      </w:tabs>
      <w:spacing w:after="0" w:line="240" w:lineRule="auto"/>
    </w:pPr>
  </w:style>
  <w:style w:type="character" w:customStyle="1" w:styleId="a8">
    <w:name w:val="頁尾 字元"/>
    <w:basedOn w:val="a0"/>
    <w:link w:val="a7"/>
    <w:uiPriority w:val="99"/>
    <w:rsid w:val="00D7629C"/>
  </w:style>
  <w:style w:type="character" w:styleId="a9">
    <w:name w:val="footnote reference"/>
    <w:semiHidden/>
    <w:rsid w:val="00490093"/>
    <w:rPr>
      <w:vertAlign w:val="superscript"/>
    </w:rPr>
  </w:style>
  <w:style w:type="character" w:styleId="aa">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ab">
    <w:name w:val="caption"/>
    <w:basedOn w:val="ACLCaption"/>
    <w:next w:val="ACLText"/>
    <w:qFormat/>
    <w:rsid w:val="00490093"/>
    <w:pPr>
      <w:framePr w:wrap="around"/>
      <w:spacing w:before="200" w:after="200" w:line="252" w:lineRule="auto"/>
    </w:pPr>
    <w:rPr>
      <w:bCs/>
      <w:color w:val="000000" w:themeColor="text1"/>
      <w:szCs w:val="18"/>
    </w:rPr>
  </w:style>
  <w:style w:type="character" w:styleId="ac">
    <w:name w:val="FollowedHyperlink"/>
    <w:basedOn w:val="a0"/>
    <w:uiPriority w:val="99"/>
    <w:semiHidden/>
    <w:unhideWhenUsed/>
    <w:rsid w:val="00490093"/>
    <w:rPr>
      <w:color w:val="954F72" w:themeColor="followedHyperlink"/>
      <w:u w:val="single"/>
    </w:rPr>
  </w:style>
  <w:style w:type="character" w:customStyle="1" w:styleId="UnresolvedMention1">
    <w:name w:val="Unresolved Mention1"/>
    <w:basedOn w:val="a0"/>
    <w:uiPriority w:val="99"/>
    <w:semiHidden/>
    <w:unhideWhenUsed/>
    <w:rsid w:val="00490093"/>
    <w:rPr>
      <w:color w:val="808080"/>
      <w:shd w:val="clear" w:color="auto" w:fill="E6E6E6"/>
    </w:rPr>
  </w:style>
  <w:style w:type="table" w:styleId="ad">
    <w:name w:val="Table Grid"/>
    <w:basedOn w:val="a1"/>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annotation text"/>
    <w:basedOn w:val="a"/>
    <w:link w:val="af"/>
    <w:uiPriority w:val="99"/>
    <w:semiHidden/>
    <w:unhideWhenUsed/>
    <w:rsid w:val="008B2D46"/>
    <w:pPr>
      <w:spacing w:line="240" w:lineRule="auto"/>
    </w:pPr>
    <w:rPr>
      <w:sz w:val="20"/>
      <w:szCs w:val="20"/>
    </w:rPr>
  </w:style>
  <w:style w:type="character" w:customStyle="1" w:styleId="af">
    <w:name w:val="註解文字 字元"/>
    <w:basedOn w:val="a0"/>
    <w:link w:val="ae"/>
    <w:uiPriority w:val="99"/>
    <w:semiHidden/>
    <w:rsid w:val="008B2D46"/>
    <w:rPr>
      <w:sz w:val="20"/>
      <w:szCs w:val="20"/>
    </w:rPr>
  </w:style>
  <w:style w:type="paragraph" w:styleId="af0">
    <w:name w:val="annotation subject"/>
    <w:basedOn w:val="ae"/>
    <w:next w:val="ae"/>
    <w:link w:val="af1"/>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af1">
    <w:name w:val="註解主旨 字元"/>
    <w:basedOn w:val="af"/>
    <w:link w:val="af0"/>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a0"/>
    <w:rsid w:val="00A45C6C"/>
  </w:style>
  <w:style w:type="character" w:customStyle="1" w:styleId="11">
    <w:name w:val="未解析的提及項目1"/>
    <w:basedOn w:val="a0"/>
    <w:uiPriority w:val="99"/>
    <w:semiHidden/>
    <w:unhideWhenUsed/>
    <w:rsid w:val="006A4029"/>
    <w:rPr>
      <w:color w:val="808080"/>
      <w:shd w:val="clear" w:color="auto" w:fill="E6E6E6"/>
    </w:rPr>
  </w:style>
  <w:style w:type="paragraph" w:styleId="af2">
    <w:name w:val="Balloon Text"/>
    <w:basedOn w:val="a"/>
    <w:link w:val="af3"/>
    <w:uiPriority w:val="99"/>
    <w:semiHidden/>
    <w:unhideWhenUsed/>
    <w:rsid w:val="0087257A"/>
    <w:pPr>
      <w:spacing w:after="0" w:line="240" w:lineRule="auto"/>
    </w:pPr>
    <w:rPr>
      <w:rFonts w:ascii="SimSun" w:eastAsia="SimSun"/>
      <w:sz w:val="18"/>
      <w:szCs w:val="18"/>
    </w:rPr>
  </w:style>
  <w:style w:type="character" w:customStyle="1" w:styleId="af3">
    <w:name w:val="註解方塊文字 字元"/>
    <w:basedOn w:val="a0"/>
    <w:link w:val="af2"/>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af4">
    <w:name w:val="footnote text"/>
    <w:basedOn w:val="a"/>
    <w:link w:val="af5"/>
    <w:uiPriority w:val="99"/>
    <w:semiHidden/>
    <w:unhideWhenUsed/>
    <w:rsid w:val="00AF4435"/>
    <w:pPr>
      <w:snapToGrid w:val="0"/>
    </w:pPr>
    <w:rPr>
      <w:sz w:val="20"/>
      <w:szCs w:val="20"/>
    </w:rPr>
  </w:style>
  <w:style w:type="character" w:customStyle="1" w:styleId="af5">
    <w:name w:val="註腳文字 字元"/>
    <w:basedOn w:val="a0"/>
    <w:link w:val="af4"/>
    <w:uiPriority w:val="99"/>
    <w:semiHidden/>
    <w:rsid w:val="00AF4435"/>
    <w:rPr>
      <w:sz w:val="20"/>
      <w:szCs w:val="20"/>
    </w:rPr>
  </w:style>
  <w:style w:type="character" w:customStyle="1" w:styleId="40">
    <w:name w:val="標題 4 字元"/>
    <w:basedOn w:val="a0"/>
    <w:link w:val="4"/>
    <w:uiPriority w:val="9"/>
    <w:semiHidden/>
    <w:rsid w:val="008A4018"/>
    <w:rPr>
      <w:rFonts w:asciiTheme="majorHAnsi" w:eastAsiaTheme="majorEastAsia" w:hAnsiTheme="majorHAnsi" w:cstheme="majorBidi"/>
      <w:sz w:val="36"/>
      <w:szCs w:val="36"/>
    </w:rPr>
  </w:style>
  <w:style w:type="character" w:customStyle="1" w:styleId="30">
    <w:name w:val="標題 3 字元"/>
    <w:basedOn w:val="a0"/>
    <w:link w:val="3"/>
    <w:uiPriority w:val="9"/>
    <w:semiHidden/>
    <w:rsid w:val="008A4018"/>
    <w:rPr>
      <w:rFonts w:asciiTheme="majorHAnsi" w:eastAsiaTheme="majorEastAsia" w:hAnsiTheme="majorHAnsi" w:cstheme="majorBidi"/>
      <w:b/>
      <w:bCs/>
      <w:sz w:val="36"/>
      <w:szCs w:val="36"/>
    </w:rPr>
  </w:style>
  <w:style w:type="character" w:styleId="af6">
    <w:name w:val="Placeholder Text"/>
    <w:basedOn w:val="a0"/>
    <w:uiPriority w:val="99"/>
    <w:semiHidden/>
    <w:rsid w:val="007A0441"/>
    <w:rPr>
      <w:color w:val="666666"/>
    </w:rPr>
  </w:style>
  <w:style w:type="character" w:styleId="af7">
    <w:name w:val="Unresolved Mention"/>
    <w:basedOn w:val="a0"/>
    <w:uiPriority w:val="99"/>
    <w:semiHidden/>
    <w:unhideWhenUsed/>
    <w:rsid w:val="00E111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2024.aclweb.org/" TargetMode="External"/><Relationship Id="rId5" Type="http://schemas.openxmlformats.org/officeDocument/2006/relationships/webSettings" Target="webSettings.xml"/><Relationship Id="rId10" Type="http://schemas.openxmlformats.org/officeDocument/2006/relationships/hyperlink" Target="https://aclanthology.org/2024.acl-long.95/"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079BE-E935-41FD-98BB-E1F84806C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9</Pages>
  <Words>2108</Words>
  <Characters>12017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RickLiao</cp:lastModifiedBy>
  <cp:revision>29</cp:revision>
  <cp:lastPrinted>2025-10-17T13:52:00Z</cp:lastPrinted>
  <dcterms:created xsi:type="dcterms:W3CDTF">2025-09-21T13:36:00Z</dcterms:created>
  <dcterms:modified xsi:type="dcterms:W3CDTF">2025-10-17T14:08:00Z</dcterms:modified>
</cp:coreProperties>
</file>