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7D6F57" w:rsidP="007D6F57">
      <w:pPr>
        <w:spacing w:after="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Linux can function as a router, which means it can link two or more networks together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directing traffic between them on the basis of its routing table. This task is handled, in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part, by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route </w:t>
      </w:r>
      <w:r>
        <w:rPr>
          <w:rFonts w:ascii="SabonLTStd-Roman" w:hAnsi="SabonLTStd-Roman"/>
          <w:color w:val="231F20"/>
          <w:sz w:val="20"/>
          <w:szCs w:val="20"/>
        </w:rPr>
        <w:t>command. This command can be used to do much more than specify a</w:t>
      </w:r>
    </w:p>
    <w:p w:rsidR="007D6F57" w:rsidRDefault="007D6F57" w:rsidP="007D6F57">
      <w:pPr>
        <w:spacing w:after="0"/>
        <w:rPr>
          <w:rFonts w:ascii="SourceCodePro-Bold" w:hAnsi="SourceCodePro-Bold"/>
          <w:b/>
          <w:bCs/>
          <w:color w:val="231F20"/>
          <w:sz w:val="18"/>
          <w:szCs w:val="18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single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gateway system, though, as described earlier. A simplified version of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route </w:t>
      </w:r>
      <w:r>
        <w:rPr>
          <w:rFonts w:ascii="SabonLTStd-Roman" w:hAnsi="SabonLTStd-Roman"/>
          <w:color w:val="231F20"/>
          <w:sz w:val="20"/>
          <w:szCs w:val="20"/>
        </w:rPr>
        <w:t>syntax is as follows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route {add | del} [-net | -host] target [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netmask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nm] [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gw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gw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]</w:t>
      </w:r>
      <w:r>
        <w:rPr>
          <w:rFonts w:ascii="SourceCodePro-Regular" w:hAnsi="SourceCodePro-Regular"/>
          <w:color w:val="231F20"/>
          <w:sz w:val="18"/>
          <w:szCs w:val="18"/>
        </w:rPr>
        <w:br/>
        <w:t>[reject] [[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dev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] interface]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You specify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add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del </w:t>
      </w:r>
      <w:r>
        <w:rPr>
          <w:rFonts w:ascii="SabonLTStd-Roman" w:hAnsi="SabonLTStd-Roman"/>
          <w:color w:val="231F20"/>
          <w:sz w:val="20"/>
          <w:szCs w:val="20"/>
        </w:rPr>
        <w:t xml:space="preserve">along with a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target </w:t>
      </w:r>
      <w:r>
        <w:rPr>
          <w:rFonts w:ascii="SabonLTStd-Roman" w:hAnsi="SabonLTStd-Roman"/>
          <w:color w:val="231F20"/>
          <w:sz w:val="20"/>
          <w:szCs w:val="20"/>
        </w:rPr>
        <w:t>parameter (a computer or network address)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and optionally other parameters.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-net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-host </w:t>
      </w:r>
      <w:r>
        <w:rPr>
          <w:rFonts w:ascii="SabonLTStd-Roman" w:hAnsi="SabonLTStd-Roman"/>
          <w:color w:val="231F20"/>
          <w:sz w:val="20"/>
          <w:szCs w:val="20"/>
        </w:rPr>
        <w:t xml:space="preserve">options force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route </w:t>
      </w:r>
      <w:r>
        <w:rPr>
          <w:rFonts w:ascii="SabonLTStd-Roman" w:hAnsi="SabonLTStd-Roman"/>
          <w:color w:val="231F20"/>
          <w:sz w:val="20"/>
          <w:szCs w:val="20"/>
        </w:rPr>
        <w:t>to interpret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target as a network or computer address, respectively.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netmask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option lets you set a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netmask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as you desire, and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gw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lets you specify a router through which packets to the specified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target </w:t>
      </w:r>
      <w:r>
        <w:rPr>
          <w:rFonts w:ascii="SabonLTStd-Roman" w:hAnsi="SabonLTStd-Roman"/>
          <w:color w:val="231F20"/>
          <w:sz w:val="20"/>
          <w:szCs w:val="20"/>
        </w:rPr>
        <w:t xml:space="preserve">parameter should go. (Some versions of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route </w:t>
      </w:r>
      <w:r>
        <w:rPr>
          <w:rFonts w:ascii="SabonLTStd-Roman" w:hAnsi="SabonLTStd-Roman"/>
          <w:color w:val="231F20"/>
          <w:sz w:val="20"/>
          <w:szCs w:val="20"/>
        </w:rPr>
        <w:t xml:space="preserve">use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gateway </w:t>
      </w:r>
      <w:r>
        <w:rPr>
          <w:rFonts w:ascii="SabonLTStd-Roman" w:hAnsi="SabonLTStd-Roman"/>
          <w:color w:val="231F20"/>
          <w:sz w:val="20"/>
          <w:szCs w:val="20"/>
        </w:rPr>
        <w:t xml:space="preserve">rather than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gw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.) The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reject </w:t>
      </w:r>
      <w:r>
        <w:rPr>
          <w:rFonts w:ascii="SabonLTStd-Roman" w:hAnsi="SabonLTStd-Roman"/>
          <w:color w:val="231F20"/>
          <w:sz w:val="20"/>
          <w:szCs w:val="20"/>
        </w:rPr>
        <w:t>keyword installs a blocking route, which refuses all traffic destined for the specified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network. (This is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not </w:t>
      </w:r>
      <w:r>
        <w:rPr>
          <w:rFonts w:ascii="SabonLTStd-Roman" w:hAnsi="SabonLTStd-Roman"/>
          <w:color w:val="231F20"/>
          <w:sz w:val="20"/>
          <w:szCs w:val="20"/>
        </w:rPr>
        <w:t xml:space="preserve">a firewall, though.) Finally, although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route </w:t>
      </w:r>
      <w:r>
        <w:rPr>
          <w:rFonts w:ascii="SabonLTStd-Roman" w:hAnsi="SabonLTStd-Roman"/>
          <w:color w:val="231F20"/>
          <w:sz w:val="20"/>
          <w:szCs w:val="20"/>
        </w:rPr>
        <w:t>can usually figure out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interface device (for instance, </w:t>
      </w:r>
      <w:r>
        <w:rPr>
          <w:rFonts w:ascii="SourceCodePro-Regular" w:hAnsi="SourceCodePro-Regular"/>
          <w:color w:val="231F20"/>
          <w:sz w:val="18"/>
          <w:szCs w:val="18"/>
        </w:rPr>
        <w:t>eth0</w:t>
      </w:r>
      <w:r>
        <w:rPr>
          <w:rFonts w:ascii="SabonLTStd-Roman" w:hAnsi="SabonLTStd-Roman"/>
          <w:color w:val="231F20"/>
          <w:sz w:val="20"/>
          <w:szCs w:val="20"/>
        </w:rPr>
        <w:t xml:space="preserve">) on its own, you can force the issue with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dev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option.</w:t>
      </w:r>
      <w:r>
        <w:rPr>
          <w:rFonts w:ascii="SabonLTStd-Roman" w:hAnsi="SabonLTStd-Roman"/>
          <w:color w:val="231F20"/>
          <w:sz w:val="20"/>
          <w:szCs w:val="20"/>
        </w:rPr>
        <w:br/>
        <w:t>As an example, consider a network in which packets destined for the 172.20.0.0/16 subnet should be passed through the 172.21.1.1 router, which isn’t the default gateway system.</w:t>
      </w:r>
      <w:r>
        <w:rPr>
          <w:rFonts w:ascii="SabonLTStd-Roman" w:hAnsi="SabonLTStd-Roman"/>
          <w:color w:val="231F20"/>
          <w:sz w:val="20"/>
          <w:szCs w:val="20"/>
        </w:rPr>
        <w:br/>
        <w:t>You can set up this route with the following command: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#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route add -net 172.20.0.0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netmask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255.255.0.0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gw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172.21.1.1</w:t>
      </w:r>
    </w:p>
    <w:p w:rsidR="003A426A" w:rsidRDefault="003A426A" w:rsidP="007D6F57">
      <w:pPr>
        <w:spacing w:after="0"/>
      </w:pPr>
      <w:r>
        <w:rPr>
          <w:rFonts w:ascii="SabonLTStd-Roman" w:hAnsi="SabonLTStd-Roman"/>
          <w:color w:val="231F20"/>
          <w:sz w:val="20"/>
          <w:szCs w:val="20"/>
        </w:rPr>
        <w:t>One more thing you may need to do if you’re setting up a router is to enable routing.</w:t>
      </w:r>
      <w:r>
        <w:rPr>
          <w:rFonts w:ascii="SabonLTStd-Roman" w:hAnsi="SabonLTStd-Roman"/>
          <w:color w:val="231F20"/>
          <w:sz w:val="20"/>
          <w:szCs w:val="20"/>
        </w:rPr>
        <w:br/>
        <w:t>Ordinarily, a Linux system won’t forward packets it receives from one system that are</w:t>
      </w:r>
      <w:r>
        <w:rPr>
          <w:rFonts w:ascii="SabonLTStd-Roman" w:hAnsi="SabonLTStd-Roman"/>
          <w:color w:val="231F20"/>
          <w:sz w:val="20"/>
          <w:szCs w:val="20"/>
        </w:rPr>
        <w:br/>
        <w:t>directed to another system. If Linux is to act as a router, though, it must accept these packets and send them on to the destination network (or at least to an appropriate gateway).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enable this feature, you must modify a key file in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proc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# echo "1" &gt; 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proc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>/sys/net/ipv4/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ip_forward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This command enables IP forwarding. Permanently setting this option requires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modifying a configuration file. Some distributions set it in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sysctl.conf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net.ipv4.ip_forward = 1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Other distributions use other configuration files and options, such as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sysconfig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sysctl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and its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IP_FORWARD </w:t>
      </w:r>
      <w:r>
        <w:rPr>
          <w:rFonts w:ascii="SabonLTStd-Roman" w:hAnsi="SabonLTStd-Roman"/>
          <w:color w:val="231F20"/>
          <w:sz w:val="20"/>
          <w:szCs w:val="20"/>
        </w:rPr>
        <w:t xml:space="preserve">line. If you can’t find it, try using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grep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to search for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ip_forward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IP_FORWARD</w:t>
      </w:r>
      <w:r>
        <w:rPr>
          <w:rFonts w:ascii="SabonLTStd-Roman" w:hAnsi="SabonLTStd-Roman"/>
          <w:color w:val="231F20"/>
          <w:sz w:val="20"/>
          <w:szCs w:val="20"/>
        </w:rPr>
        <w:t>, or modify a local startup script to add the command to perform the change.</w:t>
      </w:r>
      <w:bookmarkStart w:id="0" w:name="_GoBack"/>
      <w:bookmarkEnd w:id="0"/>
    </w:p>
    <w:sectPr w:rsidR="003A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D5"/>
    <w:rsid w:val="003A426A"/>
    <w:rsid w:val="005A67D5"/>
    <w:rsid w:val="007D6F5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DB716-2C21-4183-BDD3-63766096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2016-07-29T16:45:00Z</dcterms:created>
  <dcterms:modified xsi:type="dcterms:W3CDTF">2016-07-29T16:47:00Z</dcterms:modified>
</cp:coreProperties>
</file>